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3833/2010</w:t>
      </w:r>
    </w:p>
    <w:p>
      <w:pPr>
        <w:pStyle w:val="PreambelText"/>
        <w:spacing w:before="240" w:after="240"/>
        <w:rPr>
          <w:lang w:val="el" w:eastAsia="el"/>
        </w:rPr>
      </w:pPr>
      <w:r>
        <w:rPr>
          <w:lang w:val="el" w:eastAsia="el"/>
        </w:rPr>
        <w:t>ΝΟΜΟΣ ΥΠ’ ΑΡΙΘΜ. 3833</w:t>
      </w:r>
    </w:p>
    <w:p>
      <w:pPr>
        <w:pStyle w:val="PreambelText"/>
        <w:spacing w:before="240" w:after="240"/>
        <w:rPr>
          <w:lang w:val="el" w:eastAsia="el"/>
        </w:rPr>
      </w:pPr>
      <w:r>
        <w:rPr>
          <w:lang w:val="el" w:eastAsia="el"/>
        </w:rPr>
        <w:t>(ΦΕΚ Α' 40/15-03-2010)</w:t>
      </w:r>
    </w:p>
    <w:p>
      <w:pPr>
        <w:pStyle w:val="PreambelText"/>
        <w:spacing w:before="240" w:after="240"/>
        <w:rPr>
          <w:lang w:val="el" w:eastAsia="el"/>
        </w:rPr>
      </w:pPr>
      <w:r>
        <w:rPr>
          <w:lang w:val="el" w:eastAsia="el"/>
        </w:rPr>
        <w:t>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Ειδικός φόρος σε είδη πολυτελείας</w:t>
      </w:r>
    </w:p>
    <w:p>
      <w:pPr>
        <w:pStyle w:val="MainText"/>
        <w:spacing w:before="120" w:after="0"/>
        <w:rPr>
          <w:lang w:val="el" w:eastAsia="el"/>
        </w:rPr>
      </w:pPr>
      <w:r>
        <w:rPr>
          <w:b/>
          <w:bCs/>
          <w:lang w:val="el" w:eastAsia="el"/>
        </w:rPr>
        <w:t>1.</w:t>
      </w:r>
      <w:r>
        <w:rPr>
          <w:lang w:val="el" w:eastAsia="el"/>
        </w:rPr>
        <w:t xml:space="preserve"> Επιβάλλεται φόρος πολυτελείας στα επιβατικά αυτοκίνητα της δασμολογικής κλάσης 8703 της Συνδυασμένης Ονοματολογίας, καθώς και στα αυτοκίνητα τύπου jeep της δασμολογικής κλάσης 8704, το ποσοστό του οποίου ορίζεται για αυτοκίνητα με τιμή χονδρικής πώλησης από τον κατασκευαστή οίκο ως εξής:</w:t>
      </w:r>
    </w:p>
    <w:p>
      <w:pPr>
        <w:pStyle w:val="StructureList1"/>
        <w:spacing w:before="120" w:after="0"/>
        <w:rPr>
          <w:lang w:val="el" w:eastAsia="el"/>
        </w:rPr>
      </w:pPr>
      <w:r>
        <w:rPr>
          <w:lang w:val="el" w:eastAsia="el"/>
        </w:rPr>
        <w:t>α)</w:t>
      </w:r>
      <w:r>
        <w:rPr>
          <w:lang w:val="en" w:eastAsia="en"/>
        </w:rPr>
        <w:tab/>
      </w:r>
      <w:r>
        <w:rPr>
          <w:lang w:val="el" w:eastAsia="el"/>
        </w:rPr>
        <w:t>από 17.000 ευρώ μέχρι και 22.000 ευρώ, ποσοστό 10%,</w:t>
      </w:r>
    </w:p>
    <w:p>
      <w:pPr>
        <w:pStyle w:val="StructureList1"/>
        <w:spacing w:before="120" w:after="0"/>
        <w:rPr>
          <w:lang w:val="el" w:eastAsia="el"/>
        </w:rPr>
      </w:pPr>
      <w:r>
        <w:rPr>
          <w:lang w:val="el" w:eastAsia="el"/>
        </w:rPr>
        <w:t>β)</w:t>
      </w:r>
      <w:r>
        <w:rPr>
          <w:lang w:val="en" w:eastAsia="en"/>
        </w:rPr>
        <w:tab/>
      </w:r>
      <w:r>
        <w:rPr>
          <w:lang w:val="el" w:eastAsia="el"/>
        </w:rPr>
        <w:t>άνω των 22.000 ευρώ μέχρι και 30.000 ευρώ, ποσοστό 20%,</w:t>
      </w:r>
    </w:p>
    <w:p>
      <w:pPr>
        <w:pStyle w:val="StructureList1"/>
        <w:spacing w:before="120" w:after="0"/>
        <w:rPr>
          <w:lang w:val="el" w:eastAsia="el"/>
        </w:rPr>
      </w:pPr>
      <w:r>
        <w:rPr>
          <w:lang w:val="el" w:eastAsia="el"/>
        </w:rPr>
        <w:t>γ)</w:t>
      </w:r>
      <w:r>
        <w:rPr>
          <w:lang w:val="en" w:eastAsia="en"/>
        </w:rPr>
        <w:tab/>
      </w:r>
      <w:r>
        <w:rPr>
          <w:lang w:val="el" w:eastAsia="el"/>
        </w:rPr>
        <w:t>άνω των 30.000 ευρώ, ποσοστό 30%.</w:t>
      </w:r>
    </w:p>
    <w:p>
      <w:pPr>
        <w:spacing w:before="240" w:after="240"/>
        <w:rPr>
          <w:lang w:val="el" w:eastAsia="el"/>
        </w:rPr>
      </w:pPr>
      <w:r>
        <w:rPr>
          <w:lang w:val="el" w:eastAsia="el"/>
        </w:rPr>
        <w:t>Ο ανωτέρω φόρος επιβάλλεται επί της φορολογητέας αξίας του άρθρου 126 του Ν. 2960/2001 (ΦΕΚ 265 Α΄).</w:t>
      </w:r>
    </w:p>
    <w:p>
      <w:pPr>
        <w:pStyle w:val="MainText"/>
        <w:spacing w:before="120" w:after="0"/>
        <w:rPr>
          <w:lang w:val="el" w:eastAsia="el"/>
        </w:rPr>
      </w:pPr>
      <w:r>
        <w:rPr>
          <w:b/>
          <w:bCs/>
          <w:lang w:val="el" w:eastAsia="el"/>
        </w:rPr>
        <w:t>2.</w:t>
      </w:r>
      <w:r>
        <w:rPr>
          <w:lang w:val="el" w:eastAsia="el"/>
        </w:rPr>
        <w:t xml:space="preserve"> Προκειμένου για μεταχειρισμένα όμοια αυτοκίνητα, το ποσοστό του φόρου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από 12.000 ευρώ μέχρι και 15.000 ευρώ, ποσοστό 10%,</w:t>
      </w:r>
    </w:p>
    <w:p>
      <w:pPr>
        <w:pStyle w:val="StructureList1"/>
        <w:spacing w:before="120" w:after="0"/>
        <w:rPr>
          <w:lang w:val="el" w:eastAsia="el"/>
        </w:rPr>
      </w:pPr>
      <w:r>
        <w:rPr>
          <w:lang w:val="el" w:eastAsia="el"/>
        </w:rPr>
        <w:t>β)</w:t>
      </w:r>
      <w:r>
        <w:rPr>
          <w:lang w:val="en" w:eastAsia="en"/>
        </w:rPr>
        <w:tab/>
      </w:r>
      <w:r>
        <w:rPr>
          <w:lang w:val="el" w:eastAsia="el"/>
        </w:rPr>
        <w:t>άνω των 15.000 ευρώ μέχρι και 20.000 ευρώ, ποσοστό 20%,</w:t>
      </w:r>
    </w:p>
    <w:p>
      <w:pPr>
        <w:pStyle w:val="StructureList1"/>
        <w:spacing w:before="120" w:after="0"/>
        <w:rPr>
          <w:lang w:val="el" w:eastAsia="el"/>
        </w:rPr>
      </w:pPr>
      <w:r>
        <w:rPr>
          <w:lang w:val="el" w:eastAsia="el"/>
        </w:rPr>
        <w:t>γ)</w:t>
      </w:r>
      <w:r>
        <w:rPr>
          <w:lang w:val="en" w:eastAsia="en"/>
        </w:rPr>
        <w:tab/>
      </w:r>
      <w:r>
        <w:rPr>
          <w:lang w:val="el" w:eastAsia="el"/>
        </w:rPr>
        <w:t>άνω των 20.000 ευρώ, ποσοστό 30%.</w:t>
      </w:r>
    </w:p>
    <w:p>
      <w:pPr>
        <w:spacing w:before="240" w:after="240"/>
        <w:rPr>
          <w:lang w:val="el" w:eastAsia="el"/>
        </w:rPr>
      </w:pPr>
      <w:r>
        <w:rPr>
          <w:lang w:val="el" w:eastAsia="el"/>
        </w:rPr>
        <w:t>Ο ανωτέρω φόρος επιβάλλεται επί της φορολογητέας αξίας του άρθρου 126 του Ν. 2960/2001 (ΦΕΚ 265 Α΄).</w:t>
      </w:r>
    </w:p>
    <w:p>
      <w:pPr>
        <w:pStyle w:val="MainText"/>
        <w:spacing w:before="120" w:after="0"/>
        <w:rPr>
          <w:lang w:val="el" w:eastAsia="el"/>
        </w:rPr>
      </w:pPr>
      <w:r>
        <w:rPr>
          <w:b/>
          <w:bCs/>
          <w:lang w:val="el" w:eastAsia="el"/>
        </w:rPr>
        <w:t>3.</w:t>
      </w:r>
      <w:r>
        <w:rPr>
          <w:lang w:val="el" w:eastAsia="el"/>
        </w:rPr>
        <w:t xml:space="preserve"> Από το φόρο πολυτελείας της προηγούμενης παραγράφου εξαιρούνται τα επιβατικά αυτοκίνητα που προορίζονται να κυκλοφορήσουν ως δημόσιας χρήσης, καθώς και τα αυτοκινούμενα τροχόσπιτα.</w:t>
      </w:r>
    </w:p>
    <w:p>
      <w:pPr>
        <w:pStyle w:val="MainText"/>
        <w:spacing w:before="120" w:after="0"/>
        <w:rPr>
          <w:lang w:val="el" w:eastAsia="el"/>
        </w:rPr>
      </w:pPr>
      <w:r>
        <w:rPr>
          <w:b/>
          <w:bCs/>
          <w:lang w:val="el" w:eastAsia="el"/>
        </w:rPr>
        <w:t>4.</w:t>
      </w:r>
      <w:r>
        <w:rPr>
          <w:lang w:val="el" w:eastAsia="el"/>
        </w:rPr>
        <w:t xml:space="preserve"> Επιβάλλεται φόρος πολυτελείας επί της φορολογητέας αξίας, όπως αυτή διαμορφώνεται από τα άρθρα 19 και 20 του Ν. 2859/2000 (ΦΕΚ 248 Α΄) για τα ενδοκοινοτικώς αποκτούμενα και τα εισαγόμενα από τρίτες χώρες και επί της τιμής πώλησης προ Φ.Π.Α. για τα εγχωρίως παραγόμενα, στα παρακάτω είδη: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15"/>
        <w:gridCol w:w="2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ΦΟΡΟΥ ΠΟΛΥΤΕΛΕΙΑΣ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Δέρματα ερπετών, κροκοδείλων, σαυροειδών και αγρίων ζώων γενικά καθώς και πτηνών, ψαριών και θαλασσίων ζώων γενικά, κατεργασμένα ή μη. Κωδικός Σ.Ο. 41.06.40, 41.13.30, ΕΧ 41.14.10.90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Τεχνουργήματα από δέρμα της περίπτωσης α). Κωδικός Σ.Ο. 42.02.21.00, 42.02.31.00, 42.03.30.30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Υποδήματα από δέρμα της περίπτωσης α). Δ.Κ. ΕΧ 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Ενδύματα, εξαρτήματα της ένδυσης και άλλα είδη από γουνοδέρματα. Δ.Κ. 43.03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Τάπητες από οποιαδήποτε ύλη που περιέχουν μετάξι ή απορρίμματα από μετάξι σε ποσοστό πάνω από 10% στο συνολικό βάρος. Κωδικός Σ.Ο. 57.01.10.10, 57.01.90.10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Μαργαριτάρια ακατέργαστα ή κατεργασμένα, πολύτιμες ή ημιπολύτιμες πέτρες, πέτρες συνθετικές ή ανασχηματισμένες, κατεργασμένες ή ακατέργαστες. Εξαιρούνται εκείνες που προορίζονται για βιομηχανική χρήση. Δ.Κ. 71.01, ΕΧ 71.02 και ΕΧ 71.03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Σκόνη διαμαντιού "και σκόνη από πολύτιμες ή ημιπολύτιμες πέτρες φυσικές ή συνθετικές. Δ.Κ. 71.05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Κοσμήματα με ή χωρίς πολύτιμες πέτρες και μέρη αυτών, από πολύτιμα μέταλλα ή από μέταλλα επιστρωμένα με πολύτιμα μέταλλα. Δ.Κ. 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Είδη χρυσοχοΐας και μέρη αυτών από πολύτιμα μέταλλα ή από μέταλλα επιστρωμένα με πολύτιμα μέταλλα. Δ.Κ. 71.14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`Αλλα τεχνουργήματα από πολύτιμα μέταλλα ή από μέταλλα επιστρωμένα με πολύτιμα μέταλλα. Δ.Κ. 71.15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Τεχνουργήματα από μαργαριτάρια, από πολύτιμες ή ημιπολύτιμες πέτρες ή από πέτρες συνθετικές ή ανασχηματισμένες. Δ.Κ. 71.16.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Αεροπλάνα, υδροπλάνα και ελικόπτερα ιδιωτικής χρήσης. Δ.Κ. Ε.Χ. 88.02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Πλοία, πλοιάρια και άλλα σκάφη κινούμενα με οποιοδήποτε τρόπο, που προορίζονται για αναψυχή. Δ.Κ. Ε.Χ. 89.03, με εξαίρεση τα προαναφερόμενα που υπάγονται στις δασμολογικές διακρίσεις 89.03.10.10, 89.03.91.92, 89.03.92.91, 89.03.99.10 και 89.03.99.91.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pStyle w:val="MainText"/>
        <w:spacing w:before="120" w:after="0"/>
        <w:rPr>
          <w:lang w:val="el" w:eastAsia="el"/>
        </w:rPr>
      </w:pPr>
      <w:r>
        <w:rPr>
          <w:b/>
          <w:bCs/>
          <w:lang w:val="el" w:eastAsia="el"/>
        </w:rPr>
        <w:t>5.</w:t>
      </w:r>
      <w:r>
        <w:rPr>
          <w:lang w:val="el" w:eastAsia="el"/>
        </w:rPr>
        <w:t xml:space="preserve"> Ο φόρος πολυτελείας για τα επιβατικά αυτοκίνητα ανεξάρτητα από τη χώρα προέλευσης βεβαιώνεται και εισπράττεται από τις αρμόδιες τελωνειακές αρχές παράλληλα με την είσπραξη του τέλους ταξινόμησης.</w:t>
      </w:r>
    </w:p>
    <w:p>
      <w:pPr>
        <w:spacing w:before="240" w:after="240"/>
        <w:rPr>
          <w:lang w:val="el" w:eastAsia="el"/>
        </w:rPr>
      </w:pPr>
      <w:r>
        <w:rPr>
          <w:lang w:val="el" w:eastAsia="el"/>
        </w:rPr>
        <w:t>Για τα είδη της παραγράφου 4 που προέρχονται από τρίτες προς την Ευρωπαϊκή Ένωση χώρες, ο φόρος πολυτελείας βεβαιώνεται και εισπράττεται από τις τελωνειακές αρχές κατά τη θέση αυτών σε ανάλωση, ενώ τα προερχόμενα από άλλα κράτη - μέλη της Ευρωπαϊκής Ένωσης ή τα εγχωρίως παραγόμενα, ο φόρος αποδίδεται στην αρμόδια Δ.Ο.Υ. της έδρας του επιτηδευματία. Υπόχρεος για την απόδοση του φόρου για μεν τα εγχωρίως παραγόμενα είναι ο παραγωγός των προϊόντων, για δε τα προερχόμενα από τα λοιπά κράτη - μέλη της Ευρωπαϊκής Ένωσης το πρόσωπο που πραγματοποιεί την ενδοκοινοτική απόκτηση.</w:t>
      </w:r>
    </w:p>
    <w:p>
      <w:pPr>
        <w:spacing w:before="240" w:after="240"/>
        <w:rPr>
          <w:lang w:val="el" w:eastAsia="el"/>
        </w:rPr>
      </w:pPr>
      <w:r>
        <w:rPr>
          <w:lang w:val="el" w:eastAsia="el"/>
        </w:rPr>
        <w:t>Με απόφαση του Υπουργού Οικονομικών καθορίζονται ο χρόνος, ο τρόπος, η διαδικασία και κάθε αναγκαία λεπτομέρεια για την απόδοση του φόρου αυτού στις Δ.Ο.Υ..</w:t>
      </w:r>
    </w:p>
    <w:p>
      <w:pPr>
        <w:pStyle w:val="MainText"/>
        <w:spacing w:before="120" w:after="0"/>
        <w:rPr>
          <w:lang w:val="el" w:eastAsia="el"/>
        </w:rPr>
      </w:pPr>
      <w:r>
        <w:rPr>
          <w:b/>
          <w:bCs/>
          <w:lang w:val="el" w:eastAsia="el"/>
        </w:rPr>
        <w:t>6.</w:t>
      </w:r>
      <w:r>
        <w:rPr>
          <w:lang w:val="el" w:eastAsia="el"/>
        </w:rPr>
        <w:t xml:space="preserve"> Τα είδη της παραγράφου 4 που παραλαμβάνονται ως πρώτες ύλες για την παραγωγή ετοίμων προϊόντων της ίδιας παραγράφου, απαλλάσσονται του φόρου πολυτελείας.</w:t>
      </w:r>
    </w:p>
    <w:p>
      <w:pPr>
        <w:spacing w:before="240" w:after="240"/>
        <w:rPr>
          <w:lang w:val="el" w:eastAsia="el"/>
        </w:rPr>
      </w:pPr>
      <w:r>
        <w:rPr>
          <w:lang w:val="el" w:eastAsia="el"/>
        </w:rPr>
        <w:t>Με απόφαση του Υπουργού Οικονομικών καθορίζονται οι όροι και προϋποθέσεις και κάθε άλλη αναγκαία λεπτομέρεια και τα απαιτούμενα δικαιολογητικά για την εφαρμογή του άρθρου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11 Μαρτίου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  ΕΣΩΤΕΡΙΚΩΝ, ΑΠΟΚΕΝΤΡΩΣΗΣ ΚΑΙ ΗΛΕΚΤΡΟΝΙΚΗΣ ΔΙΑΚΥΒΕΡΝΗΣΗΣ</w:t>
      </w:r>
    </w:p>
    <w:p>
      <w:pPr>
        <w:spacing w:before="240" w:after="240"/>
        <w:rPr>
          <w:lang w:val="el" w:eastAsia="el"/>
        </w:rPr>
      </w:pPr>
      <w:r>
        <w:rPr>
          <w:lang w:val="el" w:eastAsia="el"/>
        </w:rPr>
        <w:t>Ι.ΡΑΓΚΟΥΣΗΣ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Κ.ΜΠΙΡΜΠΙΛΗ</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Α.ΛΟΒΕΡΔΟΣ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12 Μαρτίου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