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3842/2010</w:t>
      </w:r>
    </w:p>
    <w:p>
      <w:pPr>
        <w:pStyle w:val="PreambelText"/>
        <w:spacing w:before="240" w:after="240"/>
        <w:rPr>
          <w:lang w:val="el" w:eastAsia="el"/>
        </w:rPr>
      </w:pPr>
      <w:r>
        <w:rPr>
          <w:lang w:val="el" w:eastAsia="el"/>
        </w:rPr>
        <w:t>ΝΟΜΟΣ ΥΠ’ ΑΡΙΘΜ. 3842</w:t>
      </w:r>
    </w:p>
    <w:p>
      <w:pPr>
        <w:pStyle w:val="PreambelText"/>
        <w:spacing w:before="240" w:after="240"/>
        <w:rPr>
          <w:lang w:val="el" w:eastAsia="el"/>
        </w:rPr>
      </w:pPr>
      <w:r>
        <w:rPr>
          <w:lang w:val="el" w:eastAsia="el"/>
        </w:rPr>
        <w:t>(ΦΕΚ Α' 58/23-04-2010)</w:t>
      </w:r>
    </w:p>
    <w:p>
      <w:pPr>
        <w:pStyle w:val="PreambelText"/>
        <w:spacing w:before="240" w:after="240"/>
        <w:rPr>
          <w:lang w:val="el" w:eastAsia="el"/>
        </w:rPr>
      </w:pPr>
      <w:r>
        <w:rPr>
          <w:lang w:val="el" w:eastAsia="el"/>
        </w:rPr>
        <w:t>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Προσδιορισμός αξίας ακινήτων φυσικών προσώπων</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των εμπράγματων σε αυτά δικαιωμάτων των φυσικών προσώπων, νομικών προσώπων και νομικών οντοτήτων ορίζεται το γινόμενο που προκύπτει από τις τιμές εκκίνησης ή αφετηρίας, που καθορίζονται σύμφωνα με τις διατάξεις των άρθρων 41 και 41Α του ν. 1249/1982, όπως ισχύει, όπου εφαρμόζεται το αντικειμενικό σύστημα προσδιορισμού αξίας ακινήτων, επί τους συντελεστές αυξομείωσης, όπως καθορίζονται κατωτέρω ανά είδος ακινήτου ή κτηρίου.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31.12.2008.Αν το οικόπεδο είναι δεσμευμένο για κοινωφελή χρήση ο Σ. Α. Ο. είναι ίσος με το συντελεστή δόμησης του οικοδομικού τετραγώνου, όπως έχει καθοριστεί με προεδρικό διάταγμα. 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 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Για τις περιοχές δήμων ή κοινοτήτων όπου δεν εφαρμόζεται το αντικειμενικό σύστημα, η αξία των οικοπέδων καθορίζεται με απόφαση του Υπουργού Οικονομικών, με βάση την κατώτερη τιμή ανά τετραγωνικό μέτρο οικοπέδου του δήμου ή της κοινότητας, όπως προκύπτει σύμφωνα με την παράγραφο 2 του άρθρου 3 του α.ν. 1521/1950, όπως ισχύει. Με απόφαση του Υπουργού Οικονομικών καθορίζονται, για τις περιοχές που εντάσσονται στο σύστημα του αντικειμενικού προσδιορισμού αξίας ακινήτων για πρώτη φορά, οι συντελεστές αξιοποίησης οικοπέδου, καθώς και κάθε άλλο θέμα για τον προσδιορισμό της αξίας των ακινήτων για τη φορολογία ακίνητης περιουσίας. Για την εφαρμογή των διατάξεων των προηγούμενων εδαφίων ως δήμοι και κοινότητες νοούνται οι δήμοι και κοινότητες του ν. 2539/1997 (ΦΕΚ 244 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στις διατάξεις των άρθρων 41 και 41Α του ν. 1249/1982, όπως ισχύουν, και από τις υπουργικές αποφάσεις που εκδίδονται κατ’ εξουσιοδότηση των εν λόγω άρθρων, εκτός αν από τις διατάξεις του παρόντος νόμου ορίζεται άλλως. </w:t>
      </w:r>
    </w:p>
    <w:p>
      <w:pPr>
        <w:pStyle w:val="MainText"/>
        <w:spacing w:before="120" w:after="0"/>
        <w:rPr>
          <w:lang w:val="el" w:eastAsia="el"/>
        </w:rPr>
      </w:pPr>
      <w:r>
        <w:rPr>
          <w:b/>
          <w:bCs/>
          <w:lang w:val="el" w:eastAsia="el"/>
        </w:rPr>
        <w:t>3.</w:t>
      </w:r>
      <w:r>
        <w:rPr>
          <w:lang w:val="el" w:eastAsia="el"/>
        </w:rPr>
        <w:t xml:space="preserve"> Για τα ακίνητα εντός συστήματος αντικειμενικού προσδιορισμού αξίας ακινήτων σύμφωνα με τις διατάξεις του άρθρου 41 του ν. 1249/1982, όπως ισχύει, η φορολογητέα αξία προσδιορίζεται ανά κατηγορία ως εξής: </w:t>
      </w:r>
    </w:p>
    <w:p>
      <w:pPr>
        <w:pStyle w:val="MainText"/>
        <w:spacing w:before="120" w:after="0"/>
        <w:rPr>
          <w:lang w:val="el" w:eastAsia="el"/>
        </w:rPr>
      </w:pPr>
      <w:r>
        <w:rPr>
          <w:b/>
          <w:bCs/>
          <w:lang w:val="el" w:eastAsia="el"/>
        </w:rPr>
        <w:t>3.1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3.1.1</w:t>
      </w:r>
      <w:r>
        <w:rPr>
          <w:lang w:val="el" w:eastAsia="el"/>
        </w:rPr>
        <w:t xml:space="preserve"> Ανάλογα με την πρόσοψη εφαρμόζεται συντελεστής πρόσοψης ως εξής: 1,00 για πρόσοψη σε ένα μόνο δρόμο, 1,05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3.1.2</w:t>
      </w:r>
      <w:r>
        <w:rPr>
          <w:lang w:val="el" w:eastAsia="el"/>
        </w:rPr>
        <w:t xml:space="preserve"> Ανάλογα με τον όροφο που βρίσκεται το κτίσμα και το συντελεστή εμπορικότητας του οικοπέδου εφαρμόζεται συντελεστής ορόφου ο οποίος καθορίζεται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μικρότερος του 1,5 εφαρμόζεται συντελεστής ορόφου 0,60 για το υπόγειο, 0,90 για το ισόγειο,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ορόφου 0,60 για το υπόγειο, 1,20 για το ισόγειο,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ορόφου 0,60 για το υπόγειο, 1,25 για το ισόγειο,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ή ίσος του 5 εφαρμόζεται συντελεστής ορόφου 0,60 για το υπόγειο, 1,30 για το ισόγειο,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3.1.3</w:t>
      </w:r>
      <w:r>
        <w:rPr>
          <w:lang w:val="el" w:eastAsia="el"/>
        </w:rPr>
        <w:t xml:space="preserve"> Ανάλογα του εμβαδού εφαρμόζεται συντελεστής επιφάνειας κυρίων χώρων ως εξής: 1,05 για επιφάνεια μικρότερη ή ίση των 25 τ.μ., 1,00 για επιφάνεια μεγαλύτερη των 25 τ.μ. και μικρότερη ή ίση των 100 τ.μ., 1,05 για επιφάνεια μεγαλύτερη των 100 τ.μ. και μικρότερη ή ίση των 200 τ.μ., 1,10 για επιφάνεια μεγαλύτερη των 200 τ.μ. και μικρότερη ή ίση των 300 τ.μ., 1,20 για επιφάνεια μεγαλύτερη των 300 τ.μ. και μικρότερη ή ίση των 500 τ.μ., 1,30 για επιφάνεια μεγαλύτερη των 500 τ.μ. </w:t>
      </w:r>
    </w:p>
    <w:p>
      <w:pPr>
        <w:pStyle w:val="MainText"/>
        <w:spacing w:before="120" w:after="0"/>
        <w:rPr>
          <w:lang w:val="el" w:eastAsia="el"/>
        </w:rPr>
      </w:pPr>
      <w:r>
        <w:rPr>
          <w:b/>
          <w:bCs/>
          <w:lang w:val="el" w:eastAsia="el"/>
        </w:rPr>
        <w:t>3.1.4</w:t>
      </w:r>
      <w:r>
        <w:rPr>
          <w:lang w:val="el" w:eastAsia="el"/>
        </w:rPr>
        <w:t xml:space="preserve"> Ανάλογα με τα χρόνια παλαιότητας εφαρμόζεται συντελεστής παλαιότητας ως εξής: 0,90 από 1 έως 5 έτη, 0,80 από 6 έως 10 έτη, 0,75 από 11 έως 15 έτη, 0,70 από 16 έως 20 έτη, 0,65 από 21 έως 25 έτη, 0,60 από 26 και άνω έτη. </w:t>
      </w:r>
    </w:p>
    <w:p>
      <w:pPr>
        <w:pStyle w:val="MainText"/>
        <w:spacing w:before="120" w:after="0"/>
        <w:rPr>
          <w:lang w:val="el" w:eastAsia="el"/>
        </w:rPr>
      </w:pPr>
      <w:r>
        <w:rPr>
          <w:b/>
          <w:bCs/>
          <w:lang w:val="el" w:eastAsia="el"/>
        </w:rPr>
        <w:t>3.1.5</w:t>
      </w:r>
      <w:r>
        <w:rPr>
          <w:lang w:val="el" w:eastAsia="el"/>
        </w:rPr>
        <w:t xml:space="preserve"> Εφαρμόζονται οι ακόλουθοι συντελεστές ειδικών συνθηκών: 0,80 για διατηρητέο κτίσμα, 0,75 για απαλλοτριωτέο ακίνητο και 0,40 για ημιτελές κτίσμα. </w:t>
      </w:r>
    </w:p>
    <w:p>
      <w:pPr>
        <w:pStyle w:val="MainText"/>
        <w:spacing w:before="120" w:after="0"/>
        <w:rPr>
          <w:lang w:val="el" w:eastAsia="el"/>
        </w:rPr>
      </w:pPr>
      <w:r>
        <w:rPr>
          <w:b/>
          <w:bCs/>
          <w:lang w:val="el" w:eastAsia="el"/>
        </w:rPr>
        <w:t>3.1.6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3.2.1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0,60 αν δεν έχει πρόσοψη σε δρόμο. </w:t>
      </w:r>
    </w:p>
    <w:p>
      <w:pPr>
        <w:pStyle w:val="MainText"/>
        <w:spacing w:before="120" w:after="0"/>
        <w:rPr>
          <w:lang w:val="el" w:eastAsia="el"/>
        </w:rPr>
      </w:pPr>
      <w:r>
        <w:rPr>
          <w:b/>
          <w:bCs/>
          <w:lang w:val="el" w:eastAsia="el"/>
        </w:rPr>
        <w:t>3.2.2</w:t>
      </w:r>
      <w:r>
        <w:rPr>
          <w:lang w:val="el" w:eastAsia="el"/>
        </w:rPr>
        <w:t xml:space="preserve"> Ανάλογα με τον όροφο στον οποίο βρίσκεται η επαγγελματική στέγη και το συντελεστή εμπορικότητας του δρόμου ή των δρόμων στον οποίο έχει πρόσοψη ή προσόψεις η επαγγελματική στέγη εφαρμόζεται συντελεστής ορόφου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επαγγελματική στέγη βρίσκεται στο ισόγειο ως Συντελεστής Ορόφου λαμβάνεται ο Συντελεστής Εμπορικότητας. Αν η επαγγελματική στέγη βρίσκεται στο ισόγειο και δεν έχει πρόσοψη σε δρόμο ως Συντελεστής Ορόφου λαμβάνεται το γινόμενο του Συντελεστή Εμπορικότητας επί 0,80. </w:t>
      </w:r>
    </w:p>
    <w:p>
      <w:pPr>
        <w:pStyle w:val="StructureList1"/>
        <w:spacing w:before="120" w:after="0"/>
        <w:rPr>
          <w:lang w:val="el" w:eastAsia="el"/>
        </w:rPr>
      </w:pPr>
      <w:r>
        <w:rPr>
          <w:lang w:val="el" w:eastAsia="el"/>
        </w:rPr>
        <w:t>β)</w:t>
      </w:r>
      <w:r>
        <w:rPr>
          <w:lang w:val="en" w:eastAsia="en"/>
        </w:rPr>
        <w:tab/>
      </w:r>
      <w:r>
        <w:rPr>
          <w:lang w:val="el" w:eastAsia="el"/>
        </w:rPr>
        <w:t xml:space="preserve">Αν η επαγγελματική στέγη βρίσκεται στο υπόγειο ως Συντελεστής Ορόφου λαμβάνεται το γινόμενο του Συντελεστή Εμπορικότητας επί 0,50. </w:t>
      </w:r>
    </w:p>
    <w:p>
      <w:pPr>
        <w:pStyle w:val="StructureList1"/>
        <w:spacing w:before="120" w:after="0"/>
        <w:rPr>
          <w:lang w:val="el" w:eastAsia="el"/>
        </w:rPr>
      </w:pPr>
      <w:r>
        <w:rPr>
          <w:lang w:val="el" w:eastAsia="el"/>
        </w:rPr>
        <w:t>γ)</w:t>
      </w:r>
      <w:r>
        <w:rPr>
          <w:lang w:val="en" w:eastAsia="en"/>
        </w:rPr>
        <w:tab/>
      </w:r>
      <w:r>
        <w:rPr>
          <w:lang w:val="el" w:eastAsia="el"/>
        </w:rPr>
        <w:t xml:space="preserve">Αν η επαγγελματική στέγη βρίσκεται σε όροφο τότε ο συντελεστής ορόφου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1,20 για τον 1ο όροφο, 1,25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Αν ο συντελεστής εμπορικότητας είναι μεγαλύτερος ή ίσος του 1,5 και μικρότερος του 3 εφαρμόζεται συντελεστής 1,35 για τον 1ο όροφο, 1,30 για τον 2</w:t>
      </w:r>
      <w:r>
        <w:rPr>
          <w:sz w:val="30"/>
          <w:szCs w:val="30"/>
          <w:vertAlign w:val="superscript"/>
          <w:lang w:val="el" w:eastAsia="el"/>
        </w:rPr>
        <w:t>ο</w:t>
      </w:r>
      <w:r>
        <w:rPr>
          <w:lang w:val="el" w:eastAsia="el"/>
        </w:rPr>
        <w:t xml:space="preserve"> όροφο, 1,30 για τον 3ο όροφο, 1,30 για τον 4ο όροφο, 1,35 για τον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1,40 για τον 1ο όροφο, 1,35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1,45 για τον 1ο όροφο, 1,40 για τον 2ο όροφο, 1,35 για τον 3ο όροφο, 1,35 για τον 4ο όροφο, 1,35 για τον 5ο ή υψηλότερο όροφο. Όταν η επαγγελματική στέγη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3.2.3</w:t>
      </w:r>
      <w:r>
        <w:rPr>
          <w:lang w:val="el" w:eastAsia="el"/>
        </w:rPr>
        <w:t xml:space="preserve"> Ανάλογα του εμβαδού εφαρμόζεται συντελεστής επιφάνειας ως εξής: 1,10 για επιφάνεια μικρότερη ή ίση των 25 τ.μ., 1,05 για επιφάνεια μεγαλύτερη των 25 τ.μ. και μικρότερη ή ίση των 50 τ.μ., 1,00 για επιφάνεια μεγαλύτερη των 50 τ.μ. και μικρότερη ή ίση των 100 τ.μ., 0,90 για επιφάνεια μεγαλύτερη των 100 τ.μ. και μικρότερη ή ίση των 200 τ.μ., 0,85 για επιφάνεια μεγαλύτερη των 200 τ.μ. και μικρότερη ή ίση των 300 τ.μ., 0,80 για επιφάνεια μεγαλύτερη των 300 τ.μ. Για τον υπολογισμό του συντελεστή επιφάνειας ως εμβαδόν λαμβάνεται το άθροισμα των τετραγωνικών μέτρων των κυρίων χώρων και ποσοστό είκοσι τοις εκατό της επιφάνειας των βοηθητικών χώρων. </w:t>
      </w:r>
    </w:p>
    <w:p>
      <w:pPr>
        <w:pStyle w:val="MainText"/>
        <w:spacing w:before="120" w:after="0"/>
        <w:rPr>
          <w:lang w:val="el" w:eastAsia="el"/>
        </w:rPr>
      </w:pPr>
      <w:r>
        <w:rPr>
          <w:b/>
          <w:bCs/>
          <w:lang w:val="el" w:eastAsia="el"/>
        </w:rPr>
        <w:t>3.2.4</w:t>
      </w:r>
      <w:r>
        <w:rPr>
          <w:lang w:val="el" w:eastAsia="el"/>
        </w:rPr>
        <w:t xml:space="preserve"> Ανάλογα με τα χρόνια παλαιότητας και τον όροφο στον οποίο βρίσκεται η επαγγελματική στέγη εφαρμόζεται συντελεστής παλαιότητας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Όταν η επαγγελματική στέγη βρίσκεται σε ισόγειο 0,95 για έτη από 1 έως 5, 0,90 για έτη από 6 έως 10, 0,85 για έτη από 11 έως 15, 0,80 για έτη από 16 και άνω. </w:t>
      </w:r>
    </w:p>
    <w:p>
      <w:pPr>
        <w:pStyle w:val="StructureList1"/>
        <w:spacing w:before="120" w:after="0"/>
        <w:rPr>
          <w:lang w:val="el" w:eastAsia="el"/>
        </w:rPr>
      </w:pPr>
      <w:r>
        <w:rPr>
          <w:lang w:val="el" w:eastAsia="el"/>
        </w:rPr>
        <w:t>β)</w:t>
      </w:r>
      <w:r>
        <w:rPr>
          <w:lang w:val="en" w:eastAsia="en"/>
        </w:rPr>
        <w:tab/>
      </w:r>
      <w:r>
        <w:rPr>
          <w:lang w:val="el" w:eastAsia="el"/>
        </w:rPr>
        <w:t xml:space="preserve">Όταν η επαγγελματική στέγη βρίσκεται σε άλλον εκτός του ισογείου όροφο 0,90 για έτη από 1 έως 5, 0,80 για έτη από 6 έως 10, 0,75 για έτη από 11 έως 15, 0,70 για έτη από 16 έως 20, 0,65 για έτη από 21 έως 25, 0,60 για έτη από 26 και άνω. </w:t>
      </w:r>
    </w:p>
    <w:p>
      <w:pPr>
        <w:pStyle w:val="MainText"/>
        <w:spacing w:before="120" w:after="0"/>
        <w:rPr>
          <w:lang w:val="el" w:eastAsia="el"/>
        </w:rPr>
      </w:pPr>
      <w:r>
        <w:rPr>
          <w:b/>
          <w:bCs/>
          <w:lang w:val="el" w:eastAsia="el"/>
        </w:rPr>
        <w:t>3.2.5</w:t>
      </w:r>
      <w:r>
        <w:rPr>
          <w:lang w:val="el" w:eastAsia="el"/>
        </w:rPr>
        <w:t xml:space="preserve"> Εφαρμόζονται οι ακόλουθοι συντελεστές ειδικών συνθηκών: 0,80 για διατηρητέο κτίσμα, 0,75 για απαλλοτριωτέο ακίνητο και 0,50 για ημιτελές κτίσμα. </w:t>
      </w:r>
    </w:p>
    <w:p>
      <w:pPr>
        <w:pStyle w:val="MainText"/>
        <w:spacing w:before="120" w:after="0"/>
        <w:rPr>
          <w:lang w:val="el" w:eastAsia="el"/>
        </w:rPr>
      </w:pPr>
      <w:r>
        <w:rPr>
          <w:b/>
          <w:bCs/>
          <w:lang w:val="el" w:eastAsia="el"/>
        </w:rPr>
        <w:t>3.2.6</w:t>
      </w:r>
      <w:r>
        <w:rPr>
          <w:lang w:val="el" w:eastAsia="el"/>
        </w:rPr>
        <w:t xml:space="preserve"> Η αξία των βοηθητικών χώρων που είναι παρακολουθήματα της επαγγελματικής στέγης υπολογίζεται βάσει των προηγούμενων εδαφίων,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3.3</w:t>
      </w:r>
      <w:r>
        <w:rPr>
          <w:lang w:val="el" w:eastAsia="el"/>
        </w:rPr>
        <w:t xml:space="preserve"> Η φορολογητέα αξία οικόπεδου είναι ίση με το γινόμενο του συντελεστή οικοπέδου επί τη συνολική τιμή εκκίνησης οικοπέδου, το συντελεστή πρόσοψης, την επιφάνεια του οικοπέδου, τους συντελεστές ειδικών συνθηκών, το συντελεστή ποσοστού αξίας οικοπέδου, το συντελεστή συνιδιοκτησίας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3.3.1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3.3.2</w:t>
      </w:r>
      <w:r>
        <w:rPr>
          <w:lang w:val="el" w:eastAsia="el"/>
        </w:rPr>
        <w:t xml:space="preserve"> Εφαρμόζονται οι ακόλουθοι συντελεστές ειδικών συνθηκών: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εξάντλησής του, κατά το χρόνο φορολογίας, συντελεστή δόμησης, 0,80 για οικόπεδο που δεν είναι οικοδομήσιμο αλλά μπορεί να τακτοποιηθεί, 0,80 για απαλλοτριωτέο ακίνητο, 0,90 για οικόπεδο που τελεί υπό αναστολή οικοδομικών αδειών, η οποία δεν έχει αρθεί. </w:t>
      </w:r>
    </w:p>
    <w:p>
      <w:pPr>
        <w:pStyle w:val="MainText"/>
        <w:spacing w:before="120" w:after="0"/>
        <w:rPr>
          <w:lang w:val="el" w:eastAsia="el"/>
        </w:rPr>
      </w:pPr>
      <w:r>
        <w:rPr>
          <w:b/>
          <w:bCs/>
          <w:lang w:val="el" w:eastAsia="el"/>
        </w:rPr>
        <w:t>3.3.3</w:t>
      </w:r>
      <w:r>
        <w:rPr>
          <w:lang w:val="el" w:eastAsia="el"/>
        </w:rPr>
        <w:t xml:space="preserve"> Για την περίπτωση υπολογισμού αξίας οικοπέδου που αντιστοιχεί στο σύνολο της υπολειπόμενης, μέχρι εξαντλήσεως του συντελεστή αξιοποίησης οικοπέδου, δομήσιμης επιφάνειας που δεν έχει οικοδομηθεί, εφαρμόζεται συντελεστής ποσοστού αξίας οικοπέδου που προκύπτει από τον ακόλουθο μαθηματικό τύπο: Επιφάνεια υφισταμένων στο οικόπεδο κτισμάτων 1Επιφάνεια οικοπέδου σε τετραγωνικά μέτρα επί Συντελεστή Αξιοποίησης Οικοπέδου Σε περίπτωση που προκύπτει αρνητικό αποτέλεσμα τότε δεν υπολογίζεται αξία οικοπέδου. </w:t>
      </w:r>
    </w:p>
    <w:p>
      <w:pPr>
        <w:pStyle w:val="MainText"/>
        <w:spacing w:before="120" w:after="0"/>
        <w:rPr>
          <w:lang w:val="el" w:eastAsia="el"/>
        </w:rPr>
      </w:pPr>
      <w:r>
        <w:rPr>
          <w:b/>
          <w:bCs/>
          <w:lang w:val="el" w:eastAsia="el"/>
        </w:rPr>
        <w:t>3.4</w:t>
      </w:r>
      <w:r>
        <w:rPr>
          <w:lang w:val="el" w:eastAsia="el"/>
        </w:rPr>
        <w:t xml:space="preserve"> Η φορολογητέα αξία των αποθηκών, καθώς και των γεωργικών κτισμάτων είναι ίση με το γινόμενο της τιμής της αντίστοιχης ζώνης επί τη συνολική επιφάνεια της αποθήκης – γεωργικού κτίσματος,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αποθήκη – γεωργικό κτίσμα δηλώνεται και οικόπεδο, η αξία της προσαυξάνεται με την αξία του υπολοίπου οικοπέδου όπως αυτή προσδιορίζεται από την παράγραφο 3.3 του παρόντος άρθρου.</w:t>
      </w:r>
    </w:p>
    <w:p>
      <w:pPr>
        <w:pStyle w:val="MainText"/>
        <w:spacing w:before="120" w:after="0"/>
        <w:rPr>
          <w:lang w:val="el" w:eastAsia="el"/>
        </w:rPr>
      </w:pPr>
      <w:r>
        <w:rPr>
          <w:b/>
          <w:bCs/>
          <w:lang w:val="el" w:eastAsia="el"/>
        </w:rPr>
        <w:t>3.4.1</w:t>
      </w:r>
      <w:r>
        <w:rPr>
          <w:lang w:val="el" w:eastAsia="el"/>
        </w:rPr>
        <w:t xml:space="preserve"> Ανάλογα με τον όροφο στον οποίο βρίσκεται η αποθήκη ή το γεωργικό κτίσμα και το συντελεστή εμπορικότητας του δρόμου ή των δρόμων στον οποίο έχει πρόσοψη ή προσόψεις το κτίσμα εφαρμόζεται συντελεστής θέσης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αποθήκη ή το γεωργικό κτίσμα βρίσκεται στο ισόγειο ως συντελεστής θέσης λαμβάνεται το γινόμενο του συντελεστή εμπορικότητας επί 0,30. </w:t>
      </w:r>
    </w:p>
    <w:p>
      <w:pPr>
        <w:pStyle w:val="StructureList1"/>
        <w:spacing w:before="120" w:after="0"/>
        <w:rPr>
          <w:lang w:val="el" w:eastAsia="el"/>
        </w:rPr>
      </w:pPr>
      <w:r>
        <w:rPr>
          <w:lang w:val="el" w:eastAsia="el"/>
        </w:rPr>
        <w:t>β)</w:t>
      </w:r>
      <w:r>
        <w:rPr>
          <w:lang w:val="en" w:eastAsia="en"/>
        </w:rPr>
        <w:tab/>
      </w:r>
      <w:r>
        <w:rPr>
          <w:lang w:val="el" w:eastAsia="el"/>
        </w:rPr>
        <w:t xml:space="preserve">Αν η αποθήκη ή το γεωργικό κτίσμα βρίσκεται στο υπόγειο ως συντελεστής θέσης λαμβάνεται το γινόμενο του συντελεστή εμπορικότητας επί 0,15. </w:t>
      </w:r>
    </w:p>
    <w:p>
      <w:pPr>
        <w:pStyle w:val="StructureList1"/>
        <w:spacing w:before="120" w:after="0"/>
        <w:rPr>
          <w:lang w:val="el" w:eastAsia="el"/>
        </w:rPr>
      </w:pPr>
      <w:r>
        <w:rPr>
          <w:lang w:val="el" w:eastAsia="el"/>
        </w:rPr>
        <w:t>γ)</w:t>
      </w:r>
      <w:r>
        <w:rPr>
          <w:lang w:val="en" w:eastAsia="en"/>
        </w:rPr>
        <w:tab/>
      </w:r>
      <w:r>
        <w:rPr>
          <w:lang w:val="el" w:eastAsia="el"/>
        </w:rPr>
        <w:t xml:space="preserve">Αν η αποθήκη ή το γεωργικό κτίσμα βρίσκεται σε όροφο τότε ο συντελεστής θέσης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3.4.2</w:t>
      </w:r>
      <w:r>
        <w:rPr>
          <w:lang w:val="el" w:eastAsia="el"/>
        </w:rPr>
        <w:t xml:space="preserve"> Ανάλογα με τα χρόνια παλαιότητας της αποθήκης ή του γεωργικού κτίσματος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3.4.3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3.4.5</w:t>
      </w:r>
      <w:r>
        <w:rPr>
          <w:lang w:val="el" w:eastAsia="el"/>
        </w:rPr>
        <w:t xml:space="preserve"> Όταν η αποθήκη ή το γεωργικό κτίσμα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εμπραγμάτου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3.5.1</w:t>
      </w:r>
      <w:r>
        <w:rPr>
          <w:lang w:val="el" w:eastAsia="el"/>
        </w:rPr>
        <w:t xml:space="preserve"> Ανάλογα με τον όροφο και το συντελεστή εμπορικότητας του οικοπέδου στο οποίο βρίσκεται η θέση στάθμευσης εφαρμόζεται συντελεστής θέσης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ίσος με 1 εφαρμόζεται συντελεστής 0,20 για το υπόγειο, 0,30 για το ισόγειο, 0,25 για τον 1ο και επόμενους ορόφους.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του 1 και μικρότερος ή ίσος του 2 εφαρμόζεται συντελεστής 0,25 για το υπόγειο, 0,35 για το ισόγειο, 0,30 για τον 1ο και επόμενους ορόφους.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του 2 και μικρότερος ή ίσος του 3 εφαρμόζεται συντελεστής 0,30 για το υπόγειο, 0,40 για το ισόγειο, 0,35 για τον 1ο και επόμενους ορόφους.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του 3 εφαρμόζεται συντελεστής 0,35 για το υπόγειο, 0,45 για το ισόγειο, 0,40 για τον 1ο και επόμενους ορόφους. </w:t>
      </w:r>
    </w:p>
    <w:p>
      <w:pPr>
        <w:pStyle w:val="MainText"/>
        <w:spacing w:before="120" w:after="0"/>
        <w:rPr>
          <w:lang w:val="el" w:eastAsia="el"/>
        </w:rPr>
      </w:pPr>
      <w:r>
        <w:rPr>
          <w:b/>
          <w:bCs/>
          <w:lang w:val="el" w:eastAsia="el"/>
        </w:rPr>
        <w:t>3.5.2</w:t>
      </w:r>
      <w:r>
        <w:rPr>
          <w:lang w:val="el" w:eastAsia="el"/>
        </w:rPr>
        <w:t xml:space="preserve"> Ανάλογα με τα χρόνια παλαιότητας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3.5.3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3.5.5</w:t>
      </w:r>
      <w:r>
        <w:rPr>
          <w:lang w:val="el" w:eastAsia="el"/>
        </w:rPr>
        <w:t xml:space="preserve"> Όταν η θέση στάθμευσης δεν έχει πρόσοψη τότε συντελεστής εμπορικότητας είναι αυτός της διεύθυνσης του ακινήτου. </w:t>
      </w:r>
    </w:p>
    <w:p>
      <w:pPr>
        <w:pStyle w:val="MainText"/>
        <w:spacing w:before="120" w:after="0"/>
        <w:rPr>
          <w:lang w:val="el" w:eastAsia="el"/>
        </w:rPr>
      </w:pPr>
      <w:r>
        <w:rPr>
          <w:b/>
          <w:bCs/>
          <w:lang w:val="el" w:eastAsia="el"/>
        </w:rPr>
        <w:t>3.5.6</w:t>
      </w:r>
      <w:r>
        <w:rPr>
          <w:lang w:val="el" w:eastAsia="el"/>
        </w:rPr>
        <w:t xml:space="preserve"> Για τα ακίνητα που εμπίπτουν στις διατάξεις της παραγράφου 3 του παρόντος άρθρου ισχύουν τα εξής: </w:t>
      </w:r>
    </w:p>
    <w:p>
      <w:pPr>
        <w:pStyle w:val="StructureList1"/>
        <w:spacing w:before="120" w:after="0"/>
        <w:rPr>
          <w:lang w:val="el" w:eastAsia="el"/>
        </w:rPr>
      </w:pPr>
      <w:r>
        <w:rPr>
          <w:lang w:val="el" w:eastAsia="el"/>
        </w:rPr>
        <w:t>α)</w:t>
      </w:r>
      <w:r>
        <w:rPr>
          <w:lang w:val="en" w:eastAsia="en"/>
        </w:rPr>
        <w:tab/>
      </w:r>
      <w:r>
        <w:rPr>
          <w:lang w:val="el" w:eastAsia="el"/>
        </w:rPr>
        <w:t xml:space="preserve">Σε περιπτώσεις ποσοστού συνιδιοκτησίας πλήρους ή ψιλής κυριότητας εφαρμόζεται συντελεστής συνιδιοκτησίας ο οποίος ορίζεται σε 0,90. Δεν εφαρμόζεται ο συντελεστής όταν ο υπόχρεος σε φόρο έχει ποσοστό συνιδιοκτησίας στην επικαρπία. </w:t>
      </w:r>
    </w:p>
    <w:p>
      <w:pPr>
        <w:pStyle w:val="StructureList1"/>
        <w:spacing w:before="120" w:after="0"/>
        <w:rPr>
          <w:lang w:val="el" w:eastAsia="el"/>
        </w:rPr>
      </w:pPr>
      <w:r>
        <w:rPr>
          <w:lang w:val="el" w:eastAsia="el"/>
        </w:rPr>
        <w:t>β)</w:t>
      </w:r>
      <w:r>
        <w:rPr>
          <w:lang w:val="en" w:eastAsia="en"/>
        </w:rPr>
        <w:tab/>
      </w:r>
      <w:r>
        <w:rPr>
          <w:lang w:val="el" w:eastAsia="el"/>
        </w:rPr>
        <w:t xml:space="preserve">Σε περιπτώσεις οικοπέδου που δεν είναι οικοδομήσιμο, απαλλοτριωτέων ακίνητων και των ορισμένων οικισμών των πινάκων τιμών του Α.Π.Α.Α. δεν εφαρμόζεται συντελεστής πρόσοψης.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ακίνητο εντοπίζεται σε περισσότερα του ενός οικοδομικά τετράγωνα με πολλαπλά προσδιοριστικά στοιχεία υπολογισμού αξίας, για τον προσδιορισμό του Φόρου Ακίνητης Περιουσίας λαμβάνεται εκείνος ο συνδυασμός συντελεστών που προσδιορίζει την ευνοϊκότερη για τον φορολογούμενο αξία ακινήτου, εφόσον δεν υπολείπεται του 50% της υψηλότερης αξίας ακινήτου που θα μπορούσε να προκύψει από τους πιθανούς συνδυασμούς συντελεστών. </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που ακίνητο εντοπίζεται σε οικοδομικό τετράγωνο όπου ισχύουν πολλαπλά προσδιοριστικά στοιχεία υπολογισμού αξίας, για τον προσδιορισμό του Φόρου Ακίνητης Περιουσίας λαμβάνεται το σύνολο των συντελεστών που προσδιορίζει την ευνοϊκότερη για τον φορολογούμενο αξία ακινήτου. </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 </w:t>
      </w:r>
    </w:p>
    <w:p>
      <w:pPr>
        <w:pStyle w:val="StructureList1"/>
        <w:spacing w:before="120" w:after="0"/>
        <w:rPr>
          <w:lang w:val="el" w:eastAsia="el"/>
        </w:rPr>
      </w:pPr>
      <w:r>
        <w:rPr>
          <w:lang w:val="el" w:eastAsia="el"/>
        </w:rPr>
        <w:t>εα)</w:t>
      </w:r>
      <w:r>
        <w:rPr>
          <w:lang w:val="en" w:eastAsia="en"/>
        </w:rPr>
        <w:tab/>
      </w:r>
      <w:r>
        <w:rPr>
          <w:lang w:val="el" w:eastAsia="el"/>
        </w:rPr>
        <w:t xml:space="preserve">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αντικειμενικού συστήματος προσδιορισμού αξίας, κατά περίπτωση. </w:t>
      </w:r>
    </w:p>
    <w:p>
      <w:pPr>
        <w:pStyle w:val="StructureList1"/>
        <w:spacing w:before="120" w:after="0"/>
        <w:rPr>
          <w:lang w:val="el" w:eastAsia="el"/>
        </w:rPr>
      </w:pPr>
      <w:r>
        <w:rPr>
          <w:lang w:val="el" w:eastAsia="el"/>
        </w:rPr>
        <w:t>εβ)</w:t>
      </w:r>
      <w:r>
        <w:rPr>
          <w:lang w:val="en" w:eastAsia="en"/>
        </w:rPr>
        <w:tab/>
      </w:r>
      <w:r>
        <w:rPr>
          <w:lang w:val="el" w:eastAsia="el"/>
        </w:rPr>
        <w:t xml:space="preserve">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 </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pPr>
        <w:spacing w:before="240" w:after="240"/>
        <w:rPr>
          <w:lang w:val="el" w:eastAsia="el"/>
        </w:rPr>
      </w:pPr>
      <w:r>
        <w:rPr>
          <w:lang w:val="el" w:eastAsia="el"/>
        </w:rPr>
        <w:t>Δήμος ή Οικισμός Συντελεστής Αξιοποίησης Οικοπέδου ΑΓ. ΒΑΡΒΑΡΑΣ D1 = 0,80 ΑΓ. ΠΑΡΑΣΚΕΥΗΣ D1=1,00 D2=0,80 D3=0,80 ΑΙΓΑΛΕΩ D1 = 1,60 ΗΛΙΟΥΠΟΛΗΣ D1 = 0,80 ΚΗΦΙΣΙΑΣ D1 = 0,40 ΝΕΑΣ ΕΡΥΘΡΑΙΑΣ D1 = 0,40 ΣΑΛΑΜΙΝΑΣ D2 = 1,20 ΕΡΥΘΡΩΝ D3 = 0,80 ΜΕΓΑΡΩΝ ΝΕΟ ΜΕΛΙ D3 = 0,80 ΟΙΝΟΗΣ D3 = 0,80 ΑΝΑΒΥΣΣΟΥ D1 = 0,80 ΑΝΟΙΞΕΩΣ Σ.Α.Ο. = 0,40 ΑΦΙΔΝΩΝ D3 = 0,80 ΔΙΟΝΥΣΟΥ D1 = 0,40 ΔΡΟΣΙΑΣ D1 = 0,60 ΠΑΛΛΗΝΗΣ (ΛΟΦΟΣ ΕΝΤΙΣΟΝ) Σ.Α.Ο. = 0,80 ΡΟΔΟΠΟΛΗΣ D1 = 0,40 ΣΠΑΤΩΝ D3 = 0,80 ΞΑΝΘΗΣ D3 = 0,40 ΚΟΜΟΤΗΝΗΣ D1 = 1,00 ΝΙΓΡΙΤΑΣ Σ.Α.Ο. = 1,40 ΣΙΔΗΡΟΚΑΣΤΡΟΥ D3 = 0,90 ΤΡΙΚΑΛΩΝ D4 = 1,80 ΠΡΕΒΕΖΑΣ D2 = 0,40 ΛΟΥΤΡΩΝ ΑΙΔΗΨΟΥ D3 = 1,00 ΚΑΝΟΝΙΟΥ ΚΕΡΚΥΡΑΣ D1 = 0,40 ΣΥΚΥΩΝΟΣ ΔΥΤΙΚΗΣ ΤΡΑΓΑΝΑΣ Σ.Α.Ο. = 0,80 ΚΑΣΤΡΟΥ ΜΟΝΕΜΒΑΣΙΑΣ D3 = 1,00 ΣΑΜΟΥ D1 = 1,20 ΙΑΛΥΣΟΥ Σ.Α.Ο. = 0,40 ΡΟΔΟΥ D1 = 1,00 ΓΟΥΡΝΩΝ Σ.Α.Ο. = 0,60 3Ο ΔΙΑΜΕΡΙΣΜΑ ΑΘΗΝΩΝ D3 = 0,80 ΑΙΓΑΛΕΩ D3 = 0,80 ΠΕΡΙΣΤΕΡΙ D3 = 0,80 ΤΑΥΡΟΣ D3 = 0,80 ΑΓ. Ι. ΡΕΝΤΗ D3 = 0,80</w:t>
      </w:r>
    </w:p>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pPr>
        <w:pStyle w:val="MainText"/>
        <w:spacing w:before="120" w:after="0"/>
        <w:rPr>
          <w:lang w:val="el" w:eastAsia="el"/>
        </w:rPr>
      </w:pPr>
      <w:r>
        <w:rPr>
          <w:b/>
          <w:bCs/>
          <w:lang w:val="el" w:eastAsia="el"/>
        </w:rPr>
        <w:t>4.</w:t>
      </w:r>
      <w:r>
        <w:rPr>
          <w:lang w:val="el" w:eastAsia="el"/>
        </w:rPr>
        <w:t xml:space="preserve"> Για τα ακίνητα των οποίων η αξία των κτισμάτων τους προκύπτει σύμφωνα με τις διατάξεις του άρθρου 41Α του ν. 1249/1982, όπως ισχύει, με εξαίρεση τα ειδικά κτίσματα, και τα οποία βρίσκονται επί οικοπέδου η αξία του οποίου προκύπτει σύμφωνα με την παράγραφο 2 του άρθρου 3 του α.ν. 1521/1950 ή επί αγροτεμαχίου, η φορολογητέα αξία προσδιορίζεται ανά κατηγορία ως εξής: </w:t>
      </w:r>
    </w:p>
    <w:p>
      <w:pPr>
        <w:pStyle w:val="MainText"/>
        <w:spacing w:before="120" w:after="0"/>
        <w:rPr>
          <w:lang w:val="el" w:eastAsia="el"/>
        </w:rPr>
      </w:pPr>
      <w:r>
        <w:rPr>
          <w:b/>
          <w:bCs/>
          <w:lang w:val="el" w:eastAsia="el"/>
        </w:rPr>
        <w:t>4.1</w:t>
      </w:r>
      <w:r>
        <w:rPr>
          <w:lang w:val="el" w:eastAsia="el"/>
        </w:rPr>
        <w:t xml:space="preserve"> Η φορολογητέα αξία του οικοπέδου προκύπτει από το γινόμενο της τιμής οικοπέδου που ορίζεται με την προβλεπόμενη στο δεύτερο εδάφιο της παραγράφου 1 του παρόντος άρθρου απόφαση Υπουργού Οικονομικών επί την επιφάνεια του οικοπέδου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4.2</w:t>
      </w:r>
      <w:r>
        <w:rPr>
          <w:lang w:val="el" w:eastAsia="el"/>
        </w:rPr>
        <w:t xml:space="preserve"> Η φορολογητέα αξία κατοικίας ή διαμερίσματος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κατοικίας ή του διαμερίσματος,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4.2.1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4.2.2</w:t>
      </w:r>
      <w:r>
        <w:rPr>
          <w:lang w:val="el" w:eastAsia="el"/>
        </w:rPr>
        <w:t xml:space="preserve"> Ανάλογα με την επιφάνεια της περίπτωσης 4.2.1 εφαρμόζεται συντελεστής μεγέθους ως εξής: 1,00 για επιφάνεια μέχρι 200 τ.μ., 1,10 για επιφάνεια πάνω από 200 τ.μ. και μέχρι 300 τ.μ. και 1,20 για επιφάνεια πάνω από 300 τ.μ. </w:t>
      </w:r>
    </w:p>
    <w:p>
      <w:pPr>
        <w:pStyle w:val="MainText"/>
        <w:spacing w:before="120" w:after="0"/>
        <w:rPr>
          <w:lang w:val="el" w:eastAsia="el"/>
        </w:rPr>
      </w:pPr>
      <w:r>
        <w:rPr>
          <w:b/>
          <w:bCs/>
          <w:lang w:val="el" w:eastAsia="el"/>
        </w:rPr>
        <w:t>4.2.3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4.2.4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4.2.5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4.3</w:t>
      </w:r>
      <w:r>
        <w:rPr>
          <w:lang w:val="el" w:eastAsia="el"/>
        </w:rPr>
        <w:t xml:space="preserve"> Η φορολογητέα αξία μονοκατοικίας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1,20, την επιφάνεια της μονοκατοικίας,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4.3.2</w:t>
      </w:r>
      <w:r>
        <w:rPr>
          <w:lang w:val="el" w:eastAsia="el"/>
        </w:rPr>
        <w:t xml:space="preserve"> Ανάλογα με την επιφάνεια της περίπτωσης 4.3.1 εφαρμόζεται συντελεστής μεγέθους ως εξής: 1,00 για επιφάνεια μέχρι 200 τ.μ., 1,10 για επιφάνεια πάνω από 200 τ.μ. και μέχρι 300 τ.μ., 1,20 για επιφάνεια πάνω από 300 τ.μ. και μέχρι 400 τ.μ., 1,30 για επιφάνεια πάνω από 400 τ.μ. και μέχρι 500 τ.μ., 1,40 για επιφάνεια πάνω από 500 τ.μ. και μέχρι 600 τ.μ. και 1,50 για επιφάνεια πάνω από 600 τ.μ. </w:t>
      </w:r>
    </w:p>
    <w:p>
      <w:pPr>
        <w:pStyle w:val="MainText"/>
        <w:spacing w:before="120" w:after="0"/>
        <w:rPr>
          <w:lang w:val="el" w:eastAsia="el"/>
        </w:rPr>
      </w:pPr>
      <w:r>
        <w:rPr>
          <w:b/>
          <w:bCs/>
          <w:lang w:val="el" w:eastAsia="el"/>
        </w:rPr>
        <w:t>4.3.3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4.3.4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4.3.5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4.4</w:t>
      </w:r>
      <w:r>
        <w:rPr>
          <w:lang w:val="el" w:eastAsia="el"/>
        </w:rPr>
        <w:t xml:space="preserve"> Η φορολογητέα αξία επαγγελματικής στέγης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επαγγελματικής στέγης,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4.4.2</w:t>
      </w:r>
      <w:r>
        <w:rPr>
          <w:lang w:val="el" w:eastAsia="el"/>
        </w:rPr>
        <w:t xml:space="preserve"> Ανάλογα με την επιφάνεια της περίπτωσης 4.4.1 εφαρμόζεται συντελεστής μεγέθους ως εξής: 1,00 για επιφάνεια μέχρι 100 τ.μ., 0,90 για επιφάνεια πάνω από 100 και μέχρι 200 τ.μ., 0,85 για επιφάνεια πάνω από 200 τ.μ. και μέχρι 300 τ.μ., 0,80 για επιφάνεια πάνω από 300 τ.μ. </w:t>
      </w:r>
    </w:p>
    <w:p>
      <w:pPr>
        <w:pStyle w:val="MainText"/>
        <w:spacing w:before="120" w:after="0"/>
        <w:rPr>
          <w:lang w:val="el" w:eastAsia="el"/>
        </w:rPr>
      </w:pPr>
      <w:r>
        <w:rPr>
          <w:b/>
          <w:bCs/>
          <w:lang w:val="el" w:eastAsia="el"/>
        </w:rPr>
        <w:t>4.4.3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4.4.5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4.5</w:t>
      </w:r>
      <w:r>
        <w:rPr>
          <w:lang w:val="el" w:eastAsia="el"/>
        </w:rPr>
        <w:t xml:space="preserve"> Η φορολογητέα αξία γεωργικού κτηρίου ή της αποθήκης είναι ίση με το άθροισμα της αξίας οικοπέδου, όπως ορίζεται στην παράγραφο 4.1 του παρόντος άρθρου και της αξίας κτίσματος, όπως αυτή προκύπτει από το γινόμενο της τιμής εκκίνησης επί 1,30, την επιφάνεια του γεωργικού κτιρίου ή της αποθήκης,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4.5.1</w:t>
      </w:r>
      <w:r>
        <w:rPr>
          <w:lang w:val="el" w:eastAsia="el"/>
        </w:rPr>
        <w:t xml:space="preserve"> Ως επιφάνεια γεωργικού κτιρίου – αποθήκης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4.5.2</w:t>
      </w:r>
      <w:r>
        <w:rPr>
          <w:lang w:val="el" w:eastAsia="el"/>
        </w:rPr>
        <w:t xml:space="preserve"> Ανάλογα με την επιφάνεια της περίπτωσης 4.5.1 εφαρμόζεται συντελεστής μεγέθους ως εξής: 0,70 για επιφάνεια έως και 60 τ.μ., 1,00 για επιφάνεια μεγαλύτερη από 60 και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4.5.3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4.5.4</w:t>
      </w:r>
      <w:r>
        <w:rPr>
          <w:lang w:val="el" w:eastAsia="el"/>
        </w:rPr>
        <w:t xml:space="preserve">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4.5.5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4.6</w:t>
      </w:r>
      <w:r>
        <w:rPr>
          <w:lang w:val="el" w:eastAsia="el"/>
        </w:rPr>
        <w:t xml:space="preserve"> Η φορολογητέα αξία θέσης στάθμευσης είναι ίση με το άθροισμα του οικοπέδου, όπως ορίζεται στην παράγραφο 4.1 του παρόντος άρθρου και της αξίας κτίσματος, όπως αυτή προκύπτει από το γινόμενο της τιμής εκκίνησης μονοκατοικίας επί 1,20, την επιφάνεια της θέσης στάθμευσης,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4.6.1</w:t>
      </w:r>
      <w:r>
        <w:rPr>
          <w:lang w:val="el" w:eastAsia="el"/>
        </w:rPr>
        <w:t xml:space="preserve"> Ως επιφάνεια της θέσης στάθμευσης λαμβάνεται ποσοστό είκοσι πέντε τοις εκατό (25%) της επιφάνειάς της. </w:t>
      </w:r>
    </w:p>
    <w:p>
      <w:pPr>
        <w:pStyle w:val="MainText"/>
        <w:spacing w:before="120" w:after="0"/>
        <w:rPr>
          <w:lang w:val="el" w:eastAsia="el"/>
        </w:rPr>
      </w:pPr>
      <w:r>
        <w:rPr>
          <w:b/>
          <w:bCs/>
          <w:lang w:val="el" w:eastAsia="el"/>
        </w:rPr>
        <w:t>4.6.2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4.6.3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4.7</w:t>
      </w:r>
      <w:r>
        <w:rPr>
          <w:lang w:val="el" w:eastAsia="el"/>
        </w:rPr>
        <w:t xml:space="preserve"> Για τα ακίνητα που εμπίπτουν στις διατάξεις της παραγράφου 4 του παρόντος άρθρου ισχύουν τα εξής: </w:t>
      </w:r>
    </w:p>
    <w:p>
      <w:pPr>
        <w:pStyle w:val="MainText"/>
        <w:spacing w:before="120" w:after="0"/>
        <w:rPr>
          <w:lang w:val="el" w:eastAsia="el"/>
        </w:rPr>
      </w:pPr>
      <w:r>
        <w:rPr>
          <w:b/>
          <w:bCs/>
          <w:lang w:val="el" w:eastAsia="el"/>
        </w:rPr>
        <w:t>4.7.1</w:t>
      </w:r>
      <w:r>
        <w:rPr>
          <w:lang w:val="el" w:eastAsia="el"/>
        </w:rPr>
        <w:t xml:space="preserve"> Σε περιπτώσεις τμημάτων γης για τα οποία δεν έχει εφαρμοστεί το σύστημα Α.Π.Α.Α. και δεν συμπεριλαμβάνονται στην απόφαση του Υπουργού Οικονομικών που προβλέπεται στο δεύτερο εδάφιο της παραγράφου 1, ως τιμή ανά τετραγωνικό μέτρο εφαρμόζεται η τιμή οικοπέδου που προκύπτει από τη χαμηλότερη τιμή ζώνης και το μικρότερο Συντελεστή Αξιοποίησης Οικοπέδου και συντελεστή Οικοπέδου και ζώνης του οικείου δήμου ή κοινότητας. </w:t>
      </w:r>
    </w:p>
    <w:p>
      <w:pPr>
        <w:pStyle w:val="MainText"/>
        <w:spacing w:before="120" w:after="0"/>
        <w:rPr>
          <w:lang w:val="el" w:eastAsia="el"/>
        </w:rPr>
      </w:pPr>
      <w:r>
        <w:rPr>
          <w:b/>
          <w:bCs/>
          <w:lang w:val="el" w:eastAsia="el"/>
        </w:rPr>
        <w:t>4.7.2</w:t>
      </w:r>
      <w:r>
        <w:rPr>
          <w:lang w:val="el" w:eastAsia="el"/>
        </w:rPr>
        <w:t xml:space="preserve"> Για τα ακίνητα των οποίων η αξία του γηπέδου τους προκύπτει σύμφωνα με την παράγραφο 2 του άρθρου 3 του α.ν. 1521/1950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5.</w:t>
      </w:r>
      <w:r>
        <w:rPr>
          <w:lang w:val="el" w:eastAsia="el"/>
        </w:rPr>
        <w:t xml:space="preserve"> Για τα ειδικά κτίσματα η φορολογητέα αξία προκύπτει από το άθροισμα της αξίας του οικοπέδου, η οποία, αν το οικόπεδο βρίσκεται εντός συστήματος Α.Π.Α.Α. προσδιορίζεται σύμφωνα με τα οριζόμενα στην παράγραφο 3.3 του παρόντος άρθρου και εάν βρίσκεται εκτός συστήματος Α.Π.Α.Α. προσδιορίζεται από την παράγραφο 4.1 του παρόντος, και της αξίας κτίσματος σύμφωνα με τα κατωτέρω: </w:t>
      </w:r>
    </w:p>
    <w:p>
      <w:pPr>
        <w:pStyle w:val="MainText"/>
        <w:spacing w:before="120" w:after="0"/>
        <w:rPr>
          <w:lang w:val="el" w:eastAsia="el"/>
        </w:rPr>
      </w:pPr>
      <w:r>
        <w:rPr>
          <w:b/>
          <w:bCs/>
          <w:lang w:val="el" w:eastAsia="el"/>
        </w:rPr>
        <w:t>5.1</w:t>
      </w:r>
      <w:r>
        <w:rPr>
          <w:lang w:val="el" w:eastAsia="el"/>
        </w:rPr>
        <w:t xml:space="preserve"> Η αξία του κτίσματος των σταθμών αυτοκινήτων – βιομηχανικών βιοτεχνικών κτηρίων προκύπτει από το γινόμενο της τιμής εκκίνησης επί 1,40, την επιφάνεια,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5.1.1</w:t>
      </w:r>
      <w:r>
        <w:rPr>
          <w:lang w:val="el" w:eastAsia="el"/>
        </w:rPr>
        <w:t xml:space="preserve"> Ως επιφάνεια σταθμού αυτοκινήτου – βιομηχανικού – βιοτεχνικού κτηρίου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5.1.2</w:t>
      </w:r>
      <w:r>
        <w:rPr>
          <w:lang w:val="el" w:eastAsia="el"/>
        </w:rPr>
        <w:t xml:space="preserve"> Ανάλογα με την επιφάνεια της περίπτωσης 5.1.1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5.1.3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5.1.4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5.2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5.2.2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5.2.3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5.3</w:t>
      </w:r>
      <w:r>
        <w:rPr>
          <w:lang w:val="el" w:eastAsia="el"/>
        </w:rPr>
        <w:t xml:space="preserve"> Η αξία του κτίσματος εκπαιδευτηρίου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 </w:t>
      </w:r>
    </w:p>
    <w:p>
      <w:pPr>
        <w:pStyle w:val="MainText"/>
        <w:spacing w:before="120" w:after="0"/>
        <w:rPr>
          <w:lang w:val="el" w:eastAsia="el"/>
        </w:rPr>
      </w:pPr>
      <w:r>
        <w:rPr>
          <w:b/>
          <w:bCs/>
          <w:lang w:val="el" w:eastAsia="el"/>
        </w:rPr>
        <w:t>5.3.2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5.3.3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5.4</w:t>
      </w:r>
      <w:r>
        <w:rPr>
          <w:lang w:val="el" w:eastAsia="el"/>
        </w:rPr>
        <w:t xml:space="preserve"> Η αξία του κτίσματος αθλητικών εγκαταστάσεων προκύπτει από το γινόμενο της τιμής εκκίνησης εκπαιδευτηρίων επί 0,80,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 </w:t>
      </w:r>
    </w:p>
    <w:p>
      <w:pPr>
        <w:pStyle w:val="MainText"/>
        <w:spacing w:before="120" w:after="0"/>
        <w:rPr>
          <w:lang w:val="el" w:eastAsia="el"/>
        </w:rPr>
      </w:pPr>
      <w:r>
        <w:rPr>
          <w:b/>
          <w:bCs/>
          <w:lang w:val="el" w:eastAsia="el"/>
        </w:rPr>
        <w:t>5.4.2</w:t>
      </w:r>
      <w:r>
        <w:rPr>
          <w:lang w:val="el" w:eastAsia="el"/>
        </w:rPr>
        <w:t xml:space="preserve"> Ανάλογα με την επιφάνεια της περίπτωσης 5.4.1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 </w:t>
      </w:r>
    </w:p>
    <w:p>
      <w:pPr>
        <w:pStyle w:val="MainText"/>
        <w:spacing w:before="120" w:after="0"/>
        <w:rPr>
          <w:lang w:val="el" w:eastAsia="el"/>
        </w:rPr>
      </w:pPr>
      <w:r>
        <w:rPr>
          <w:b/>
          <w:bCs/>
          <w:lang w:val="el" w:eastAsia="el"/>
        </w:rPr>
        <w:t>5.5.2</w:t>
      </w:r>
      <w:r>
        <w:rPr>
          <w:lang w:val="el" w:eastAsia="el"/>
        </w:rPr>
        <w:t xml:space="preserve"> Ανάλογα με την επιφάνεια της περίπτωσης 5.5.1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5.5.3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και άνω. </w:t>
      </w:r>
    </w:p>
    <w:p>
      <w:pPr>
        <w:pStyle w:val="MainText"/>
        <w:spacing w:before="120" w:after="0"/>
        <w:rPr>
          <w:lang w:val="el" w:eastAsia="el"/>
        </w:rPr>
      </w:pPr>
      <w:r>
        <w:rPr>
          <w:b/>
          <w:bCs/>
          <w:lang w:val="el" w:eastAsia="el"/>
        </w:rPr>
        <w:t>5.5.4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6.</w:t>
      </w:r>
      <w:r>
        <w:rPr>
          <w:lang w:val="el" w:eastAsia="el"/>
        </w:rPr>
        <w:t xml:space="preserve"> Για τις κατηγορίες ακινήτων που αναφέρονται στις παραγράφους 3, 4 και 5 του παρόντος άρθρου δεν εφαρμόζεται συντελεστής παλαιότητας σε ημιτελή κτίσματα. </w:t>
      </w:r>
    </w:p>
    <w:p>
      <w:pPr>
        <w:pStyle w:val="MainText"/>
        <w:spacing w:before="120" w:after="0"/>
        <w:rPr>
          <w:lang w:val="el" w:eastAsia="el"/>
        </w:rPr>
      </w:pPr>
      <w:r>
        <w:rPr>
          <w:b/>
          <w:bCs/>
          <w:lang w:val="el" w:eastAsia="el"/>
        </w:rPr>
        <w:t>7.</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7.2</w:t>
      </w:r>
      <w:r>
        <w:rPr>
          <w:lang w:val="el" w:eastAsia="el"/>
        </w:rPr>
        <w:t xml:space="preserve"> Ο συντελεστής κατηγορίας κτίσματος ορίζεται ανάλογα με το είδος του κτίσματος ως εξής: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1, όταν επί του αγροτεμαχίου υφίσταται κατοικία ή μονοκατοικία,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0,4, όταν επί του αγροτεμαχίου υφίσταται αποθήκη ή γεωργικό ή κτηνοτροφικό κτίσμα,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0,6, όταν επί του αγροτεμαχίου υφίσταται αποκλειστικά άλλης κατηγορίας κτίσμα, πλην των περιπτώσεων α΄ και β΄,</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 xml:space="preserve">0,6, όταν επί του αγροτεμαχίου υφίστανται κτίσματα κατοικίας και αποθήκης, </w:t>
      </w:r>
    </w:p>
    <w:p>
      <w:pPr>
        <w:pStyle w:val="StructureList1"/>
        <w:spacing w:before="120" w:after="0"/>
        <w:rPr>
          <w:lang w:val="el" w:eastAsia="el"/>
        </w:rPr>
      </w:pPr>
      <w:r>
        <w:rPr>
          <w:lang w:val="el" w:eastAsia="el"/>
        </w:rPr>
        <w:t>ε)</w:t>
      </w:r>
      <w:r>
        <w:rPr>
          <w:lang w:val="en" w:eastAsia="en"/>
        </w:rPr>
        <w:tab/>
      </w:r>
      <w:r>
        <w:rPr>
          <w:lang w:val="el" w:eastAsia="el"/>
        </w:rPr>
        <w:t>0,5 όταν επί του αγροτεμαχίου υφίστανται κτίσματα αποθήκης, καθώς και οποιασδήποτε άλλης κατηγορίας κτίσματα πλην κατοικιών ή μονοκατοικών,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0,65 όταν επί του αγροτεμαχίου υφίστανται κτίσματα κατοικιών ή μονοκατοικιών και άλλης κατηγορίας κτισμάτων πλην αποθηκών,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1, όταν επί του αγροτεμαχίου υφίσταται κτίσμα για τα οποία δεν προκύπτει η κατηγορία τους από τη δήλωση στοιχείων ακινήτων.</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7.3</w:t>
      </w:r>
      <w:r>
        <w:rPr>
          <w:lang w:val="el" w:eastAsia="el"/>
        </w:rPr>
        <w:t xml:space="preserve"> Για τον υπολογισμό της αξίας δασών και δασικών εκτάσεων ισχύουν ανάλογα τα οριζόμενα στην παράγραφο αυτή, μη εφαρμοζομένων διατάξεων του ν. 998/ 1979 (Α΄ 289).</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καθορίζεται κάθε άλλη σχετική λεπτομέρεια και ειδικότερο θέμα που είναι αναγκαίο για την εφαρμογή του παρόντος.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Απριλίου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 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3" w:history="1">
        <w:r>
          <w:rPr>
            <w:rStyle w:val="Hyperlink"/>
            <w:color w:val="0000EE"/>
            <w:u w:color="0000EE"/>
            <w:lang w:val="el" w:eastAsia="el"/>
          </w:rPr>
          <w:t>Τροποποίηση 4223/2013, Άρθρο 13</w:t>
        </w:r>
      </w:hyperlink>
      <w:r>
        <w:rPr>
          <w:lang w:val="el" w:eastAsia="el"/>
        </w:rPr>
        <w:t xml:space="preserve">; </w:t>
      </w:r>
      <w:hyperlink r:id="rId2" w:anchor="art_1" w:history="1">
        <w:r>
          <w:rPr>
            <w:rStyle w:val="Hyperlink"/>
            <w:color w:val="0000EE"/>
            <w:u w:color="0000EE"/>
            <w:lang w:val="el" w:eastAsia="el"/>
          </w:rPr>
          <w:t>Προσθήκη 4152/2013, Άρθρο 1</w:t>
        </w:r>
      </w:hyperlink>
      <w:r>
        <w:rPr>
          <w:lang w:val="el" w:eastAsia="el"/>
        </w:rPr>
        <w:t xml:space="preserve">; </w:t>
      </w:r>
      <w:hyperlink r:id="rId3" w:anchor="art_24" w:history="1">
        <w:r>
          <w:rPr>
            <w:rStyle w:val="Hyperlink"/>
            <w:color w:val="0000EE"/>
            <w:u w:color="0000EE"/>
            <w:lang w:val="el" w:eastAsia="el"/>
          </w:rPr>
          <w:t>Προσθήκη 3943/2011,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Προσθήκη 4223/2013, Άρθρο 13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Προσθήκη 4223/2013, Άρθρο 13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3" w:history="1">
        <w:r>
          <w:rPr>
            <w:rStyle w:val="Hyperlink"/>
            <w:color w:val="0000EE"/>
            <w:u w:color="0000EE"/>
            <w:lang w:val="el" w:eastAsia="el"/>
          </w:rPr>
          <w:t>Προσθήκη 4223/2013, Άρθρο 13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3" w:history="1">
        <w:r>
          <w:rPr>
            <w:rStyle w:val="Hyperlink"/>
            <w:color w:val="0000EE"/>
            <w:u w:color="0000EE"/>
            <w:lang w:val="el" w:eastAsia="el"/>
          </w:rPr>
          <w:t>Προσθήκη 4223/2013, Άρθρο 13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3" w:history="1">
        <w:r>
          <w:rPr>
            <w:rStyle w:val="Hyperlink"/>
            <w:color w:val="0000EE"/>
            <w:u w:color="0000EE"/>
            <w:lang w:val="el" w:eastAsia="el"/>
          </w:rPr>
          <w:t>Προσθήκη 4223/2013, Άρθρο 13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3" w:history="1">
        <w:r>
          <w:rPr>
            <w:rStyle w:val="Hyperlink"/>
            <w:color w:val="0000EE"/>
            <w:u w:color="0000EE"/>
            <w:lang w:val="el" w:eastAsia="el"/>
          </w:rPr>
          <w:t>Προσθήκη 4223/2013, Άρθρο 13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 w:history="1">
        <w:r>
          <w:rPr>
            <w:rStyle w:val="Hyperlink"/>
            <w:color w:val="0000EE"/>
            <w:u w:color="0000EE"/>
            <w:lang w:val="el" w:eastAsia="el"/>
          </w:rPr>
          <w:t>Προσθήκη 4223/2013,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3" w:history="1">
        <w:r>
          <w:rPr>
            <w:rStyle w:val="Hyperlink"/>
            <w:color w:val="0000EE"/>
            <w:u w:color="0000EE"/>
            <w:lang w:val="el" w:eastAsia="el"/>
          </w:rPr>
          <w:t>Προσθήκη 4223/2013,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3" w:history="1">
        <w:r>
          <w:rPr>
            <w:rStyle w:val="Hyperlink"/>
            <w:color w:val="0000EE"/>
            <w:u w:color="0000EE"/>
            <w:lang w:val="el" w:eastAsia="el"/>
          </w:rPr>
          <w:t>Προσθήκη 4223/2013, Άρθρο 13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4223/2013, Άρθρο 13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2" Type="http://schemas.openxmlformats.org/officeDocument/2006/relationships/hyperlink" Target="http://data.aade.gr/eli/pri/law/2013/05/09/4152" TargetMode="External" /><Relationship Id="rId3" Type="http://schemas.openxmlformats.org/officeDocument/2006/relationships/hyperlink" Target="http://data.aade.gr/eli/pri/law/2011/03/31/3943"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