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νομικών προσώπων και νομικών οντοτήτων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από το φόρο ακίνητης περιουσίας και τον ενιαίο φόρο ιδιοκτησίας ακινήτων.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31.12.2008.Αν το οικόπεδο είναι δεσμευμένο για κοινωφελή χρήση ο Σ. Α. Ο. είναι ίσος με το συντελεστή δόμησης του οικοδομικού τετραγώνου, όπως έχει καθοριστεί με προεδρικό διάταγμα. 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 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Με απόφαση του Υπουργού Οικονομικών καθορίζονται, για τις περιοχές που εντάσσονται στο σύστημα του αντικειμενικού προσδιορισμού αξίας ακινήτων για πρώτη φορά, οι συντελεστές αξιοποίησης οικοπέδου, καθώς και κάθε άλλο θέμα για τον προσδιορισμό της αξίας των ακινήτων για τη φορολογία ακίνητης περιουσίας. Για την εφαρμογή των διατάξεων των προηγούμενων εδαφίων ως δήμοι και κοινότητες νοούνται οι δήμοι και κοινότητες του ν. 2539/1997 (ΦΕΚ 244 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Συντελεστή Αξιοποίησης Οικοπέδου και δεν είναι δυνατός ο προσδιορισμός της θέσης τους, λόγω έλλειψης της γεωγραφικής απεικόνισης της περιοχής σε χάρτη, ως τιμή Συντελεστή Αξιοποίησης Οικοπέδου λαμβάνεται η μικρότερη τιμή.</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εντάχθηκαν στο αντικειμενικό σύστημα προσδιορισμού αξίας ακινήτων από το έτος 2011, στις οποίες δεν υπάρχει τιμή Συντελεστή Αξιοποίησης Οικοπέδου, ως Συντελεστής Αξιοποίησης Οικοπέδου λαμβάνεται η τιμή 0,60.</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εζ)</w:t>
      </w:r>
      <w:r>
        <w:rPr>
          <w:lang w:val="en" w:eastAsia="en"/>
        </w:rPr>
        <w:tab/>
      </w:r>
      <w:r>
        <w:rPr>
          <w:lang w:val="el" w:eastAsia="el"/>
        </w:rPr>
        <w:t>Για οικόπεδα που βρίσκονται σε περιοχές, οι οποίες εντάσσονται στο αντικειμενικό σύστημα προσδιορισμού αξίας ακινήτων με τιμή Συντελεστή Αξιοποίησης Οικοπέδου D5, ως Συντελεστής Αξιοποίησης Οικοπέδου λαμβάνεται η τιμή 0,20.</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παράγραφο 1 του παρόντος άρθρου, ή επί αγροτεμαχίου, η φο</w:t>
      </w:r>
      <w:r>
        <w:rPr>
          <w:lang w:val="el" w:eastAsia="el"/>
        </w:rPr>
        <w:softHyphen/>
        <w:t>ρολογητέα αξία προσδιορίζεται ανά κατηγορία ως εξής: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συνολικής τιμής εκκίνησης του οικοπέδου, του συντελεστή οικοπέδου, ο οποίος δεν μπορεί να είναι μεγαλύτερος του 1, της επιφάνειας του οικοπέδου και του ποσοστού συνιδιοκτησίας αναλόγως του είδους εμπραγμάτου δικαιώματος.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7.2</w:t>
      </w:r>
      <w:r>
        <w:rPr>
          <w:lang w:val="el" w:eastAsia="el"/>
        </w:rPr>
        <w:t xml:space="preserve"> Ο συντελεστής κατηγορίας κτίσματος ορίζεται ανάλογα με το είδος του κτίσματος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1, όταν επί του αγροτεμαχίου υφίσταται κατοικία ή μονοκατοικία,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0,4, όταν επί του αγροτεμαχίου υφίσταται αποθήκη ή γεωργικό ή κτηνοτροφικό κτίσμα,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0,6, όταν επί του αγροτεμαχίου υφίσταται αποκλειστικά άλλης κατηγορίας κτίσμα, πλην των περιπτώσεων α΄ και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 xml:space="preserve">0,6, όταν επί του αγροτεμαχίου υφίστανται κτίσματα κατοικίας και αποθήκης, </w:t>
      </w:r>
    </w:p>
    <w:p>
      <w:pPr>
        <w:pStyle w:val="StructureList1"/>
        <w:spacing w:before="120" w:after="0"/>
        <w:rPr>
          <w:lang w:val="el" w:eastAsia="el"/>
        </w:rPr>
      </w:pPr>
      <w:r>
        <w:rPr>
          <w:lang w:val="el" w:eastAsia="el"/>
        </w:rPr>
        <w:t>ε)</w:t>
      </w:r>
      <w:r>
        <w:rPr>
          <w:lang w:val="en" w:eastAsia="en"/>
        </w:rPr>
        <w:tab/>
      </w:r>
      <w:r>
        <w:rPr>
          <w:lang w:val="el" w:eastAsia="el"/>
        </w:rPr>
        <w:t>0,5 όταν επί του αγροτεμαχίου υφίστανται κτίσματα αποθήκης, καθώς και οποιασδήποτε άλλης κατηγορίας κτίσματα πλην κατοικιών ή μονοκατοικών,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0,65 όταν επί του αγροτεμαχίου υφίστανται κτίσματα κατοικιών ή μονοκατοικιών και οποιασδήποτε άλλης κατηγορίας κτισμάτων,</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ζ)</w:t>
      </w:r>
      <w:r>
        <w:rPr>
          <w:lang w:val="en" w:eastAsia="en"/>
        </w:rPr>
        <w:tab/>
      </w:r>
      <w:r>
        <w:rPr>
          <w:lang w:val="el" w:eastAsia="el"/>
        </w:rPr>
        <w:t>1, όταν επί του αγροτεμαχίου υφίσταται κτίσμα για τα οποία δεν προκύπτει η κατηγορία τους από τη δήλωση στοιχείων ακινήτων.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7.3</w:t>
      </w:r>
      <w:r>
        <w:rPr>
          <w:lang w:val="el" w:eastAsia="el"/>
        </w:rPr>
        <w:t xml:space="preserve"> Για τον υπολογισμό της αξίας δασών και δασικών εκτάσεων ισχύουν ανάλογα τα οριζόμενα στην παράγραφο αυτή, μη εφαρμοζομένων διατάξεων του ν. 998/ 1979 (Α΄ 289).</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Προσθήκη 4276/2014, Άρθρο 52</w:t>
        </w:r>
      </w:hyperlink>
      <w:r>
        <w:rPr>
          <w:lang w:val="el" w:eastAsia="el"/>
        </w:rPr>
        <w:t xml:space="preserve">; </w:t>
      </w:r>
      <w:hyperlink r:id="rId2" w:anchor="art_52" w:history="1">
        <w:r>
          <w:rPr>
            <w:rStyle w:val="Hyperlink"/>
            <w:color w:val="0000EE"/>
            <w:u w:color="0000EE"/>
            <w:lang w:val="el" w:eastAsia="el"/>
          </w:rPr>
          <w:t>Προσθήκη 4276/2014, Άρθρο 52</w:t>
        </w:r>
      </w:hyperlink>
      <w:r>
        <w:rPr>
          <w:lang w:val="el" w:eastAsia="el"/>
        </w:rPr>
        <w:t xml:space="preserve">; </w:t>
      </w:r>
      <w:hyperlink r:id="rId3" w:anchor="art_12" w:history="1">
        <w:r>
          <w:rPr>
            <w:rStyle w:val="Hyperlink"/>
            <w:color w:val="0000EE"/>
            <w:u w:color="0000EE"/>
            <w:lang w:val="el" w:eastAsia="el"/>
          </w:rPr>
          <w:t>Τροποποίηση 4239/2014, Άρθρο 12</w:t>
        </w:r>
      </w:hyperlink>
      <w:r>
        <w:rPr>
          <w:lang w:val="el" w:eastAsia="el"/>
        </w:rPr>
        <w:t xml:space="preserve">; </w:t>
      </w:r>
      <w:hyperlink r:id="rId4" w:anchor="art_13" w:history="1">
        <w:r>
          <w:rPr>
            <w:rStyle w:val="Hyperlink"/>
            <w:color w:val="0000EE"/>
            <w:u w:color="0000EE"/>
            <w:lang w:val="el" w:eastAsia="el"/>
          </w:rPr>
          <w:t>Τροποποίηση 4223/2013, Άρθρο 13</w:t>
        </w:r>
      </w:hyperlink>
      <w:r>
        <w:rPr>
          <w:lang w:val="el" w:eastAsia="el"/>
        </w:rPr>
        <w:t xml:space="preserve">; </w:t>
      </w:r>
      <w:hyperlink r:id="rId5" w:anchor="art_1" w:history="1">
        <w:r>
          <w:rPr>
            <w:rStyle w:val="Hyperlink"/>
            <w:color w:val="0000EE"/>
            <w:u w:color="0000EE"/>
            <w:lang w:val="el" w:eastAsia="el"/>
          </w:rPr>
          <w:t>Προσθήκη 4152/2013, Άρθρο 1</w:t>
        </w:r>
      </w:hyperlink>
      <w:r>
        <w:rPr>
          <w:lang w:val="el" w:eastAsia="el"/>
        </w:rPr>
        <w:t xml:space="preserve">; </w:t>
      </w:r>
      <w:hyperlink r:id="rId6" w:anchor="art_24" w:history="1">
        <w:r>
          <w:rPr>
            <w:rStyle w:val="Hyperlink"/>
            <w:color w:val="0000EE"/>
            <w:u w:color="0000EE"/>
            <w:lang w:val="el" w:eastAsia="el"/>
          </w:rPr>
          <w:t>Προσθήκη 3943/2011,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2" w:history="1">
        <w:r>
          <w:rPr>
            <w:rStyle w:val="Hyperlink"/>
            <w:color w:val="0000EE"/>
            <w:u w:color="0000EE"/>
            <w:lang w:val="el" w:eastAsia="el"/>
          </w:rPr>
          <w:t>Προσθήκη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3" w:history="1">
        <w:r>
          <w:rPr>
            <w:rStyle w:val="Hyperlink"/>
            <w:color w:val="0000EE"/>
            <w:u w:color="0000EE"/>
            <w:lang w:val="el" w:eastAsia="el"/>
          </w:rPr>
          <w:t>Προσθήκη 4223/2013, Άρθρο 13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4223/2013, Άρθρο 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4223/2013,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Προσθήκη 4223/2013,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Προσθήκη 4223/2013, Άρθρο 13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3" w:history="1">
        <w:r>
          <w:rPr>
            <w:rStyle w:val="Hyperlink"/>
            <w:color w:val="0000EE"/>
            <w:u w:color="0000EE"/>
            <w:lang w:val="el" w:eastAsia="el"/>
          </w:rPr>
          <w:t>Προσθήκη 4223/2013, Άρθρο 13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Προσθήκη 4223/2013, Άρθρο 13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2" w:history="1">
        <w:r>
          <w:rPr>
            <w:rStyle w:val="Hyperlink"/>
            <w:color w:val="0000EE"/>
            <w:u w:color="0000EE"/>
            <w:lang w:val="el" w:eastAsia="el"/>
          </w:rPr>
          <w:t>Τροποποίηση 4276/2014, Άρθρο 52</w:t>
        </w:r>
      </w:hyperlink>
      <w:r>
        <w:rPr>
          <w:lang w:val="el" w:eastAsia="el"/>
        </w:rPr>
        <w:t xml:space="preserve">; </w:t>
      </w:r>
      <w:hyperlink r:id="rId19" w:anchor="art_13" w:history="1">
        <w:r>
          <w:rPr>
            <w:rStyle w:val="Hyperlink"/>
            <w:color w:val="0000EE"/>
            <w:u w:color="0000EE"/>
            <w:lang w:val="el" w:eastAsia="el"/>
          </w:rPr>
          <w:t>Προσθήκη 4223/2013, Άρθρο 13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3" w:history="1">
        <w:r>
          <w:rPr>
            <w:rStyle w:val="Hyperlink"/>
            <w:color w:val="0000EE"/>
            <w:u w:color="0000EE"/>
            <w:lang w:val="el" w:eastAsia="el"/>
          </w:rPr>
          <w:t>Προσθήκη 4223/2013, Άρθρο 13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3" w:history="1">
        <w:r>
          <w:rPr>
            <w:rStyle w:val="Hyperlink"/>
            <w:color w:val="0000EE"/>
            <w:u w:color="0000EE"/>
            <w:lang w:val="el" w:eastAsia="el"/>
          </w:rPr>
          <w:t>Τροποποίηση 4223/2013, Άρθρο 13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7/30/4276"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3" Type="http://schemas.openxmlformats.org/officeDocument/2006/relationships/hyperlink" Target="http://data.aade.gr/eli/pri/law/2014/02/20/4239"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3/05/09/415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