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Από 1.5.2019 ο συντελεστής του ανωτέρω φόρου ορίζεται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4609/2019, Άρθρο 52</w:t>
        </w:r>
      </w:hyperlink>
      <w:r>
        <w:rPr>
          <w:lang w:val="el" w:eastAsia="el"/>
        </w:rPr>
        <w:t xml:space="preserve">; </w:t>
      </w:r>
      <w:hyperlink r:id="rId2" w:anchor="art_12" w:history="1">
        <w:r>
          <w:rPr>
            <w:rStyle w:val="Hyperlink"/>
            <w:color w:val="0000EE"/>
            <w:u w:color="0000EE"/>
            <w:lang w:val="el" w:eastAsia="el"/>
          </w:rPr>
          <w:t>Τροποποίηση 4499/2017, Άρθρο 12</w:t>
        </w:r>
      </w:hyperlink>
      <w:r>
        <w:rPr>
          <w:lang w:val="el" w:eastAsia="el"/>
        </w:rPr>
        <w:t xml:space="preserve">; </w:t>
      </w:r>
      <w:hyperlink r:id="rId3" w:anchor="art_40" w:history="1">
        <w:r>
          <w:rPr>
            <w:rStyle w:val="Hyperlink"/>
            <w:color w:val="0000EE"/>
            <w:u w:color="0000EE"/>
            <w:lang w:val="el" w:eastAsia="el"/>
          </w:rPr>
          <w:t>Τροποποίηση 4487/2017, Άρθρο 40</w:t>
        </w:r>
      </w:hyperlink>
      <w:r>
        <w:rPr>
          <w:lang w:val="el" w:eastAsia="el"/>
        </w:rPr>
        <w:t xml:space="preserve">; </w:t>
      </w:r>
      <w:hyperlink r:id="rId4" w:anchor="art_53" w:history="1">
        <w:r>
          <w:rPr>
            <w:rStyle w:val="Hyperlink"/>
            <w:color w:val="0000EE"/>
            <w:u w:color="0000EE"/>
            <w:lang w:val="el" w:eastAsia="el"/>
          </w:rPr>
          <w:t>Τροποποίηση 4223/2013, Άρθρο 53</w:t>
        </w:r>
      </w:hyperlink>
      <w:r>
        <w:rPr>
          <w:lang w:val="el" w:eastAsia="el"/>
        </w:rPr>
        <w:t xml:space="preserve">; </w:t>
      </w:r>
      <w:hyperlink r:id="rId5" w:anchor="art_2" w:history="1">
        <w:r>
          <w:rPr>
            <w:rStyle w:val="Hyperlink"/>
            <w:color w:val="0000EE"/>
            <w:u w:color="0000EE"/>
            <w:lang w:val="el" w:eastAsia="el"/>
          </w:rPr>
          <w:t>Τροποποίηση 4147/2013, Άρθρο 2</w:t>
        </w:r>
      </w:hyperlink>
      <w:r>
        <w:rPr>
          <w:lang w:val="el" w:eastAsia="el"/>
        </w:rPr>
        <w:t xml:space="preserve">; </w:t>
      </w:r>
      <w:hyperlink r:id="rId6" w:anchor="art_2" w:history="1">
        <w:r>
          <w:rPr>
            <w:rStyle w:val="Hyperlink"/>
            <w:color w:val="0000EE"/>
            <w:u w:color="0000EE"/>
            <w:lang w:val="el" w:eastAsia="el"/>
          </w:rPr>
          <w:t>Τροποποίηση 4047/2012, Άρθρο 2</w:t>
        </w:r>
      </w:hyperlink>
      <w:r>
        <w:rPr>
          <w:lang w:val="el" w:eastAsia="el"/>
        </w:rPr>
        <w:t xml:space="preserve">; </w:t>
      </w:r>
      <w:hyperlink r:id="rId7"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5/03/4609" TargetMode="External" /><Relationship Id="rId2" Type="http://schemas.openxmlformats.org/officeDocument/2006/relationships/hyperlink" Target="http://data.aade.gr/eli/pri/law/2017/11/21/4499" TargetMode="External" /><Relationship Id="rId3" Type="http://schemas.openxmlformats.org/officeDocument/2006/relationships/hyperlink" Target="http://data.aade.gr/eli/pri/law/2017/08/09/4487"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4/26/4147" TargetMode="External" /><Relationship Id="rId6" Type="http://schemas.openxmlformats.org/officeDocument/2006/relationships/hyperlink" Target="http://data.aade.gr/eli/pri/law/2012/02/23/4047" TargetMode="External" /><Relationship Id="rId7"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