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Από 1.5.2019 ο συντελεστής του ανωτέρω φόρου ορίζεται σε ποσοστό πέντε τοις εκατό (5%).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12Α.</w:t>
      </w:r>
      <w:r>
        <w:rPr>
          <w:lang w:val="el" w:eastAsia="el"/>
        </w:rPr>
        <w:t xml:space="preserve"> Η ρύθμιση της παρ. 12 δεν καταλαμβάνει τους παρόχους περιεχομένου περιφερειακής εμβέλειας επίγειας ψηφιακής τηλεόρασης έως τις 31.12.2024.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4609/2019, Άρθρο 52</w:t>
        </w:r>
      </w:hyperlink>
      <w:r>
        <w:rPr>
          <w:lang w:val="el" w:eastAsia="el"/>
        </w:rPr>
        <w:t xml:space="preserve">; </w:t>
      </w:r>
      <w:hyperlink r:id="rId2" w:anchor="art_12" w:history="1">
        <w:r>
          <w:rPr>
            <w:rStyle w:val="Hyperlink"/>
            <w:color w:val="0000EE"/>
            <w:u w:color="0000EE"/>
            <w:lang w:val="el" w:eastAsia="el"/>
          </w:rPr>
          <w:t>Τροποποίηση 4499/2017, Άρθρο 12</w:t>
        </w:r>
      </w:hyperlink>
      <w:r>
        <w:rPr>
          <w:lang w:val="el" w:eastAsia="el"/>
        </w:rPr>
        <w:t xml:space="preserve">; </w:t>
      </w:r>
      <w:hyperlink r:id="rId3" w:anchor="art_40" w:history="1">
        <w:r>
          <w:rPr>
            <w:rStyle w:val="Hyperlink"/>
            <w:color w:val="0000EE"/>
            <w:u w:color="0000EE"/>
            <w:lang w:val="el" w:eastAsia="el"/>
          </w:rPr>
          <w:t>Τροποποίηση 4487/2017, Άρθρο 40</w:t>
        </w:r>
      </w:hyperlink>
      <w:r>
        <w:rPr>
          <w:lang w:val="el" w:eastAsia="el"/>
        </w:rPr>
        <w:t xml:space="preserve">; </w:t>
      </w:r>
      <w:hyperlink r:id="rId4" w:anchor="art_53" w:history="1">
        <w:r>
          <w:rPr>
            <w:rStyle w:val="Hyperlink"/>
            <w:color w:val="0000EE"/>
            <w:u w:color="0000EE"/>
            <w:lang w:val="el" w:eastAsia="el"/>
          </w:rPr>
          <w:t>Τροποποίηση 4223/2013, Άρθρο 53</w:t>
        </w:r>
      </w:hyperlink>
      <w:r>
        <w:rPr>
          <w:lang w:val="el" w:eastAsia="el"/>
        </w:rPr>
        <w:t xml:space="preserve">; </w:t>
      </w:r>
      <w:hyperlink r:id="rId5" w:anchor="art_2" w:history="1">
        <w:r>
          <w:rPr>
            <w:rStyle w:val="Hyperlink"/>
            <w:color w:val="0000EE"/>
            <w:u w:color="0000EE"/>
            <w:lang w:val="el" w:eastAsia="el"/>
          </w:rPr>
          <w:t>Τροποποίηση 4147/2013, Άρθρο 2</w:t>
        </w:r>
      </w:hyperlink>
      <w:r>
        <w:rPr>
          <w:lang w:val="el" w:eastAsia="el"/>
        </w:rPr>
        <w:t xml:space="preserve">; </w:t>
      </w:r>
      <w:hyperlink r:id="rId6" w:anchor="art_2" w:history="1">
        <w:r>
          <w:rPr>
            <w:rStyle w:val="Hyperlink"/>
            <w:color w:val="0000EE"/>
            <w:u w:color="0000EE"/>
            <w:lang w:val="el" w:eastAsia="el"/>
          </w:rPr>
          <w:t>Τροποποίηση 4047/2012, Άρθρο 2</w:t>
        </w:r>
      </w:hyperlink>
      <w:r>
        <w:rPr>
          <w:lang w:val="el" w:eastAsia="el"/>
        </w:rPr>
        <w:t xml:space="preserve">; </w:t>
      </w:r>
      <w:hyperlink r:id="rId7" w:anchor="art_4" w:history="1">
        <w:r>
          <w:rPr>
            <w:rStyle w:val="Hyperlink"/>
            <w:color w:val="0000EE"/>
            <w:u w:color="0000EE"/>
            <w:lang w:val="el" w:eastAsia="el"/>
          </w:rPr>
          <w:t>Προσθήκη 3899/2010,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0" w:history="1">
        <w:r>
          <w:rPr>
            <w:rStyle w:val="Hyperlink"/>
            <w:color w:val="0000EE"/>
            <w:u w:color="0000EE"/>
            <w:lang w:val="el" w:eastAsia="el"/>
          </w:rPr>
          <w:t>Τροποποίηση 5079/2023, Άρθρο 50</w:t>
        </w:r>
      </w:hyperlink>
      <w:r>
        <w:rPr>
          <w:lang w:val="el" w:eastAsia="el"/>
        </w:rPr>
        <w:t>; Τροποποίηση 5005/2022, Άρθρο 40; Προσθήκη 4779/2021, Άρθρο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5/03/4609" TargetMode="External" /><Relationship Id="rId2" Type="http://schemas.openxmlformats.org/officeDocument/2006/relationships/hyperlink" Target="http://data.aade.gr/eli/pri/law/2017/11/21/4499" TargetMode="External" /><Relationship Id="rId3" Type="http://schemas.openxmlformats.org/officeDocument/2006/relationships/hyperlink" Target="http://data.aade.gr/eli/pri/law/2017/08/09/4487"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4/26/4147" TargetMode="External" /><Relationship Id="rId6" Type="http://schemas.openxmlformats.org/officeDocument/2006/relationships/hyperlink" Target="http://data.aade.gr/eli/pri/law/2012/02/23/4047" TargetMode="External" /><Relationship Id="rId7" Type="http://schemas.openxmlformats.org/officeDocument/2006/relationships/hyperlink" Target="http://data.aade.gr/eli/pri/law/2010/12/17/3899" TargetMode="External" /><Relationship Id="rId8" Type="http://schemas.openxmlformats.org/officeDocument/2006/relationships/hyperlink" Target="http://data.aade.gr/eli/pri/law/2023/12/22/50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