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Εφόσον το τιμολόγιο εκδίδεται στο όνομα του διαφημιστή που μεσολαβεί, αντίγραφο του τιμολογίου με τη σφραγίδα και την υπογραφή του εκδότη αποστέλλεται στο διαφημιζόμενο μέχρι το τέλος του επόμενου μήνα από την έκδοση του τιμολογίου. Στα πιστωτικά τιμολόγια που εκδίδουν τα τηλεοπτικά μέσα ενημέρωσης πρέπει να αναγράφονται και οι αριθμοί των σχετικών τιμολογίων.</w:t>
      </w:r>
    </w:p>
    <w:p>
      <w:pPr>
        <w:spacing w:before="240" w:after="240"/>
        <w:rPr>
          <w:lang w:val="el" w:eastAsia="el"/>
        </w:rPr>
      </w:pPr>
      <w:r>
        <w:rPr>
          <w:lang w:val="el" w:eastAsia="el"/>
        </w:rPr>
        <w:t>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w:t>
      </w:r>
    </w:p>
    <w:p>
      <w:pPr>
        <w:spacing w:before="240" w:after="240"/>
        <w:rPr>
          <w:lang w:val="el" w:eastAsia="el"/>
        </w:rPr>
      </w:pPr>
      <w:r>
        <w:rPr>
          <w:lang w:val="el" w:eastAsia="el"/>
        </w:rPr>
        <w:t>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w:t>
      </w:r>
    </w:p>
    <w:p>
      <w:pPr>
        <w:spacing w:before="240" w:after="240"/>
        <w:rPr>
          <w:lang w:val="el" w:eastAsia="el"/>
        </w:rPr>
      </w:pPr>
      <w:r>
        <w:rPr>
          <w:lang w:val="el" w:eastAsia="el"/>
        </w:rPr>
        <w:t>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