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3887/2010</w:t>
      </w:r>
    </w:p>
    <w:p>
      <w:pPr>
        <w:pStyle w:val="PreambelText"/>
        <w:spacing w:before="240" w:after="240"/>
        <w:rPr>
          <w:lang w:val="el" w:eastAsia="el"/>
        </w:rPr>
      </w:pPr>
      <w:r>
        <w:rPr>
          <w:lang w:val="el" w:eastAsia="el"/>
        </w:rPr>
        <w:t>ΝΟΜΟΣ ΥΠ’ ΑΡΙΘΜ. 3887</w:t>
      </w:r>
    </w:p>
    <w:p>
      <w:pPr>
        <w:pStyle w:val="PreambelText"/>
        <w:spacing w:before="240" w:after="240"/>
        <w:rPr>
          <w:lang w:val="el" w:eastAsia="el"/>
        </w:rPr>
      </w:pPr>
      <w:r>
        <w:rPr>
          <w:lang w:val="el" w:eastAsia="el"/>
        </w:rPr>
        <w:t>(ΦΕΚ Α' 174/30-09-2010)</w:t>
      </w:r>
    </w:p>
    <w:p>
      <w:pPr>
        <w:pStyle w:val="PreambelText"/>
        <w:spacing w:before="240" w:after="240"/>
        <w:rPr>
          <w:lang w:val="el" w:eastAsia="el"/>
        </w:rPr>
      </w:pPr>
      <w:r>
        <w:rPr>
          <w:lang w:val="el" w:eastAsia="el"/>
        </w:rPr>
        <w:t>Οδικές εμπορευματικές μεταφορές.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Χορήγηση αδειών κυκλοφορίας ΦΔΧ</w:t>
      </w:r>
    </w:p>
    <w:p>
      <w:pPr>
        <w:pStyle w:val="MainText"/>
        <w:spacing w:before="120" w:after="0"/>
        <w:rPr>
          <w:lang w:val="el" w:eastAsia="el"/>
        </w:rPr>
      </w:pPr>
      <w:r>
        <w:rPr>
          <w:b/>
          <w:bCs/>
          <w:lang w:val="el" w:eastAsia="el"/>
        </w:rPr>
        <w:t>1.</w:t>
      </w:r>
      <w:r>
        <w:rPr>
          <w:lang w:val="el" w:eastAsia="el"/>
        </w:rPr>
        <w:t xml:space="preserve"> Από την επομένη της λήξης της μεταβατικής περιόδου δεν χορηγούνται άδειες ΦΔΧ του άρθρου 4 αλλά νέες άδειες κυκλοφορίας ΦΔΧ («αρχική χορήγηση ΦΔΧ») στις μεταφορικές επιχειρήσεις του άρθρου 2 παράγραφος 7. Οι νέες άδειες κυκλοφορίας ΦΔΧ αυτού του άρθρου εκδίδονται από την αρμόδια Υπηρεσία Μεταφορών της Περιφέρειας όπου βρίσκεται η έδρα της επιχείρησης, με την υποβολή των εξής δικαιολογητικών:</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Για νομικά πρόσωπα, αντίγραφο του καταστατικού της εταιρείας και των τροποποιήσεών του, πιστοποιητικό μεταβολών από την αρμόδια υπηρεσία, καθώς και τα Φύλλα Εφημερίδας της Κυβερνήσεως όπου έγιναν οι προβλεπόμενες από το νόμο δημοσιεύσεις ανάλογα με τον τύπο της εταιρείας.</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β)</w:t>
      </w:r>
      <w:r>
        <w:rPr>
          <w:lang w:val="en" w:eastAsia="en"/>
        </w:rPr>
        <w:tab/>
      </w:r>
      <w:r>
        <w:rPr>
          <w:lang w:val="el" w:eastAsia="el"/>
        </w:rPr>
        <w:t>`Αδεια άσκησης επαγγέλματος οδικού μεταφορέα σύμφωνα με τον κανονισμό 1071/2009/ΕΚ και το π.δ. 346/2001.</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γ)</w:t>
      </w:r>
      <w:r>
        <w:rPr>
          <w:lang w:val="en" w:eastAsia="en"/>
        </w:rPr>
        <w:tab/>
      </w:r>
      <w:r>
        <w:rPr>
          <w:lang w:val="el" w:eastAsia="el"/>
        </w:rPr>
        <w:t>Αντίγραφα συμβολαίων ιδιοκτησίας ή μίσθωσης χώρων για εγκαταστάσεις για τη στάθμευση, φύλαξη και συντήρηση των οχημάτων τους, σύμφωνα με τον Κανονισμό 1071/2009/ΕΚ και το άρθρο 4 παράγραφος 1.</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δ)</w:t>
      </w:r>
      <w:r>
        <w:rPr>
          <w:lang w:val="en" w:eastAsia="en"/>
        </w:rPr>
        <w:tab/>
      </w:r>
      <w:r>
        <w:rPr>
          <w:lang w:val="el" w:eastAsia="el"/>
        </w:rPr>
        <w:t>Αποδεικτικό ΔΟΥ περί καταβολής της εισφοράς της παραγράφου 2.</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και Υποδομών, Μεταφορών και Δικτύων καθορίζεται το ύψος της εισφοράς υπέρ του Δημοσίου για τη χορήγηση των νέων αδειών κυκλοφορίας ΦΔΧ αυτού του άρθρου, επιβάλλεται δε με αντικειμενικά και διαφανή κριτήρια και δεν υπερβαίνει το διοικητικό κόστος της διαδικασίας για την αρχική χορήγηση άδειας ΦΔΧ.</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3.</w:t>
      </w:r>
      <w:r>
        <w:rPr>
          <w:lang w:val="el" w:eastAsia="el"/>
        </w:rPr>
        <w:t xml:space="preserve"> Με απόφαση του Υπουργού Υποδομών Μεταφορών και Δικτύων καθορίζεται ο τρόπος απόδειξης και το ύψος της οικονομικής επιφάνειας του οδικού μεταφορέα για την έκδοση της άδειας άσκησης επαγγέλματος οδικού μεταφορέα εμπορευμάτων για τους παλαιούς και τους νέους μεταφορείς, καθώς και για κάθε κατηγορία μεταφορικής επιχείρησης.</w:t>
      </w:r>
      <w:r>
        <w:rPr>
          <w:rStyle w:val="Hyperlink"/>
          <w:color w:val="000000"/>
          <w:sz w:val="20"/>
          <w:szCs w:val="20"/>
          <w:u w:val="none" w:color="0000EE"/>
          <w:vertAlign w:val="superscript"/>
          <w:lang w:val="el" w:eastAsia="el"/>
        </w:rPr>
        <w:footnoteReference w:id="8"/>
      </w:r>
    </w:p>
    <w:p>
      <w:pPr>
        <w:pStyle w:val="Heading6"/>
        <w:spacing w:before="240" w:after="240"/>
        <w:rPr>
          <w:lang w:val="el" w:eastAsia="el"/>
        </w:rPr>
      </w:pPr>
      <w:r>
        <w:rPr>
          <w:b/>
          <w:bCs/>
          <w:lang w:val="el" w:eastAsia="el"/>
        </w:rPr>
        <w:t>Άρθρο 5A.</w:t>
      </w:r>
    </w:p>
    <w:p>
      <w:pPr>
        <w:pStyle w:val="Heading6"/>
        <w:spacing w:before="240" w:after="240"/>
        <w:rPr>
          <w:lang w:val="el" w:eastAsia="el"/>
        </w:rPr>
      </w:pPr>
      <w:r>
        <w:rPr>
          <w:b/>
          <w:bCs/>
          <w:lang w:val="el" w:eastAsia="el"/>
        </w:rPr>
        <w:t>Προσωρινή ακινησία Φορτηγού Δημόσιας Χρήσης</w:t>
      </w:r>
    </w:p>
    <w:p>
      <w:pPr>
        <w:spacing w:before="240" w:after="240"/>
        <w:rPr>
          <w:lang w:val="el" w:eastAsia="el"/>
        </w:rPr>
      </w:pPr>
      <w:r>
        <w:rPr>
          <w:lang w:val="el" w:eastAsia="el"/>
        </w:rPr>
        <w:t>Η μεταφορική επιχείρηση μπορεί να θέτει σε προσωρινή ακινησία Φ.Δ.Χ. που διαθέτει. Για το σκοπό αυτόν καταθέτει την άδεια κυκλοφορίας και τις κρατικές πινακίδες του Φ.Δ.Χ. στην αρμόδια υπηρεσία μεταφορών της Περιφέρειας.</w:t>
      </w:r>
    </w:p>
    <w:p>
      <w:pPr>
        <w:spacing w:before="240" w:after="240"/>
        <w:rPr>
          <w:lang w:val="el" w:eastAsia="el"/>
        </w:rPr>
      </w:pPr>
      <w:r>
        <w:rPr>
          <w:lang w:val="el" w:eastAsia="el"/>
        </w:rPr>
        <w:t>Με κοινή απόφαση των Υπουργών Οικονομικών, Υποδομών, Μεταφορών και Δικτύων και Εργασίας, Κοινωνικής Ασφάλισης και Πρόνοιας ρυθμίζονται θέματα σχετικά με τη διακοπή ασφαλιστικών υποχρεώσεων του μεταφορέα κατά τη διάρκεια της προσωρινής ακινησίας.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 </w:t>
      </w:r>
    </w:p>
    <w:p>
      <w:pPr>
        <w:spacing w:before="240" w:after="240"/>
        <w:rPr>
          <w:lang w:val="el" w:eastAsia="el"/>
        </w:rPr>
      </w:pPr>
      <w:r>
        <w:rPr>
          <w:lang w:val="el" w:eastAsia="el"/>
        </w:rPr>
        <w:t>Αθήνα, 30 Σεπτεμβρίου 2010</w:t>
      </w:r>
    </w:p>
    <w:p>
      <w:pPr>
        <w:spacing w:before="240" w:after="240"/>
        <w:rPr>
          <w:lang w:val="el" w:eastAsia="el"/>
        </w:rPr>
      </w:pPr>
      <w:r>
        <w:rPr>
          <w:lang w:val="el" w:eastAsia="el"/>
        </w:rPr>
        <w:t> </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 </w:t>
      </w:r>
    </w:p>
    <w:p>
      <w:pPr>
        <w:spacing w:before="240" w:after="240"/>
        <w:rPr>
          <w:lang w:val="el" w:eastAsia="el"/>
        </w:rPr>
      </w:pPr>
      <w:r>
        <w:rPr>
          <w:lang w:val="el" w:eastAsia="el"/>
        </w:rPr>
        <w:t>ΟΙ ΥΠΟΥΡΓΟΙ</w:t>
      </w:r>
    </w:p>
    <w:p>
      <w:pPr>
        <w:spacing w:before="240" w:after="240"/>
        <w:rPr>
          <w:lang w:val="el" w:eastAsia="el"/>
        </w:rPr>
      </w:pPr>
      <w:r>
        <w:rPr>
          <w:lang w:val="el" w:eastAsia="el"/>
        </w:rPr>
        <w:t>ΕΣΩΤΕΡΙΚΩΝ, ΑΠΟΚΕΝΤΡΩΣΗΣ ΚΑΙ ΗΛΕΚΤΡΟΝΙΚΗΣ ΔΙΑΚΥΒΕΡΝΗΣΗΣ</w:t>
      </w:r>
    </w:p>
    <w:p>
      <w:pPr>
        <w:spacing w:before="240" w:after="240"/>
        <w:rPr>
          <w:lang w:val="el" w:eastAsia="el"/>
        </w:rPr>
      </w:pPr>
      <w:r>
        <w:rPr>
          <w:lang w:val="el" w:eastAsia="el"/>
        </w:rPr>
        <w:t>Ι. ΡΑΓΚΟΥΣΗΣ</w:t>
      </w:r>
    </w:p>
    <w:p>
      <w:pPr>
        <w:spacing w:before="240" w:after="240"/>
        <w:rPr>
          <w:lang w:val="el" w:eastAsia="el"/>
        </w:rPr>
      </w:pPr>
      <w:r>
        <w:rPr>
          <w:lang w:val="el" w:eastAsia="el"/>
        </w:rPr>
        <w:t>ΟΙΚΟΝΟΜΙΚΩΝ</w:t>
      </w:r>
    </w:p>
    <w:p>
      <w:pPr>
        <w:spacing w:before="240" w:after="240"/>
        <w:rPr>
          <w:lang w:val="el" w:eastAsia="el"/>
        </w:rPr>
      </w:pPr>
      <w:r>
        <w:rPr>
          <w:lang w:val="el" w:eastAsia="el"/>
        </w:rPr>
        <w:t>Γ. ΠΑΠΑΚΩΝΣΤΑΝΤΙΝΟΥ</w:t>
      </w:r>
    </w:p>
    <w:p>
      <w:pPr>
        <w:spacing w:before="240" w:after="240"/>
        <w:rPr>
          <w:lang w:val="el" w:eastAsia="el"/>
        </w:rPr>
      </w:pPr>
      <w:r>
        <w:rPr>
          <w:lang w:val="el" w:eastAsia="el"/>
        </w:rPr>
        <w:t> </w:t>
      </w:r>
    </w:p>
    <w:p>
      <w:pPr>
        <w:spacing w:before="240" w:after="240"/>
        <w:rPr>
          <w:lang w:val="el" w:eastAsia="el"/>
        </w:rPr>
      </w:pPr>
      <w:r>
        <w:rPr>
          <w:lang w:val="el" w:eastAsia="el"/>
        </w:rPr>
        <w:t>ΟΙΚΟΝΟΜΙΑΣ, ΑΝΤΑΓΩΝΙΣΤΙΚΟΤΗΤΑΣ ΚΑΙ ΝΑΥΤΙΛΙΑΣ</w:t>
      </w:r>
    </w:p>
    <w:p>
      <w:pPr>
        <w:spacing w:before="240" w:after="240"/>
        <w:rPr>
          <w:lang w:val="el" w:eastAsia="el"/>
        </w:rPr>
      </w:pPr>
      <w:r>
        <w:rPr>
          <w:lang w:val="el" w:eastAsia="el"/>
        </w:rPr>
        <w:t>Μ. ΧΡΥΣΟΧΟΪΔΗΣ</w:t>
      </w:r>
    </w:p>
    <w:p>
      <w:pPr>
        <w:spacing w:before="240" w:after="240"/>
        <w:rPr>
          <w:lang w:val="el" w:eastAsia="el"/>
        </w:rPr>
      </w:pPr>
      <w:r>
        <w:rPr>
          <w:lang w:val="el" w:eastAsia="el"/>
        </w:rPr>
        <w:t>ΠΑΙΔΕΙΑΣ, ΔΙΑ ΒΙΟΥ ΜΑΘΗΣΗΣ ΚΑΙ ΘΡΗΣΚΕΥΜΑΤΩΝ</w:t>
      </w:r>
    </w:p>
    <w:p>
      <w:pPr>
        <w:spacing w:before="240" w:after="240"/>
        <w:rPr>
          <w:lang w:val="el" w:eastAsia="el"/>
        </w:rPr>
      </w:pPr>
      <w:r>
        <w:rPr>
          <w:lang w:val="el" w:eastAsia="el"/>
        </w:rPr>
        <w:t>Α. ΔΙΑΜΑΝΤΟΠΟΥΛΟΥ</w:t>
      </w:r>
    </w:p>
    <w:p>
      <w:pPr>
        <w:spacing w:before="240" w:after="240"/>
        <w:rPr>
          <w:lang w:val="el" w:eastAsia="el"/>
        </w:rPr>
      </w:pPr>
      <w:r>
        <w:rPr>
          <w:lang w:val="el" w:eastAsia="el"/>
        </w:rPr>
        <w:t> </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Δ. ΡΕΠΠΑΣ</w:t>
      </w:r>
    </w:p>
    <w:p>
      <w:pPr>
        <w:spacing w:before="240" w:after="240"/>
        <w:rPr>
          <w:lang w:val="el" w:eastAsia="el"/>
        </w:rPr>
      </w:pPr>
      <w:r>
        <w:rPr>
          <w:lang w:val="el" w:eastAsia="el"/>
        </w:rPr>
        <w:t>ΠΡΟΣΤΑΣΙΑΣ ΤΟΥ ΠΟΛΙΤΗ</w:t>
      </w:r>
    </w:p>
    <w:p>
      <w:pPr>
        <w:spacing w:before="240" w:after="240"/>
        <w:rPr>
          <w:lang w:val="el" w:eastAsia="el"/>
        </w:rPr>
      </w:pPr>
      <w:r>
        <w:rPr>
          <w:lang w:val="el" w:eastAsia="el"/>
        </w:rPr>
        <w:t>Χ. ΠΑΠΟΥΤΣΗΣ</w:t>
      </w:r>
    </w:p>
    <w:p>
      <w:pPr>
        <w:spacing w:before="240" w:after="240"/>
        <w:rPr>
          <w:lang w:val="el" w:eastAsia="el"/>
        </w:rPr>
      </w:pPr>
      <w:r>
        <w:rPr>
          <w:lang w:val="el" w:eastAsia="el"/>
        </w:rPr>
        <w:t> </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30 Σεπτεμβρίου 2010</w:t>
      </w:r>
    </w:p>
    <w:p>
      <w:pPr>
        <w:spacing w:before="240" w:after="240"/>
        <w:rPr>
          <w:lang w:val="el" w:eastAsia="el"/>
        </w:rPr>
      </w:pPr>
      <w:r>
        <w:rPr>
          <w:lang w:val="el" w:eastAsia="el"/>
        </w:rPr>
        <w:t> </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 ΚΑΣΤΑΝΙΔΗΣ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4233/2014,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8" w:history="1">
        <w:r>
          <w:rPr>
            <w:rStyle w:val="Hyperlink"/>
            <w:color w:val="0000EE"/>
            <w:u w:color="0000EE"/>
            <w:lang w:val="el" w:eastAsia="el"/>
          </w:rPr>
          <w:t>Τροποποίηση 4233/2014, Άρθρο 18</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8" w:history="1">
        <w:r>
          <w:rPr>
            <w:rStyle w:val="Hyperlink"/>
            <w:color w:val="0000EE"/>
            <w:u w:color="0000EE"/>
            <w:lang w:val="el" w:eastAsia="el"/>
          </w:rPr>
          <w:t>Τροποποίηση 4233/2014, Άρθρο 18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8" w:history="1">
        <w:r>
          <w:rPr>
            <w:rStyle w:val="Hyperlink"/>
            <w:color w:val="0000EE"/>
            <w:u w:color="0000EE"/>
            <w:lang w:val="el" w:eastAsia="el"/>
          </w:rPr>
          <w:t>Τροποποίηση 4233/2014, Άρθρο 18</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8" w:history="1">
        <w:r>
          <w:rPr>
            <w:rStyle w:val="Hyperlink"/>
            <w:color w:val="0000EE"/>
            <w:u w:color="0000EE"/>
            <w:lang w:val="el" w:eastAsia="el"/>
          </w:rPr>
          <w:t>Τροποποίηση 4233/2014, Άρθρο 18</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8" w:history="1">
        <w:r>
          <w:rPr>
            <w:rStyle w:val="Hyperlink"/>
            <w:color w:val="0000EE"/>
            <w:u w:color="0000EE"/>
            <w:lang w:val="el" w:eastAsia="el"/>
          </w:rPr>
          <w:t>Τροποποίηση 4233/2014, Άρθρο 18</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8" w:history="1">
        <w:r>
          <w:rPr>
            <w:rStyle w:val="Hyperlink"/>
            <w:color w:val="0000EE"/>
            <w:u w:color="0000EE"/>
            <w:lang w:val="el" w:eastAsia="el"/>
          </w:rPr>
          <w:t>Τροποποίηση 4233/2014, Άρθρο 18</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21" w:history="1">
        <w:r>
          <w:rPr>
            <w:rStyle w:val="Hyperlink"/>
            <w:color w:val="0000EE"/>
            <w:u w:color="0000EE"/>
            <w:lang w:val="el" w:eastAsia="el"/>
          </w:rPr>
          <w:t>Προσθήκη 4199/2013, Άρθρο 121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4/01/29/4233" TargetMode="External" /><Relationship Id="rId2" Type="http://schemas.openxmlformats.org/officeDocument/2006/relationships/hyperlink" Target="http://data.aade.gr/eli/pri/law/2014/01/29/4233" TargetMode="External" /><Relationship Id="rId3" Type="http://schemas.openxmlformats.org/officeDocument/2006/relationships/hyperlink" Target="http://data.aade.gr/eli/pri/law/2014/01/29/4233" TargetMode="External" /><Relationship Id="rId4" Type="http://schemas.openxmlformats.org/officeDocument/2006/relationships/hyperlink" Target="http://data.aade.gr/eli/pri/law/2014/01/29/4233" TargetMode="External" /><Relationship Id="rId5" Type="http://schemas.openxmlformats.org/officeDocument/2006/relationships/hyperlink" Target="http://data.aade.gr/eli/pri/law/2014/01/29/4233" TargetMode="External" /><Relationship Id="rId6" Type="http://schemas.openxmlformats.org/officeDocument/2006/relationships/hyperlink" Target="http://data.aade.gr/eli/pri/law/2014/01/29/4233" TargetMode="External" /><Relationship Id="rId7" Type="http://schemas.openxmlformats.org/officeDocument/2006/relationships/hyperlink" Target="http://data.aade.gr/eli/pri/law/2014/01/29/4233" TargetMode="External" /><Relationship Id="rId8" Type="http://schemas.openxmlformats.org/officeDocument/2006/relationships/hyperlink" Target="http://data.aade.gr/eli/pri/law/2013/10/11/419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