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3887/2010</w:t>
      </w:r>
    </w:p>
    <w:p>
      <w:pPr>
        <w:pStyle w:val="PreambelText"/>
        <w:spacing w:before="240" w:after="240"/>
        <w:rPr>
          <w:lang w:val="el" w:eastAsia="el"/>
        </w:rPr>
      </w:pPr>
      <w:r>
        <w:rPr>
          <w:lang w:val="el" w:eastAsia="el"/>
        </w:rPr>
        <w:t>ΝΟΜΟΣ ΥΠ’ ΑΡΙΘΜ. 3887</w:t>
      </w:r>
    </w:p>
    <w:p>
      <w:pPr>
        <w:pStyle w:val="PreambelText"/>
        <w:spacing w:before="240" w:after="240"/>
        <w:rPr>
          <w:lang w:val="el" w:eastAsia="el"/>
        </w:rPr>
      </w:pPr>
      <w:r>
        <w:rPr>
          <w:lang w:val="el" w:eastAsia="el"/>
        </w:rPr>
        <w:t>(ΦΕΚ Α' 174/30-09-2010)</w:t>
      </w:r>
    </w:p>
    <w:p>
      <w:pPr>
        <w:pStyle w:val="PreambelText"/>
        <w:spacing w:before="240" w:after="240"/>
        <w:rPr>
          <w:lang w:val="el" w:eastAsia="el"/>
        </w:rPr>
      </w:pPr>
      <w:r>
        <w:rPr>
          <w:lang w:val="el" w:eastAsia="el"/>
        </w:rPr>
        <w:t>Οδικές εμπορευματικές μεταφορές.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Χορήγηση αδειών κυκλοφορίας ΦΔΧ</w:t>
      </w:r>
    </w:p>
    <w:p>
      <w:pPr>
        <w:pStyle w:val="MainText"/>
        <w:spacing w:before="120" w:after="0"/>
        <w:rPr>
          <w:lang w:val="el" w:eastAsia="el"/>
        </w:rPr>
      </w:pPr>
      <w:r>
        <w:rPr>
          <w:b/>
          <w:bCs/>
          <w:lang w:val="el" w:eastAsia="el"/>
        </w:rPr>
        <w:t>1.</w:t>
      </w:r>
      <w:r>
        <w:rPr>
          <w:lang w:val="el" w:eastAsia="el"/>
        </w:rPr>
        <w:t xml:space="preserve"> Από την επομένη της λήξης της μεταβατικής περιόδου χορηγούνται νέες άδειες κυκλοφορίας Φ.Δ.Χ. («αρχική χορήγηση Φ.Δ.Χ.») στις μεταφορικές επιχειρήσεις των περιπτώσεων α΄ και β΄ της παραγράφου 7 του άρθρου 2. Οι άδειες κυκλοφορίας Φ.Δ.Χ. αυτού του άρθρου εκδίδονται από την αρμόδια Υπηρεσία Μεταφορών της Περιφέρειας όπου βρίσκεται η έδρα της επιχείρησης, με την υποβολή των κάτωθι δικαιολογητικών:</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Για νομικά πρόσωπα, αντίγραφο του καταστατικού της εταιρείας και των τροποποιήσεών του, πιστοποιητικό μεταβολών από την αρμόδια υπηρεσία, καθώς και τα Φύλλα Εφημερίδας της Κυβερνήσεως όπου έγιναν οι προβλεπόμενες από το νόμο δημοσιεύσεις.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Άδεια άσκησης επαγγέλματος οδικού μεταφορέα σύμφωνα με τον κανονισμό 1071/2009/ΕΚ και το π.δ. 346/2001.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Αποδεικτικό ΔΟΥ περί καταβολής της εισφοράς της παραγράφου 2.</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Υποδομών, Μεταφορών και Δικτύων καθορίζεται το ύψος της εισφοράς υπέρ του Δημοσίου για τη χορήγηση των νέων αδειών κυκλοφορίας ΦΔΧ αυτού του άρθρου, επιβάλλεται δε με αντικειμενικά και διαφανή κριτήρια και δεν υπερβαίνει το διοικητικό κόστος της διαδικασίας για την αρχική χορήγηση άδειας ΦΔΧ.</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Το ύψος της οικονομικής επιφάνειας για την έκδοση της άδειας άσκησης επαγγέλματος οδικού μεταφορέα εμπορευμάτων για κάθε μεταφορέα, ανεξαρτήτως της ημερομηνίας εισόδου του στο επάγγελμα και του τύπου της μεταφορικής επιχείρησης, ορίζεται στο ποσό των εννέα χιλιάδων (9.000) ευρώ όταν χρησιμοποιείται μόνο ένα όχημα και πέντε χιλιάδων (5.000) ευρώ για κάθε επιπλέον χρησιμοποιούμενο όχημα.</w:t>
      </w:r>
    </w:p>
    <w:p>
      <w:pPr>
        <w:spacing w:before="240" w:after="240"/>
        <w:rPr>
          <w:lang w:val="el" w:eastAsia="el"/>
        </w:rPr>
      </w:pPr>
      <w:r>
        <w:rPr>
          <w:lang w:val="el" w:eastAsia="el"/>
        </w:rPr>
        <w:t>Το ύψος της οικονομικής επιφάνειας αποδεικνύεται με έναν από τους ακόλουθους τρόπους ή με συνδυασμό αυτών, κατ΄ επιλογήν της επιχείρησης:</w:t>
      </w:r>
    </w:p>
    <w:p>
      <w:pPr>
        <w:spacing w:before="240" w:after="240"/>
        <w:rPr>
          <w:lang w:val="el" w:eastAsia="el"/>
        </w:rPr>
      </w:pPr>
      <w:r>
        <w:rPr>
          <w:lang w:val="el" w:eastAsia="el"/>
        </w:rPr>
        <w:t>(α) με βεβαίωση τραπεζικού υπολοίπου στο όνομα της μεταφορικής επιχείρησης σε μια ή περισσότερες τράπεζες που είναι εγκατεστημένες και λειτουργούν νόμιμα σε κράτος-μέλος της Ευρωπαϊκής Ένωσης. Η βεβαίωση πρέπει να έχει εκδοθεί μέχρι μία (1) εβδομάδα πριν από την υποβολή της αίτησης για έκδοση άδειας άσκησης επαγγέλματος και σε αυτήν εμφανίζονται τα στοιχεία της μεταφορικής επιχείρησης και τραπεζικό υπόλοιπο τουλάχιστον ίσο με τα ποσά του πρώτου εδαφίου ή</w:t>
      </w:r>
    </w:p>
    <w:p>
      <w:pPr>
        <w:spacing w:before="240" w:after="240"/>
        <w:rPr>
          <w:lang w:val="el" w:eastAsia="el"/>
        </w:rPr>
      </w:pPr>
      <w:r>
        <w:rPr>
          <w:lang w:val="el" w:eastAsia="el"/>
        </w:rPr>
        <w:t>(β) με εγγυητική επιστολή τράπεζας, η οποία είναι εγκατεστημένη και λειτουργεί νόμιμα σε κράτος-μέλος της Ευρωπαϊκής Ένωσης ή με γραμμάτιο παρακαταθήκης του Ταμείου Παρακαταθηκών και Δανείων για ποσό ίσο τουλάχιστον με τα ποσά του πρώτου εδαφίου ή</w:t>
      </w:r>
    </w:p>
    <w:p>
      <w:pPr>
        <w:spacing w:before="240" w:after="240"/>
        <w:rPr>
          <w:lang w:val="el" w:eastAsia="el"/>
        </w:rPr>
      </w:pPr>
      <w:r>
        <w:rPr>
          <w:lang w:val="el" w:eastAsia="el"/>
        </w:rPr>
        <w:t>(γ) με τους ετήσιους λογαριασμούς της μεταφορικής επιχείρησης επικυρωμένους από ελεγκτή ή από δεόντως διαπιστευμένο πρόσωπο, από τους οποίους προκύπτει ότι η μεταφορική επιχείρηση κάθε χρόνο διαθέτει κεφάλαιο και αποθεματικά τουλάχιστον ίσο με τα ποσά του πρώτου εδαφίου ή</w:t>
      </w:r>
    </w:p>
    <w:p>
      <w:pPr>
        <w:spacing w:before="240" w:after="240"/>
        <w:rPr>
          <w:lang w:val="el" w:eastAsia="el"/>
        </w:rPr>
      </w:pPr>
      <w:r>
        <w:rPr>
          <w:lang w:val="el" w:eastAsia="el"/>
        </w:rPr>
        <w:t>(δ) με ασφάλιση επαγγελματικής ευθύνης από επιχείρηση ιδιωτικής ασφάλισης που δραστηριοποιείται νόμιμα στην Ελλάδα και που παρέχει ασφαλιστική κάλυψη στην επιχείρηση για ποσό τουλάχιστον ίσο με τα ποσά του πρώτου εδαφίου.</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5A.</w:t>
      </w:r>
    </w:p>
    <w:p>
      <w:pPr>
        <w:pStyle w:val="Heading6"/>
        <w:spacing w:before="240" w:after="240"/>
        <w:rPr>
          <w:lang w:val="el" w:eastAsia="el"/>
        </w:rPr>
      </w:pPr>
      <w:r>
        <w:rPr>
          <w:b/>
          <w:bCs/>
          <w:lang w:val="el" w:eastAsia="el"/>
        </w:rPr>
        <w:t>Προσωρινή ακινησία Φορτηγού Δημόσιας Χρήσης</w:t>
      </w:r>
    </w:p>
    <w:p>
      <w:pPr>
        <w:spacing w:before="240" w:after="240"/>
        <w:rPr>
          <w:lang w:val="el" w:eastAsia="el"/>
        </w:rPr>
      </w:pPr>
      <w:r>
        <w:rPr>
          <w:lang w:val="el" w:eastAsia="el"/>
        </w:rPr>
        <w:t>Η μεταφορική επιχείρηση μπορεί να θέτει σε προσωρινή ακινησία Φ.Δ.Χ. που διαθέτει. Για το σκοπό αυτόν καταθέτει την άδεια κυκλοφορίας και τις κρατικές πινακίδες του Φ.Δ.Χ. στην αρμόδια υπηρεσία μεταφορών της Περιφέρειας.</w:t>
      </w:r>
    </w:p>
    <w:p>
      <w:pPr>
        <w:spacing w:before="240" w:after="240"/>
        <w:rPr>
          <w:lang w:val="el" w:eastAsia="el"/>
        </w:rPr>
      </w:pPr>
      <w:r>
        <w:rPr>
          <w:lang w:val="el" w:eastAsia="el"/>
        </w:rPr>
        <w:t>Με κοινή απόφαση των Υπουργών Οικονομικών, Υποδομών, Μεταφορών και Δικτύων και Εργασίας, Κοινωνικής Ασφάλισης και Πρόνοιας ρυθμίζονται θέματα σχετικά με τη διακοπή ασφαλιστικών υποχρεώσεων του μεταφορέα κατά τη διάρκεια της προσωρινής ακινησίας.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 ΚΑΙ ΗΛΕΚΤΡΟΝΙΚΗΣ ΔΙΑΚΥΒΕΡΝΗΣΗΣ</w:t>
      </w:r>
    </w:p>
    <w:p>
      <w:pPr>
        <w:spacing w:before="240" w:after="240"/>
        <w:rPr>
          <w:lang w:val="el" w:eastAsia="el"/>
        </w:rPr>
      </w:pPr>
      <w:r>
        <w:rPr>
          <w:lang w:val="el" w:eastAsia="el"/>
        </w:rPr>
        <w:t>Ι.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 </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 </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 ΡΕΠΠΑΣ</w:t>
      </w:r>
    </w:p>
    <w:p>
      <w:pPr>
        <w:spacing w:before="240" w:after="240"/>
        <w:rPr>
          <w:lang w:val="el" w:eastAsia="el"/>
        </w:rPr>
      </w:pPr>
      <w:r>
        <w:rPr>
          <w:lang w:val="el" w:eastAsia="el"/>
        </w:rPr>
        <w:t>ΠΡΟΣΤΑΣΙΑΣ ΤΟΥ ΠΟΛΙΤΗ</w:t>
      </w:r>
    </w:p>
    <w:p>
      <w:pPr>
        <w:spacing w:before="240" w:after="240"/>
        <w:rPr>
          <w:lang w:val="el" w:eastAsia="el"/>
        </w:rPr>
      </w:pPr>
      <w:r>
        <w:rPr>
          <w:lang w:val="el" w:eastAsia="el"/>
        </w:rPr>
        <w:t>Χ. ΠΑΠΟΥΤΣΗΣ</w:t>
      </w:r>
    </w:p>
    <w:p>
      <w:pPr>
        <w:spacing w:before="240" w:after="240"/>
        <w:rPr>
          <w:lang w:val="el" w:eastAsia="el"/>
        </w:rPr>
      </w:pPr>
      <w:r>
        <w:rPr>
          <w:lang w:val="el" w:eastAsia="el"/>
        </w:rPr>
        <w:t> </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 </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4663/2020, Άρθρο 28; </w:t>
      </w:r>
      <w:hyperlink r:id="rId1" w:anchor="art_18" w:history="1">
        <w:r>
          <w:rPr>
            <w:rStyle w:val="Hyperlink"/>
            <w:color w:val="0000EE"/>
            <w:u w:color="0000EE"/>
            <w:lang w:val="el" w:eastAsia="el"/>
          </w:rPr>
          <w:t>Τροποποίηση 4233/2014,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4663/2020, Άρθρο 28; </w:t>
      </w:r>
      <w:hyperlink r:id="rId2" w:anchor="art_18" w:history="1">
        <w:r>
          <w:rPr>
            <w:rStyle w:val="Hyperlink"/>
            <w:color w:val="0000EE"/>
            <w:u w:color="0000EE"/>
            <w:lang w:val="el" w:eastAsia="el"/>
          </w:rPr>
          <w:t>Τροποποίηση 4233/2014, Άρθρο 18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8" w:history="1">
        <w:r>
          <w:rPr>
            <w:rStyle w:val="Hyperlink"/>
            <w:color w:val="0000EE"/>
            <w:u w:color="0000EE"/>
            <w:lang w:val="el" w:eastAsia="el"/>
          </w:rPr>
          <w:t>Τροποποίηση 4233/2014,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4663/2020, Άρθρο 28; </w:t>
      </w:r>
      <w:hyperlink r:id="rId4" w:anchor="art_1" w:history="1">
        <w:r>
          <w:rPr>
            <w:rStyle w:val="Hyperlink"/>
            <w:color w:val="0000EE"/>
            <w:u w:color="0000EE"/>
            <w:lang w:val="el" w:eastAsia="el"/>
          </w:rPr>
          <w:t>Αφαίρεση 4254/2014, Άρθρο 1</w:t>
        </w:r>
      </w:hyperlink>
      <w:r>
        <w:rPr>
          <w:lang w:val="el" w:eastAsia="el"/>
        </w:rPr>
        <w:t xml:space="preserve">; </w:t>
      </w:r>
      <w:hyperlink r:id="rId5" w:anchor="art_18" w:history="1">
        <w:r>
          <w:rPr>
            <w:rStyle w:val="Hyperlink"/>
            <w:color w:val="0000EE"/>
            <w:u w:color="0000EE"/>
            <w:lang w:val="el" w:eastAsia="el"/>
          </w:rPr>
          <w:t>Τροποποίηση 4233/2014, Άρθρο 18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4233/2014,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4663/2020, Άρθρο 28; </w:t>
      </w:r>
      <w:hyperlink r:id="rId7" w:anchor="art_104" w:history="1">
        <w:r>
          <w:rPr>
            <w:rStyle w:val="Hyperlink"/>
            <w:color w:val="0000EE"/>
            <w:u w:color="0000EE"/>
            <w:lang w:val="el" w:eastAsia="el"/>
          </w:rPr>
          <w:t>Τροποποίηση 4472/2017, Άρθρο 104</w:t>
        </w:r>
      </w:hyperlink>
      <w:r>
        <w:rPr>
          <w:lang w:val="el" w:eastAsia="el"/>
        </w:rPr>
        <w:t xml:space="preserve">; </w:t>
      </w:r>
      <w:hyperlink r:id="rId8" w:anchor="art_18" w:history="1">
        <w:r>
          <w:rPr>
            <w:rStyle w:val="Hyperlink"/>
            <w:color w:val="0000EE"/>
            <w:u w:color="0000EE"/>
            <w:lang w:val="el" w:eastAsia="el"/>
          </w:rPr>
          <w:t>Τροποποίηση 4233/2014, Άρθρο 18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1" w:history="1">
        <w:r>
          <w:rPr>
            <w:rStyle w:val="Hyperlink"/>
            <w:color w:val="0000EE"/>
            <w:u w:color="0000EE"/>
            <w:lang w:val="el" w:eastAsia="el"/>
          </w:rPr>
          <w:t>Προσθήκη 4199/2013, Άρθρο 121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1/29/4233" TargetMode="External" /><Relationship Id="rId2" Type="http://schemas.openxmlformats.org/officeDocument/2006/relationships/hyperlink" Target="http://data.aade.gr/eli/pri/law/2014/01/29/4233" TargetMode="External" /><Relationship Id="rId3" Type="http://schemas.openxmlformats.org/officeDocument/2006/relationships/hyperlink" Target="http://data.aade.gr/eli/pri/law/2014/01/29/4233" TargetMode="External" /><Relationship Id="rId4" Type="http://schemas.openxmlformats.org/officeDocument/2006/relationships/hyperlink" Target="http://data.aade.gr/eli/pri/law/2014/04/07/4254" TargetMode="External" /><Relationship Id="rId5" Type="http://schemas.openxmlformats.org/officeDocument/2006/relationships/hyperlink" Target="http://data.aade.gr/eli/pri/law/2014/01/29/4233" TargetMode="External" /><Relationship Id="rId6" Type="http://schemas.openxmlformats.org/officeDocument/2006/relationships/hyperlink" Target="http://data.aade.gr/eli/pri/law/2014/01/29/4233" TargetMode="External" /><Relationship Id="rId7" Type="http://schemas.openxmlformats.org/officeDocument/2006/relationships/hyperlink" Target="http://data.aade.gr/eli/pri/law/2017/05/19/4472" TargetMode="External" /><Relationship Id="rId8" Type="http://schemas.openxmlformats.org/officeDocument/2006/relationships/hyperlink" Target="http://data.aade.gr/eli/pri/law/2014/01/29/4233" TargetMode="External" /><Relationship Id="rId9" Type="http://schemas.openxmlformats.org/officeDocument/2006/relationships/hyperlink" Target="http://data.aade.gr/eli/pri/law/2013/10/11/41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