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3887/2010</w:t>
      </w:r>
    </w:p>
    <w:p>
      <w:pPr>
        <w:pStyle w:val="PreambelText"/>
        <w:spacing w:before="240" w:after="240"/>
        <w:rPr>
          <w:lang w:val="el" w:eastAsia="el"/>
        </w:rPr>
      </w:pPr>
      <w:r>
        <w:rPr>
          <w:lang w:val="el" w:eastAsia="el"/>
        </w:rPr>
        <w:t>ΝΟΜΟΣ ΥΠ’ ΑΡΙΘΜ. 3887</w:t>
      </w:r>
    </w:p>
    <w:p>
      <w:pPr>
        <w:pStyle w:val="PreambelText"/>
        <w:spacing w:before="240" w:after="240"/>
        <w:rPr>
          <w:lang w:val="el" w:eastAsia="el"/>
        </w:rPr>
      </w:pPr>
      <w:r>
        <w:rPr>
          <w:lang w:val="el" w:eastAsia="el"/>
        </w:rPr>
        <w:t>(ΦΕΚ Α' 174/30-09-2010)</w:t>
      </w:r>
    </w:p>
    <w:p>
      <w:pPr>
        <w:pStyle w:val="PreambelText"/>
        <w:spacing w:before="240" w:after="240"/>
        <w:rPr>
          <w:lang w:val="el" w:eastAsia="el"/>
        </w:rPr>
      </w:pPr>
      <w:r>
        <w:rPr>
          <w:lang w:val="el" w:eastAsia="el"/>
        </w:rPr>
        <w:t>Οδικές εμπορευματικές μεταφορές.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Χορήγηση αδειών κυκλοφορίας ΦΔΧ</w:t>
      </w:r>
    </w:p>
    <w:p>
      <w:pPr>
        <w:pStyle w:val="MainText"/>
        <w:spacing w:before="120" w:after="0"/>
        <w:rPr>
          <w:lang w:val="el" w:eastAsia="el"/>
        </w:rPr>
      </w:pPr>
      <w:r>
        <w:rPr>
          <w:b/>
          <w:bCs/>
          <w:lang w:val="el" w:eastAsia="el"/>
        </w:rPr>
        <w:t>1.</w:t>
      </w:r>
      <w:r>
        <w:rPr>
          <w:lang w:val="el" w:eastAsia="el"/>
        </w:rPr>
        <w:t xml:space="preserve"> Για τη χορήγηση άδειας Φ.Δ.Χ. ή Άδειας Οδικών Μεταφορών οι ενδιαφερόμενες μεταφορικές εταιρείες του άρθρου 3 υποβάλλουν αίτηση στη Διεύθυνση Εμπορευματικών Μεταφορών του Υπουργείου Υποδομών, Μεταφορών και Δικτύων, η οποία είναι αρμόδια για την επεξεργασία του φακέλου. Με την αίτηση υποβάλλονται και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Καταστατικό σύστασης μεταφορικής εταιρείας με μορφή Α.Ε. ή Ε.Π.Ε..</w:t>
      </w:r>
    </w:p>
    <w:p>
      <w:pPr>
        <w:pStyle w:val="StructureList1"/>
        <w:spacing w:before="120" w:after="0"/>
        <w:rPr>
          <w:lang w:val="el" w:eastAsia="el"/>
        </w:rPr>
      </w:pPr>
      <w:r>
        <w:rPr>
          <w:lang w:val="el" w:eastAsia="el"/>
        </w:rPr>
        <w:t>β)</w:t>
      </w:r>
      <w:r>
        <w:rPr>
          <w:lang w:val="en" w:eastAsia="en"/>
        </w:rPr>
        <w:tab/>
      </w:r>
      <w:r>
        <w:rPr>
          <w:lang w:val="el" w:eastAsia="el"/>
        </w:rPr>
        <w:t>Φορολογική και ασφαλιστική ενημερότητα.</w:t>
      </w:r>
    </w:p>
    <w:p>
      <w:pPr>
        <w:pStyle w:val="StructureList1"/>
        <w:spacing w:before="120" w:after="0"/>
        <w:rPr>
          <w:lang w:val="el" w:eastAsia="el"/>
        </w:rPr>
      </w:pPr>
      <w:r>
        <w:rPr>
          <w:lang w:val="el" w:eastAsia="el"/>
        </w:rPr>
        <w:t>γ)</w:t>
      </w:r>
      <w:r>
        <w:rPr>
          <w:lang w:val="en" w:eastAsia="en"/>
        </w:rPr>
        <w:tab/>
      </w:r>
      <w:r>
        <w:rPr>
          <w:lang w:val="el" w:eastAsia="el"/>
        </w:rPr>
        <w:t>Πιστοποιητικό επαγγελματικής επάρκειας (Π.Ε.Ε.) σύμφωνα με τα οριζόμενα στο Π.Δ. 346/2001.</w:t>
      </w:r>
    </w:p>
    <w:p>
      <w:pPr>
        <w:pStyle w:val="StructureList1"/>
        <w:spacing w:before="120" w:after="0"/>
        <w:rPr>
          <w:lang w:val="el" w:eastAsia="el"/>
        </w:rPr>
      </w:pPr>
      <w:r>
        <w:rPr>
          <w:lang w:val="el" w:eastAsia="el"/>
        </w:rPr>
        <w:t>δ)</w:t>
      </w:r>
      <w:r>
        <w:rPr>
          <w:lang w:val="en" w:eastAsia="en"/>
        </w:rPr>
        <w:tab/>
      </w:r>
      <w:r>
        <w:rPr>
          <w:lang w:val="el" w:eastAsia="el"/>
        </w:rPr>
        <w:t>Δικαιολογητικά οικονομικής επιφάνειας σύμφωνα με το Π.Δ. 346/2001.</w:t>
      </w:r>
    </w:p>
    <w:p>
      <w:pPr>
        <w:pStyle w:val="StructureList1"/>
        <w:spacing w:before="120" w:after="0"/>
        <w:rPr>
          <w:lang w:val="el" w:eastAsia="el"/>
        </w:rPr>
      </w:pPr>
      <w:r>
        <w:rPr>
          <w:lang w:val="el" w:eastAsia="el"/>
        </w:rPr>
        <w:t>ε)</w:t>
      </w:r>
      <w:r>
        <w:rPr>
          <w:lang w:val="en" w:eastAsia="en"/>
        </w:rPr>
        <w:tab/>
      </w:r>
      <w:r>
        <w:rPr>
          <w:lang w:val="el" w:eastAsia="el"/>
        </w:rPr>
        <w:t>Αντίγραφα Ποινικού Μητρώου των μετόχων ή των εταίρων.</w:t>
      </w:r>
    </w:p>
    <w:p>
      <w:pPr>
        <w:pStyle w:val="StructureList1"/>
        <w:spacing w:before="120" w:after="0"/>
        <w:rPr>
          <w:lang w:val="el" w:eastAsia="el"/>
        </w:rPr>
      </w:pPr>
      <w:r>
        <w:rPr>
          <w:lang w:val="el" w:eastAsia="el"/>
        </w:rPr>
        <w:t>στ)</w:t>
      </w:r>
      <w:r>
        <w:rPr>
          <w:lang w:val="en" w:eastAsia="en"/>
        </w:rPr>
        <w:tab/>
      </w:r>
      <w:r>
        <w:rPr>
          <w:lang w:val="el" w:eastAsia="el"/>
        </w:rPr>
        <w:t>Αντίγραφα συμβολαίων ιδιοκτησίας ή μίσθωσης χώρων για εγκαταστάσεις για τη στάθμευση, φύλαξη και συντήρηση των οχημάτων τους σύμφωνα με τον Κανονισμό 1071/2009.</w:t>
      </w:r>
    </w:p>
    <w:p>
      <w:pPr>
        <w:pStyle w:val="MainText"/>
        <w:spacing w:before="120" w:after="0"/>
        <w:rPr>
          <w:lang w:val="el" w:eastAsia="el"/>
        </w:rPr>
      </w:pPr>
      <w:r>
        <w:rPr>
          <w:b/>
          <w:bCs/>
          <w:lang w:val="el" w:eastAsia="el"/>
        </w:rPr>
        <w:t>2.</w:t>
      </w:r>
      <w:r>
        <w:rPr>
          <w:lang w:val="el" w:eastAsia="el"/>
        </w:rPr>
        <w:t xml:space="preserve"> Μέσα σε τρεις μήνες από την κατάθεση του πλήρους φακέλου δικαιολογητικών και μετά από σύμφωνη γνώμη της Διεύθυνσης Εμπορευματικών Μεταφορών του Υπουργείου Υποδομών, Μεταφορών και Δικτύων, ο Γενικός Γραμματέας του Υπουργείου χορηγεί την αιτούμενη άδεια. Η σύμφωνη γνώμη της Διεύθυνσης βασίζεται αποκλειστικά στην ύπαρξη των δικαιολογητικών που προβλέπονται στην παράγραφο 1. </w:t>
      </w:r>
    </w:p>
    <w:p>
      <w:pPr>
        <w:pStyle w:val="MainText"/>
        <w:spacing w:before="120" w:after="0"/>
        <w:rPr>
          <w:lang w:val="el" w:eastAsia="el"/>
        </w:rPr>
      </w:pPr>
      <w:r>
        <w:rPr>
          <w:b/>
          <w:bCs/>
          <w:lang w:val="el" w:eastAsia="el"/>
        </w:rPr>
        <w:t>3.</w:t>
      </w:r>
      <w:r>
        <w:rPr>
          <w:lang w:val="el" w:eastAsia="el"/>
        </w:rPr>
        <w:t xml:space="preserve"> Η άδεια Φ.Δ.Χ. ισχύει για έξι μήνες από την έκδοσή της. Σε περίπτωση μη υλοποίησής της, αυτή παύει να ισχύει, η δε αιτούσα εταιρεία υποβάλλει εκ νέου πλήρη δικαιολογητικά. Η άδεια που είχε εγκριθεί, μαζί με τη βεβαίωση της αρμόδιας Δ.Ο.Υ. περί καταβολής της εισφοράς που προβλέπεται στο άρθρο 14 παράγραφος 7, υποβάλλεται στην αρμόδια Υπηρεσία Μεταφορών των Αυτοδιοικήσεων της χώρας, η οποία υποχρεούται να εκδώσει νέα άδεια κυκλοφορίας σύμφωνα με τις διατάξεις του παρόντος. </w:t>
      </w:r>
    </w:p>
    <w:p>
      <w:pPr>
        <w:pStyle w:val="MainText"/>
        <w:spacing w:before="120" w:after="0"/>
        <w:rPr>
          <w:lang w:val="el" w:eastAsia="el"/>
        </w:rPr>
      </w:pPr>
      <w:r>
        <w:rPr>
          <w:b/>
          <w:bCs/>
          <w:lang w:val="el" w:eastAsia="el"/>
        </w:rPr>
        <w:t>4.</w:t>
      </w:r>
      <w:r>
        <w:rPr>
          <w:lang w:val="el" w:eastAsia="el"/>
        </w:rPr>
        <w:t xml:space="preserve"> Από την επομένη της λήξης της μεταβατικής περιόδου, χορηγούνται `Αδειες Οδικών Μεταφορών με τα δικαιολογητικά που προβλέπονται στην παράγραφο 1 και σύμφωνα με τις προϋποθέσεις που ορίζονται στο άρθρο 4 παράγραφος 2. Από την ημερομηνία αυτή δεν χορηγούνται άδειες Φ.Δ.Χ..</w:t>
      </w:r>
    </w:p>
    <w:p>
      <w:pPr>
        <w:pStyle w:val="MainText"/>
        <w:spacing w:before="120" w:after="0"/>
        <w:rPr>
          <w:lang w:val="el" w:eastAsia="el"/>
        </w:rPr>
      </w:pPr>
      <w:r>
        <w:rPr>
          <w:b/>
          <w:bCs/>
          <w:lang w:val="el" w:eastAsia="el"/>
        </w:rPr>
        <w:t>5.</w:t>
      </w:r>
      <w:r>
        <w:rPr>
          <w:lang w:val="el" w:eastAsia="el"/>
        </w:rPr>
        <w:t xml:space="preserve"> Από την επομένη της λήξης της μεταβατικής περιόδου, η εισφορά που απαιτείται υπέρ του Δημοσίου, για τη χορήγηση και ανανέωση των Αδειών Οδικών Μεταφορών δεν ξεπερνά το διοικητικό κόστος, που σχετίζεται με τη διαδικασία αδειοδότησης και επιβάλλεται με αντικειμενικά και διαφανή κριτήρια, αναλογικά με τον αριθμό των οχημάτων του οδικού μεταφορέα που αιτείται την άδεια. Η μέθοδος υπολογισμού των εισφορών χαρακτηρίζεται από αντικειμενικότητα και το ύψος της εισφοράς δεν υπερβαίνει το διοικητικό κόστος.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 </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 </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 ΡΕΠΠΑΣ</w:t>
      </w:r>
    </w:p>
    <w:p>
      <w:pPr>
        <w:spacing w:before="240" w:after="240"/>
        <w:rPr>
          <w:lang w:val="el" w:eastAsia="el"/>
        </w:rPr>
      </w:pPr>
      <w:r>
        <w:rPr>
          <w:lang w:val="el" w:eastAsia="el"/>
        </w:rPr>
        <w:t>ΠΡΟΣΤΑΣΙΑΣ ΤΟΥ ΠΟΛΙΤΗ</w:t>
      </w:r>
    </w:p>
    <w:p>
      <w:pPr>
        <w:spacing w:before="240" w:after="240"/>
        <w:rPr>
          <w:lang w:val="el" w:eastAsia="el"/>
        </w:rPr>
      </w:pPr>
      <w:r>
        <w:rPr>
          <w:lang w:val="el" w:eastAsia="el"/>
        </w:rPr>
        <w:t>Χ. ΠΑΠΟΥΤΣΗΣ</w:t>
      </w:r>
    </w:p>
    <w:p>
      <w:pPr>
        <w:spacing w:before="240" w:after="240"/>
        <w:rPr>
          <w:lang w:val="el" w:eastAsia="el"/>
        </w:rPr>
      </w:pPr>
      <w:r>
        <w:rPr>
          <w:lang w:val="el" w:eastAsia="el"/>
        </w:rPr>
        <w:t> </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