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loΝόμος 4002/2011</w:t>
      </w:r>
    </w:p>
    <w:p>
      <w:pPr>
        <w:pStyle w:val="PreambelText"/>
        <w:spacing w:before="240" w:after="240"/>
        <w:rPr>
          <w:lang w:val="el" w:eastAsia="el"/>
        </w:rPr>
      </w:pPr>
      <w:r>
        <w:rPr>
          <w:lang w:val="el" w:eastAsia="el"/>
        </w:rPr>
        <w:t>ΝΟΜΟΣ ΥΠ’ ΑΡΙΘΜ. 4002</w:t>
      </w:r>
    </w:p>
    <w:p>
      <w:pPr>
        <w:pStyle w:val="PreambelText"/>
        <w:spacing w:before="240" w:after="240"/>
        <w:rPr>
          <w:lang w:val="el" w:eastAsia="el"/>
        </w:rPr>
      </w:pPr>
      <w:r>
        <w:rPr>
          <w:lang w:val="el" w:eastAsia="el"/>
        </w:rPr>
        <w:t>(ΦΕΚ Α' 180/22-08-2011)</w:t>
      </w:r>
    </w:p>
    <w:p>
      <w:pPr>
        <w:pStyle w:val="PreambelText"/>
        <w:spacing w:before="240" w:after="240"/>
        <w:rPr>
          <w:lang w:val="el" w:eastAsia="el"/>
        </w:rPr>
      </w:pPr>
      <w:r>
        <w:rPr>
          <w:lang w:val="el" w:eastAsia="el"/>
        </w:rPr>
        <w:t>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Παράβολα – Τέλη – Συμμετοχή του Δημοσίου στα έσοδα – Φόροι</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το άρθρο 46,</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το άρθρο 46 για τα τυχερά παίγνια μέσω διαδικτύου, καθώς και το τίμημα για τα τυχερά παίγνια με παιγνιομηχανήματα σύμφωνα με το άρθρο 39 του παρόντος νόμου.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 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Εξαιρετικά, η συμμετοχή του Ελληνικού Δημοσίου στα έσοδα από τα τυχερά παίγνια που διεξάγει η ΟΠΑΠ Α.Ε. δυνάμει της από 15.12.2000 σύμβασης μεταξύ του Ελληνικού Δημοσίου και της ΟΠΑΠ Α. Ε., όπως αυτή ισχύει και τροποποιήθηκε με την από 12.12.2011 πρόσθετη πράξη μεταξύ της ΟΠΑΠ και του Ταμείου Αξιοποίησης Ιδιωτικής Περιουσίας Δημοσίου Α. Ε. σύμφωνα με τα ανωτέρω, θα ισχύει μέχρι την 12.10.2020.Μετά τη λήξη κάθε οικονομικής χρήσεως τα αδιάθετα ποσά των κερδών των τυχερών παιγνίων, αποδίδονται στο Ελληνικό Δημόσιο.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5Α.</w:t>
      </w:r>
      <w:r>
        <w:rPr>
          <w:lang w:val="el" w:eastAsia="el"/>
        </w:rPr>
        <w:t xml:space="preserve"> Σε ό,τι αφορά τα παίγνια μέσω παιγνιομηχανημάτων για τα οποία έχει χορηγηθεί άδεια εκμετάλλευσης στην ΟΠΑΠ Α. Ε. δυνάμει του άρθρου 39 του παρόντος και της από 4.11.2011 σύμβασης μεταξύ του Ελληνικού Δημοσίου και της ΟΠΑΠ Α.Ε., θα ισχύουν τα ακόλουθα: Το ποσοστό συμμετοχής του Ελληνικού Δημοσίου επί του μικτού κέρδους από τα παίγνια αυτά δύναται να αυξάνεται μέχρι και κατά πέντε ποσοστιαίες μονάδες διαμορφούμενο έτσι κατ' ανώτατο όριο σε τριάντα πέντε τοις εκατό (35%), σύμφωνα με την παρακάτω μεθοδολογία. Το χρονικό διάστημα ισχύος της άδειας χωρίζεται στις εξής 3 περιόδους: Περίοδος Α': από την έναρξη ισχύος της άδειας κατά το άρθρο 39 του παρόντος έως το τέλος του τέταρτου έτους της ισχύος της άδειας. Περίοδος Β: από την έναρξη του πέμπτου έτους ισχύος της άδειας μέχρι τη λήξη του όγδοου έτους ισχύος της άδειας, και Περίοδος Γ: από την έναρξη του ένατου έτους ισχύος της άδειας μέχρι τη λήξη της ισχύος της άδειας. Για κάθε περίοδο, η επιπλέον του ποσοστού τριάντα τοις εκατό (30%) συμμετοχή του Ελληνικού Δημοσίου θα διαμορφώνεται ανάλογα με το ποσό των μικτών κερδών της ΟΠΑΠ Α.Ε. κατά την περίοδο από τα παίγνια μέσω παιγνιομηχανημάτων («Μικτά Κέρδη»). Αν το ποσό των Μικτών Κερδών είναι: α) μικρότερο ή ίσο από το Κάτω Όριο (όπως καθορίζεται κατωτέρω) δεν θα υπάρχει επιπλέον συμμετοχή, β) μεγαλύτερο ή ίσο από Ανω Όριο (όπως καθορίζεται κατωτέρω) η επιπλέον συμμετοχή θα ισούται με πέντε ποσοστιαίες μονάδες, γ) μεταξύ του Κάτω Ορίου και του Ανω Ορίου η επιπλέον συμμετοχή θα διαμορφώνεται σύμφωνα με τον παρακάτω τύπο: Επιπλέον συμμετοχή = (Μικτά Κέρδη - Κάτω Όριο) /(Ανω Όριο - Κάτω Όριο) x 5%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Τα άνω και κάτω όρια καθορίζονται για κάθε χρονική περίοδο σύμφωνα με τον παρακάτω πίνακα: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ΚΑΤΩ ΟΡΙΟ ΑΝΩ ΟΡΙΟ</w:t>
      </w:r>
    </w:p>
    <w:p>
      <w:pPr>
        <w:spacing w:before="240" w:after="240"/>
        <w:rPr>
          <w:lang w:val="el" w:eastAsia="el"/>
        </w:rPr>
      </w:pPr>
      <w:r>
        <w:rPr>
          <w:lang w:val="el" w:eastAsia="el"/>
        </w:rPr>
        <w:t>Περίοδος Α €2.793.000.000 €4.190.000.000</w:t>
      </w:r>
    </w:p>
    <w:p>
      <w:pPr>
        <w:spacing w:before="240" w:after="240"/>
        <w:rPr>
          <w:lang w:val="el" w:eastAsia="el"/>
        </w:rPr>
      </w:pPr>
      <w:r>
        <w:rPr>
          <w:lang w:val="el" w:eastAsia="el"/>
        </w:rPr>
        <w:t>Περίοδος Β €2.940.000.000 €4.410.000.000</w:t>
      </w:r>
    </w:p>
    <w:p>
      <w:pPr>
        <w:spacing w:before="240" w:after="240"/>
        <w:rPr>
          <w:lang w:val="el" w:eastAsia="el"/>
        </w:rPr>
      </w:pPr>
      <w:r>
        <w:rPr>
          <w:lang w:val="el" w:eastAsia="el"/>
        </w:rPr>
        <w:t>Περίοδος Γ €1.470.000.000 €2.205.000.000</w:t>
      </w:r>
    </w:p>
    <w:p>
      <w:pPr>
        <w:spacing w:before="240" w:after="240"/>
        <w:rPr>
          <w:lang w:val="el" w:eastAsia="el"/>
        </w:rPr>
      </w:pPr>
      <w:r>
        <w:rPr>
          <w:lang w:val="el" w:eastAsia="el"/>
        </w:rPr>
        <w:t>Η επιπλέον του ποσοστού τριάντα τοις εκατό (30%) συμμετοχή, θα αποδίδεται στο Ελληνικό Δημόσιο εντός τεσσάρων (4) μηνών από τη λήξη της αντίστοιχης περιόδου.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pStyle w:val="MainText"/>
        <w:spacing w:before="120" w:after="0"/>
        <w:rPr>
          <w:lang w:val="el" w:eastAsia="el"/>
        </w:rPr>
      </w:pPr>
      <w:r>
        <w:rPr>
          <w:b/>
          <w:bCs/>
          <w:lang w:val="el" w:eastAsia="el"/>
        </w:rPr>
        <w:t>13.</w:t>
      </w:r>
      <w:r>
        <w:rPr>
          <w:lang w:val="el" w:eastAsia="el"/>
        </w:rPr>
        <w:t xml:space="preserve"> Ποσοστό ίσο με το 30% επί των μεικτών κερδών όσων διεξάγουν στοίχημα επί ιπποδρομιών, το οποίο υπολογίζεται με όμοιο τρόπο όπως η συμμετοχή του Δημοσίου στα έσοδα της παρ. 5, κατανέμεται ως εξής: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ποσοστό 4,5% επί των μεικτών κερδών καταβάλλεται στο Ελληνικό Δημόσιο,</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ποσοστό 1,5% επί των μεικτών κερδών καταβάλλεται στη Φίλιππο Ένωση,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ποσοστό 24% επί των μεικτών κερδών αποδίδεται ως κατωτέρω: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(αα) Αν ο παραχωρησιούχος της παραγράφου 7β του άρθρου 13 του ν. 4111/2013 είναι ο μοναδικός Φορέας Ιπποδρομιών κατά την έννοια του άρθρου 83 του ν. 4172/2013 το ανωτέρω ποσοστό καταβάλλεται σε ειδικό λογαριασμό επάθλων που τηρείται από τον παραχωρησιούχο της παραγράφου 7β του άρθρου 13 του ν. 4111/2013, με αποκλειστικό σκοπό να διατεθεί στους δικαιούχους των επάθλων.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(ββ) Αν περισσότεροι του ενός Φορείς Ιπποδρομιών οργανώνουν και διεξάγουν στην Ελλάδα ιπποδρομίες επί των οποίων διεξάγεται στοίχημα, ο τρόπος διανομής του ανωτέρω ποσοστού μεταξύ των Φορέων Ιπποδρομιών καθορίζεται με απόφαση του Υπουργού Οικονομικών.</w:t>
      </w:r>
    </w:p>
    <w:p>
      <w:pPr>
        <w:spacing w:before="240" w:after="240"/>
        <w:rPr>
          <w:lang w:val="el" w:eastAsia="el"/>
        </w:rPr>
      </w:pPr>
      <w:r>
        <w:rPr>
          <w:lang w:val="el" w:eastAsia="el"/>
        </w:rPr>
        <w:t>Από το ανωτέρω ποσοστό της περίπτωσης γ' , ποσό ύψους μέχρι 16% επί των μεικτών κερδών όσων διεξάγουν στοίχημα επί ιπποδρομιών που προέρχεται από στοίχημα επί ιπποδρομιών τρίτων θα μπορεί να παρακρατείται από τους φορείς που διεξάγουν στοίχημα επί ιπποδρομιών και να αποδίδεται σε τρίτους φορείς που διοργανώνουν και διεξάγουν ιπποδρομίες, σε αντάλλαγμα για την παραχώρηση δικαιωμάτων επί των ιπποδρομιών τους.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Τα έσοδα αυτά αποδίδονται στους δικαιούχους των ανωτέρω περιπτώσεων α' έως και γ' το αργότερο μέχρι την 16η εργάσιμη ημέρα του επόμενου μήνα από την ημερομηνία παρακράτησης.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Οι διατάξεις της παρούσας παραγράφου ισχύουν από τη θέση του ΟΔΙΕ Α.Ε. σε εκκαθάριση σύμφωνα με την παράγραφο 7 (στ) του ν. 4111/2013 (Α' 18).</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18 Αυγούστου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w:t>
      </w:r>
    </w:p>
    <w:p>
      <w:pPr>
        <w:spacing w:before="240" w:after="240"/>
        <w:rPr>
          <w:lang w:val="el" w:eastAsia="el"/>
        </w:rPr>
      </w:pPr>
      <w:r>
        <w:rPr>
          <w:lang w:val="el" w:eastAsia="el"/>
        </w:rPr>
        <w:t>Χ. ΚΑΣΤΑΝΙΔΗΣ</w:t>
      </w:r>
    </w:p>
    <w:p>
      <w:pPr>
        <w:spacing w:before="240" w:after="240"/>
        <w:rPr>
          <w:lang w:val="el" w:eastAsia="el"/>
        </w:rPr>
      </w:pPr>
      <w:r>
        <w:rPr>
          <w:lang w:val="el" w:eastAsia="el"/>
        </w:rPr>
        <w:t>ΑΝΤΙΠΡΟΕΔΡΟΣ ΤΗΣ ΚΥΒΕΡΝΗΣΗΣ ΚΑΙ ΥΠΟΥΡΓΟΣ ΟΙΚΟΝΟΜΙΚΩΝ</w:t>
      </w:r>
    </w:p>
    <w:p>
      <w:pPr>
        <w:spacing w:before="240" w:after="240"/>
        <w:rPr>
          <w:lang w:val="el" w:eastAsia="el"/>
        </w:rPr>
      </w:pPr>
      <w:r>
        <w:rPr>
          <w:lang w:val="el" w:eastAsia="el"/>
        </w:rPr>
        <w:t>Ε. ΒΕΝΙΖΕΛΟΣ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Π. ΜΠΕΓΛΙΤΗΣ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Ι. ΡΑΓΚΟΥΣΗΣ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Γ. ΚΟΥΤΡΟΥΜΑΝΗΣ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Α.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Κ. ΣΚΑΝΔΑΛΙΔΗΣ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Αυγούστου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 ΠΑΠΑΪΩΑΝΝΟΥ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4021/2011, Άρθρο 52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4021/2011,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4021/2011,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Προσθήκη 4093/2012, Άρθρο 2</w:t>
        </w:r>
      </w:hyperlink>
      <w:r>
        <w:rPr>
          <w:lang w:val="el" w:eastAsia="el"/>
        </w:rPr>
        <w:t xml:space="preserve">; </w:t>
      </w:r>
      <w:hyperlink r:id="rId5" w:anchor="art_2" w:history="1">
        <w:r>
          <w:rPr>
            <w:rStyle w:val="Hyperlink"/>
            <w:color w:val="0000EE"/>
            <w:u w:color="0000EE"/>
            <w:lang w:val="el" w:eastAsia="el"/>
          </w:rPr>
          <w:t>Προσθήκη 4093/2012,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Προσθήκη 4093/2012,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Προσθήκη 4093/2012,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Προσθήκη 4093/2012,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Αφαίρεση 4093/2012,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4254/2014,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1/10/03/4021" TargetMode="External" /><Relationship Id="rId10" Type="http://schemas.openxmlformats.org/officeDocument/2006/relationships/hyperlink" Target="http://data.aade.gr/eli/pri/law/2014/04/07/4254"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4/04/07/4254" TargetMode="External" /><Relationship Id="rId2" Type="http://schemas.openxmlformats.org/officeDocument/2006/relationships/hyperlink" Target="http://data.aade.gr/eli/pri/law/2011/10/03/4021" TargetMode="External" /><Relationship Id="rId3" Type="http://schemas.openxmlformats.org/officeDocument/2006/relationships/hyperlink" Target="http://data.aade.gr/eli/pri/law/2011/10/03/4021" TargetMode="External" /><Relationship Id="rId4" Type="http://schemas.openxmlformats.org/officeDocument/2006/relationships/hyperlink" Target="http://data.aade.gr/eli/pri/law/2012/11/12/4093"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2/11/12/4093"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11/12/4093"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