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4002/2011</w:t>
      </w:r>
    </w:p>
    <w:p>
      <w:pPr>
        <w:pStyle w:val="PreambelText"/>
        <w:spacing w:before="240" w:after="240"/>
        <w:rPr>
          <w:lang w:val="el" w:eastAsia="el"/>
        </w:rPr>
      </w:pPr>
      <w:r>
        <w:rPr>
          <w:lang w:val="el" w:eastAsia="el"/>
        </w:rPr>
        <w:t>ΝΟΜΟΣ ΥΠ’ ΑΡΙΘΜ. 4002</w:t>
      </w:r>
    </w:p>
    <w:p>
      <w:pPr>
        <w:pStyle w:val="PreambelText"/>
        <w:spacing w:before="240" w:after="240"/>
        <w:rPr>
          <w:lang w:val="el" w:eastAsia="el"/>
        </w:rPr>
      </w:pPr>
      <w:r>
        <w:rPr>
          <w:lang w:val="el" w:eastAsia="el"/>
        </w:rPr>
        <w:t>(ΦΕΚ Α' 180/22-08-2011)</w:t>
      </w:r>
    </w:p>
    <w:p>
      <w:pPr>
        <w:pStyle w:val="PreambelText"/>
        <w:spacing w:before="240" w:after="240"/>
        <w:rPr>
          <w:lang w:val="el" w:eastAsia="el"/>
        </w:rPr>
      </w:pPr>
      <w:r>
        <w:rPr>
          <w:lang w:val="el" w:eastAsia="el"/>
        </w:rPr>
        <w:t>Τροποποίηση της συνταξιοδοτικής νομοθεσίας του Δημοσίου Ρυθμίσεις για την ανάπτυξη και τη δημοσιονομική εξυγίανση Θέματα αρμοδιότητας Υπουργείων Οικονομικών, Πολιτισμού και Τουρισμού και Εργασίας και Κοινωνικής Ασφάλισης.</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Παράβολα – Τέλη – Συμμετοχή του Δημοσίου στα έσοδα – Φόροι</w:t>
      </w:r>
    </w:p>
    <w:p>
      <w:pPr>
        <w:pStyle w:val="MainText"/>
        <w:spacing w:before="120" w:after="0"/>
        <w:rPr>
          <w:lang w:val="el" w:eastAsia="el"/>
        </w:rPr>
      </w:pPr>
      <w:r>
        <w:rPr>
          <w:b/>
          <w:bCs/>
          <w:lang w:val="el" w:eastAsia="el"/>
        </w:rPr>
        <w:t>1.</w:t>
      </w:r>
      <w:r>
        <w:rPr>
          <w:lang w:val="el" w:eastAsia="el"/>
        </w:rPr>
        <w:t xml:space="preserve"> Για την έκδοση και την ανανέωση των όρων της άδειας διεξαγωγής τεχνικών - ψυχαγωγικών παιγνίων με παιγνιομηχανήματα, καθώς και για τη λειτουργία των παιγνιομηχανημάτων τεχνικών - ψυχαγωγικών παιγνίων, καταβάλλονται:</w:t>
      </w:r>
    </w:p>
    <w:p>
      <w:pPr>
        <w:pStyle w:val="StructureList1"/>
        <w:spacing w:before="120" w:after="0"/>
        <w:rPr>
          <w:lang w:val="el" w:eastAsia="el"/>
        </w:rPr>
      </w:pPr>
      <w:r>
        <w:rPr>
          <w:lang w:val="el" w:eastAsia="el"/>
        </w:rPr>
        <w:t>α)</w:t>
      </w:r>
      <w:r>
        <w:rPr>
          <w:lang w:val="en" w:eastAsia="en"/>
        </w:rPr>
        <w:tab/>
      </w:r>
      <w:r>
        <w:rPr>
          <w:lang w:val="el" w:eastAsia="el"/>
        </w:rPr>
        <w:t>προκαταβλητέο εφάπαξ τέλος για την έκδοση ή την ανανέωση των όρων της άδειας διεξαγωγής τεχνικών-ψυχαγωγικών παιγνίων, ανάλογα με τον αριθμό των παιγνιομηχανημάτων και τον πληθυσμό του τόπου εγκατάστασής τους,</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διενέργειας τεχνικών-ψυχαγωγικών παιγνίων με παιγνιομηχανήματα, ανάλογα με τον αριθμό των παιγνιομηχανημάτων και τον πληθυσμό του τόπου εγκατάστασής τους.</w:t>
      </w:r>
    </w:p>
    <w:p>
      <w:pPr>
        <w:pStyle w:val="MainText"/>
        <w:spacing w:before="120" w:after="0"/>
        <w:rPr>
          <w:lang w:val="el" w:eastAsia="el"/>
        </w:rPr>
      </w:pPr>
      <w:r>
        <w:rPr>
          <w:b/>
          <w:bCs/>
          <w:lang w:val="el" w:eastAsia="el"/>
        </w:rPr>
        <w:t>2.</w:t>
      </w:r>
      <w:r>
        <w:rPr>
          <w:lang w:val="el" w:eastAsia="el"/>
        </w:rPr>
        <w:t xml:space="preserve"> Για την έκδοση και την ανανέωση άδειας διεξαγωγής τυχερών παιγνίων με παιγνιομηχανήματα ή μέσω του διαδικτύου, καθώς και για τη λειτουργία των παιγνιομηχανημάτων αυτών, καταβάλλονται:</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α)</w:t>
      </w:r>
      <w:r>
        <w:rPr>
          <w:lang w:val="en" w:eastAsia="en"/>
        </w:rPr>
        <w:tab/>
      </w:r>
      <w:r>
        <w:rPr>
          <w:lang w:val="el" w:eastAsia="el"/>
        </w:rPr>
        <w:t>παράβολο για τη συμμετοχή στο διαγωνισμό χορήγησης αδειών, σύμφωνα με το άρθρο 46,</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β)</w:t>
      </w:r>
      <w:r>
        <w:rPr>
          <w:lang w:val="en" w:eastAsia="en"/>
        </w:rPr>
        <w:tab/>
      </w:r>
      <w:r>
        <w:rPr>
          <w:lang w:val="el" w:eastAsia="el"/>
        </w:rPr>
        <w:t>το τίμημα για τη χορήγηση της άδειας, όπως προέκυψε κατά τη διαγωνιστική διαδικασία σύμφωνα με το άρθρο 46 για τα τυχερά παίγνια μέσω διαδικτύου, καθώς και το τίμημα για τα τυχερά παίγνια με παιγνιομηχανήματα σύμφωνα με το άρθρο 39 του παρόντος νόμου.</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γ)</w:t>
      </w:r>
      <w:r>
        <w:rPr>
          <w:lang w:val="en" w:eastAsia="en"/>
        </w:rPr>
        <w:tab/>
      </w:r>
      <w:r>
        <w:rPr>
          <w:lang w:val="el" w:eastAsia="el"/>
        </w:rPr>
        <w:t>σε περίπτωση ανανέωσης άδειας, ποσό έναντι της συμμετοχής του Δημοσίου στα έσοδα των τυχερών παιγνίων, σύμφωνα με την παράγραφο 5 του άρθρου αυτού.</w:t>
      </w:r>
    </w:p>
    <w:p>
      <w:pPr>
        <w:pStyle w:val="MainText"/>
        <w:spacing w:before="120" w:after="0"/>
        <w:rPr>
          <w:lang w:val="el" w:eastAsia="el"/>
        </w:rPr>
      </w:pPr>
      <w:r>
        <w:rPr>
          <w:b/>
          <w:bCs/>
          <w:lang w:val="el" w:eastAsia="el"/>
        </w:rPr>
        <w:t>3.</w:t>
      </w:r>
      <w:r>
        <w:rPr>
          <w:lang w:val="el" w:eastAsia="el"/>
        </w:rPr>
        <w:t xml:space="preserve"> Για την πιστοποίηση των παιγνίων, των παιγνιομηχανημάτων και των καταστημάτων στα οποία διεξάγονται τεχνικά - ψυχαγωγικά ή τυχερά παίγνια με παιγνιομηχανήματα, καταβάλλονται: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τα άρθρα 42 παράγραφοι 1 και 3 και 44 παράγραφοι 1 έως και 4,</w:t>
      </w:r>
    </w:p>
    <w:p>
      <w:pPr>
        <w:pStyle w:val="StructureList1"/>
        <w:spacing w:before="120" w:after="0"/>
        <w:rPr>
          <w:lang w:val="el" w:eastAsia="el"/>
        </w:rPr>
      </w:pPr>
      <w:r>
        <w:rPr>
          <w:lang w:val="el" w:eastAsia="el"/>
        </w:rPr>
        <w:t>β)</w:t>
      </w:r>
      <w:r>
        <w:rPr>
          <w:lang w:val="en" w:eastAsia="en"/>
        </w:rPr>
        <w:tab/>
      </w:r>
      <w:r>
        <w:rPr>
          <w:lang w:val="el" w:eastAsia="el"/>
        </w:rPr>
        <w:t>εφάπαξ τέλος πιστοποίησης παιγνίου, παιγνιομηχανήματος και καταστήματος σύμφωνα με τα άρθρα 42 παράγραφοι 1 και 3 και 44 παράγραφοι 1 έως και 4.</w:t>
      </w:r>
    </w:p>
    <w:p>
      <w:pPr>
        <w:pStyle w:val="MainText"/>
        <w:spacing w:before="120" w:after="0"/>
        <w:rPr>
          <w:lang w:val="el" w:eastAsia="el"/>
        </w:rPr>
      </w:pPr>
      <w:r>
        <w:rPr>
          <w:b/>
          <w:bCs/>
          <w:lang w:val="el" w:eastAsia="el"/>
        </w:rPr>
        <w:t>4.</w:t>
      </w:r>
      <w:r>
        <w:rPr>
          <w:lang w:val="el" w:eastAsia="el"/>
        </w:rPr>
        <w:t xml:space="preserve"> Για την εγγραφή και τη διατήρηση στα μητρώα της Ε.Ε.Ε.Π. των κατασκευαστών, των τεχνικών και των εισαγωγέων παιγνίων και παιγνιομηχανημάτων καταβάλλεται:</w:t>
      </w:r>
    </w:p>
    <w:p>
      <w:pPr>
        <w:pStyle w:val="StructureList1"/>
        <w:spacing w:before="120" w:after="0"/>
        <w:rPr>
          <w:lang w:val="el" w:eastAsia="el"/>
        </w:rPr>
      </w:pPr>
      <w:r>
        <w:rPr>
          <w:lang w:val="el" w:eastAsia="el"/>
        </w:rPr>
        <w:t>α)</w:t>
      </w:r>
      <w:r>
        <w:rPr>
          <w:lang w:val="en" w:eastAsia="en"/>
        </w:rPr>
        <w:tab/>
      </w:r>
      <w:r>
        <w:rPr>
          <w:lang w:val="el" w:eastAsia="el"/>
        </w:rPr>
        <w:t>παράβολο με την υποβολή της αίτησης, σύμφωνα με την παράγραφο 3 του άρθρου 29,</w:t>
      </w:r>
    </w:p>
    <w:p>
      <w:pPr>
        <w:pStyle w:val="StructureList1"/>
        <w:spacing w:before="120" w:after="0"/>
        <w:rPr>
          <w:lang w:val="el" w:eastAsia="el"/>
        </w:rPr>
      </w:pPr>
      <w:r>
        <w:rPr>
          <w:lang w:val="el" w:eastAsia="el"/>
        </w:rPr>
        <w:t>β)</w:t>
      </w:r>
      <w:r>
        <w:rPr>
          <w:lang w:val="en" w:eastAsia="en"/>
        </w:rPr>
        <w:tab/>
      </w:r>
      <w:r>
        <w:rPr>
          <w:lang w:val="el" w:eastAsia="el"/>
        </w:rPr>
        <w:t>προκαταβλητέο ετήσιο τέλος διατήρησης εγγραφής, σύμφωνα με την παράγραφο 3 του άρθρου 29.</w:t>
      </w:r>
    </w:p>
    <w:p>
      <w:pPr>
        <w:pStyle w:val="MainText"/>
        <w:spacing w:before="120" w:after="0"/>
        <w:rPr>
          <w:lang w:val="el" w:eastAsia="el"/>
        </w:rPr>
      </w:pPr>
      <w:r>
        <w:rPr>
          <w:b/>
          <w:bCs/>
          <w:lang w:val="el" w:eastAsia="el"/>
        </w:rPr>
        <w:t>5.</w:t>
      </w:r>
      <w:r>
        <w:rPr>
          <w:lang w:val="el" w:eastAsia="el"/>
        </w:rPr>
        <w:t xml:space="preserve"> Για όλα τα τυχερά παίγνια η συμμετοχή του Ελληνικού Δημοσίου στα έσοδα καθορίζεται σε τριάντα πέντε τοις εκατό (35%) επί του μικτού κέρδους που αφορά τα ποσά τα οποία προέρχονται από την εκμετάλλευση της δραστηριότητας του κατόχου της άδειας.Τα έσοδα αυτά αποδίδονται στο Δημόσιο εντός δεκαέξι (16) ημερών από το τέλος του ημερολογιακού μήνα που αφορούν. Εξαιρετικά, η συμμετοχή του Ελληνικού Δημοσίου στα έσοδα από τα τυχερά παίγνια που διεξάγει η ΟΠΑΠ Α.Ε. δυνάμει της από 15.12.2000 σύμβασης μεταξύ του Ελληνικού Δημοσίου και της ΟΠΑΠ Α. Ε., όπως αυτή ισχύει και τροποποιήθηκε με την από 12.12.2011 πρόσθετη πράξη μεταξύ της ΟΠΑΠ και του Ταμείου Αξιοποίησης Ιδιωτικής Περιουσίας Δημοσίου Α. Ε. σύμφωνα με τα ανωτέρω, θα ισχύει μέχρι την 12.10.2020.Μετά τη λήξη κάθε οικονομικής χρήσεως τα αδιάθετα ποσά των κερδών των τυχερών παιγνίων, αποδίδονται στο Ελληνικό Δημόσιο. Ο κάτοχος άδειας, αν έχει παραχωρήσει το δικαίωμα εκμετάλλευσης, βαρύνεται αλληλεγγύως και εις ολόκληρον με τον φορέα εκμετάλλευσης για την καταβολή της συμμετοχής του πρώτου εδαφίου.</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5Α.</w:t>
      </w:r>
      <w:r>
        <w:rPr>
          <w:lang w:val="el" w:eastAsia="el"/>
        </w:rPr>
        <w:t xml:space="preserve"> Σε ό,τι αφορά τα παίγνια μέσω παιγνιομηχανημάτων για τα οποία έχει χορηγηθεί άδεια εκμετάλλευσης στην ΟΠΑΠ Α. Ε. δυνάμει του άρθρου 39 του παρόντος και της από 4.11.2011 σύμβασης μεταξύ του Ελληνικού Δημοσίου και της ΟΠΑΠ Α.Ε., θα ισχύουν τα ακόλουθα: Το ποσοστό συμμετοχής του Ελληνικού Δημοσίου επί του μικτού κέρδους από τα παίγνια αυτά δύναται να αυξάνεται μέχρι και κατά πέντε ποσοστιαίες μονάδες διαμορφούμενο έτσι κατ' ανώτατο όριο σε τριάντα πέντε τοις εκατό (35%), σύμφωνα με την παρακάτω μεθοδολογία. Το χρονικό διάστημα ισχύος της άδειας χωρίζεται στις εξής 3 περιόδους: Περίοδος Α': από την έναρξη ισχύος της άδειας κατά το άρθρο 39 του παρόντος έως το τέλος του τέταρτου έτους της ισχύος της άδειας. Περίοδος Β: από την έναρξη του πέμπτου έτους ισχύος της άδειας μέχρι τη λήξη του όγδοου έτους ισχύος της άδειας, και Περίοδος Γ: από την έναρξη του ένατου έτους ισχύος της άδειας μέχρι τη λήξη της ισχύος της άδειας. Για κάθε περίοδο, η επιπλέον του ποσοστού τριάντα τοις εκατό (30%) συμμετοχή του Ελληνικού Δημοσίου θα διαμορφώνεται ανάλογα με το ποσό των μικτών κερδών της ΟΠΑΠ Α.Ε. κατά την περίοδο από τα παίγνια μέσω παιγνιομηχανημάτων («Μικτά Κέρδη»). Αν το ποσό των Μικτών Κερδών είναι: α) μικρότερο ή ίσο από το Κάτω Όριο (όπως καθορίζεται κατωτέρω) δεν θα υπάρχει επιπλέον συμμετοχή, β) μεγαλύτερο ή ίσο από Ανω Όριο (όπως καθορίζεται κατωτέρω) η επιπλέον συμμετοχή θα ισούται με πέντε ποσοστιαίες μονάδες, γ) μεταξύ του Κάτω Ορίου και του Ανω Ορίου η επιπλέον συμμετοχή θα διαμορφώνεται σύμφωνα με τον παρακάτω τύπο: Επιπλέον συμμετοχή = (Μικτά Κέρδη - Κάτω Όριο) /(Ανω Όριο - Κάτω Όριο) x 5% .</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Τα άνω και κάτω όρια καθορίζονται για κάθε χρονική περίοδο σύμφωνα με τον παρακάτω πίνακα:</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ΚΑΤΩ ΟΡΙΟ ΑΝΩ ΟΡΙΟ</w:t>
      </w:r>
    </w:p>
    <w:p>
      <w:pPr>
        <w:spacing w:before="240" w:after="240"/>
        <w:rPr>
          <w:lang w:val="el" w:eastAsia="el"/>
        </w:rPr>
      </w:pPr>
      <w:r>
        <w:rPr>
          <w:lang w:val="el" w:eastAsia="el"/>
        </w:rPr>
        <w:t>Περίοδος Α €2.793.000.000 €4.190.000.000</w:t>
      </w:r>
    </w:p>
    <w:p>
      <w:pPr>
        <w:spacing w:before="240" w:after="240"/>
        <w:rPr>
          <w:lang w:val="el" w:eastAsia="el"/>
        </w:rPr>
      </w:pPr>
      <w:r>
        <w:rPr>
          <w:lang w:val="el" w:eastAsia="el"/>
        </w:rPr>
        <w:t>Περίοδος Β €2.940.000.000 €4.410.000.000</w:t>
      </w:r>
    </w:p>
    <w:p>
      <w:pPr>
        <w:spacing w:before="240" w:after="240"/>
        <w:rPr>
          <w:lang w:val="el" w:eastAsia="el"/>
        </w:rPr>
      </w:pPr>
      <w:r>
        <w:rPr>
          <w:lang w:val="el" w:eastAsia="el"/>
        </w:rPr>
        <w:t>Περίοδος Γ €1.470.000.000 €2.205.000.000</w:t>
      </w:r>
    </w:p>
    <w:p>
      <w:pPr>
        <w:spacing w:before="240" w:after="240"/>
        <w:rPr>
          <w:lang w:val="el" w:eastAsia="el"/>
        </w:rPr>
      </w:pPr>
      <w:r>
        <w:rPr>
          <w:lang w:val="el" w:eastAsia="el"/>
        </w:rPr>
        <w:t>Η επιπλέον του ποσοστού τριάντα τοις εκατό (30%) συμμετοχή, θα αποδίδεται στο Ελληνικό Δημόσιο εντός τεσσάρων (4) μηνών από τη λήξη της αντίστοιχης περιόδου.</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Πολιτισμού και Τουρισμού και του συναρμόδιου Υπουργού καθορίζεται μέρος των εσόδων αυτών του Ελληνικού Δημοσίου, ύψους τουλάχιστον 20%, το οποίο προορίζεται για κοινωνικές πολιτικές, όπως η ενίσχυση μέτρων πολιτικής για άτομα με αναπηρία, για την καταπολέμηση της ανεργίας, για την απεξάρτηση από τα παίγνια, καθώς και για την απεξάρτηση από άλλες μορφές εθισμού, για τον αθλητισμό, για τον πολιτισμό, και για τους ΟΤΑ πρώτου και δεύτερου βαθμού σχετικά με τις παραπάνω πολιτικές και τις διαδικαστικές ενέργειες που προβλέπονται στην περίπτωση ια΄ της παραγράφου 3 του άρθρου 28, καθώς και κάθε άλλο σχετικό θέμα. </w:t>
      </w:r>
    </w:p>
    <w:p>
      <w:pPr>
        <w:pStyle w:val="MainText"/>
        <w:spacing w:before="120" w:after="0"/>
        <w:rPr>
          <w:lang w:val="el" w:eastAsia="el"/>
        </w:rPr>
      </w:pPr>
      <w:r>
        <w:rPr>
          <w:b/>
          <w:bCs/>
          <w:lang w:val="el" w:eastAsia="el"/>
        </w:rPr>
        <w:t>7.</w:t>
      </w:r>
      <w:r>
        <w:rPr>
          <w:lang w:val="el" w:eastAsia="el"/>
        </w:rPr>
        <w:t xml:space="preserve"> Τα ποσά που καταβάλλονται σύμφωνα με τις διατάξεις των παραγράφων 1 έως και 6 του άρθρου αυτού, θεωρούνται δαπάνη της επιχείρησης και εκπίπτουν από τα ακαθάριστα έσοδα των επιχειρήσεων στις περιπτώσεις που το καθαρό εισόδημα αυτών προσδιορίζεται λογιστικά, ή από τα συνολικά κέρδη των επιχειρήσεων στις περιπτώσεις που το καθαρό εισόδημα αυτών προσδιορίζεται εξωλογιστικά, σύμφωνα με τις διατάξεις του N. 2238/1994. Τα παραπάνω ποσά δεν συμψηφίζονται με άλλους φόρους ή άλλα τέλη, ούτε επιστρέφονται.</w:t>
      </w:r>
    </w:p>
    <w:p>
      <w:pPr>
        <w:pStyle w:val="MainText"/>
        <w:spacing w:before="120" w:after="0"/>
        <w:rPr>
          <w:lang w:val="el" w:eastAsia="el"/>
        </w:rPr>
      </w:pPr>
      <w:r>
        <w:rPr>
          <w:b/>
          <w:bCs/>
          <w:lang w:val="el" w:eastAsia="el"/>
        </w:rPr>
        <w:t>8.</w:t>
      </w:r>
      <w:r>
        <w:rPr>
          <w:lang w:val="el" w:eastAsia="el"/>
        </w:rPr>
        <w:t xml:space="preserve"> Τα κέρδη που προκύπτουν από την εκμετάλλευση των παιγνίων, που ρυθμίζονται σύμφωνα με την παράγραφο 1 του άρθρου 26, φορολογούνται με τις γενικές διατάξεις φορολογίας του εισοδήματος.</w:t>
      </w:r>
    </w:p>
    <w:p>
      <w:pPr>
        <w:spacing w:before="240" w:after="240"/>
        <w:rPr>
          <w:lang w:val="el" w:eastAsia="el"/>
        </w:rPr>
      </w:pPr>
      <w:r>
        <w:rPr>
          <w:lang w:val="el" w:eastAsia="el"/>
        </w:rPr>
        <w:t>Γενικά έξοδα διαχείρισης και διάφορα άλλα έξοδα οργάνωσης και λειτουργίας της αλλοδαπής επιχείρησης που έχει μόνιμη εγκατάσταση στην Ελλάδα και είναι κάτοχος άδειας του νόμου αυτού, που πραγματοποιούνται από την έδρα της επιχείρησης που βρίσκεται στην αλλοδαπή, δεν υπολογίζονται προκειμένου να προσδιοριστεί το καθαρό κέρδος που προκύπτει στην Ελλάδα από τη μόνιμη εγκατάσταση της αλλοδαπής επιχείρησης.</w:t>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10.</w:t>
      </w:r>
      <w:r>
        <w:rPr>
          <w:lang w:val="el" w:eastAsia="el"/>
        </w:rPr>
        <w:t xml:space="preserve"> Με απόφαση του Υπουργού Οικονομικών, που εκδίδεται μετά από εισήγηση της Ε.Ε.Ε.Π., καθορίζονται τα ποσά των παραβόλων, τελών και συμμετοχών, καθώς και ο χρόνος, η διαδικασία καταβολής, τα όργανα είσπραξης και κάθε σχετικό θέμα για την εφαρμογή των προηγούμενων παραγράφων, σύμφωνα με σχετική οικονομική μελέτη που βασίζεται σε πρόσφορα στοιχεία, τα οποία αντανακλούν το κόστος των διαδικασιών που απαιτούνται για το σκοπό αυτόν. </w:t>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που εκδίδεται μετά από εισήγηση της Ε.Ε.Ε.Π., καθορίζονται όλα τα έγγραφα, μηχανικά ή ηλεκτρονικά μέσα, για τη βεβαίωση κάθε φύσης εσόδων του Δημοσίου, επιπλέον εκείνων που προβλέπονται από τις γενικές διατάξεις. </w:t>
      </w:r>
    </w:p>
    <w:p>
      <w:pPr>
        <w:pStyle w:val="MainText"/>
        <w:spacing w:before="120" w:after="0"/>
        <w:rPr>
          <w:lang w:val="el" w:eastAsia="el"/>
        </w:rPr>
      </w:pPr>
      <w:r>
        <w:rPr>
          <w:b/>
          <w:bCs/>
          <w:lang w:val="el" w:eastAsia="el"/>
        </w:rPr>
        <w:t>12.</w:t>
      </w:r>
      <w:r>
        <w:rPr>
          <w:lang w:val="el" w:eastAsia="el"/>
        </w:rPr>
        <w:t xml:space="preserve"> Εταιρείες παροχής υπηρεσιών στοιχημάτων και τυχερών παιγνίων μέσω του διαδικτύου που είναι νόμιμα εγκατεστημένες σε κράτη - μέλη της Ευρωπαϊκής Ένωσης και του Ευρωπαϊκού Οικονομικού χώρου και κατέχουν σχετική νόμιμη άδεια λειτουργίας και παροχής τέτοιων υπηρεσιών, μπορούν να συνεχίσουν την παροχή υπηρεσιών στη μεταβατική περίοδο μέχρι την εφαρμογή των διατάξεων του νόμου αυτού που διέπουν το διαδικτυακό στοίχημα και τη χορήγηση των σχετικών αδειών μόνον εφόσον υπαχθούν αμέσως και οικειοθελώς στο φορολογικό καθεστώς των άρθρων 45 έως 50 του νόμου αυτού, αναδρομικά στο πλαίσιο του άρθρου 78 παρ. 2 του Συντάγματος. Κάθε σχετική λεπτομέρεια καθορίζεται με απόφαση του Υπουργού Οικονομικών. Η εφαρμογή της παραγράφου αυτής δεν θίγει τη σχετική αποκλειστική δικαιοδοσία του Ελληνικού Δημοσίου, σύμφωνα με τα προβλεπόμενα στο νόμο αυτόν και δεν προδικάζει την παροχή άδειας κατά το άρθρο 45. </w:t>
      </w:r>
    </w:p>
    <w:p>
      <w:pPr>
        <w:pStyle w:val="MainText"/>
        <w:spacing w:before="120" w:after="0"/>
        <w:rPr>
          <w:lang w:val="el" w:eastAsia="el"/>
        </w:rPr>
      </w:pPr>
      <w:r>
        <w:rPr>
          <w:b/>
          <w:bCs/>
          <w:lang w:val="el" w:eastAsia="el"/>
        </w:rPr>
        <w:t>13.</w:t>
      </w:r>
      <w:r>
        <w:rPr>
          <w:lang w:val="el" w:eastAsia="el"/>
        </w:rPr>
        <w:t xml:space="preserve"> Ποσοστό ίσο με το 30% επί των μεικτών κερδών όσων διεξάγουν στοίχημα επί ιπποδρομιών, το οποίο υπολογίζεται με όμοιο τρόπο όπως η συμμετοχή του Δημοσίου στα έσοδα της παρ. 5, κατανέμεται ως εξής:</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α)</w:t>
      </w:r>
      <w:r>
        <w:rPr>
          <w:lang w:val="en" w:eastAsia="en"/>
        </w:rPr>
        <w:tab/>
      </w:r>
      <w:r>
        <w:rPr>
          <w:lang w:val="el" w:eastAsia="el"/>
        </w:rPr>
        <w:t>ποσοστό 4,5% επί των μεικτών κερδών καταβάλλεται στο Ελληνικό Δημόσιο,</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ποσοστό 1,5% επί των μεικτών κερδών καταβάλλεται στη Φίλιππο Ένωση,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ποσοστό 24% επί των μεικτών κερδών αποδίδεται ως κατωτέρω: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(αα) Αν ο παραχωρησιούχος της παραγράφου 7β του άρθρου 13 του ν. 4111/2013 είναι ο μοναδικός Φορέας Ιπποδρομιών κατά την έννοια του άρθρου 83 του ν. 4172/2013 το ανωτέρω ποσοστό καταβάλλεται σε ειδικό λογαριασμό επάθλων που τηρείται από τον παραχωρησιούχο της παραγράφου 7β του άρθρου 13 του ν. 4111/2013, με αποκλειστικό σκοπό να διατεθεί στους δικαιούχους των επάθλων.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(ββ) Αν περισσότεροι του ενός Φορείς Ιπποδρομιών οργανώνουν και διεξάγουν στην Ελλάδα ιπποδρομίες επί των οποίων διεξάγεται στοίχημα, ο τρόπος διανομής του ανωτέρω ποσοστού μεταξύ των Φορέων Ιπποδρομιών καθορίζεται με απόφαση του Υπουργού Οικονομικών.</w:t>
      </w:r>
    </w:p>
    <w:p>
      <w:pPr>
        <w:spacing w:before="240" w:after="240"/>
        <w:rPr>
          <w:lang w:val="el" w:eastAsia="el"/>
        </w:rPr>
      </w:pPr>
      <w:r>
        <w:rPr>
          <w:lang w:val="el" w:eastAsia="el"/>
        </w:rPr>
        <w:t>Από το ανωτέρω ποσοστό της περίπτωσης γ' , ποσό ύψους μέχρι 16% επί των μεικτών κερδών όσων διεξάγουν στοίχημα επί ιπποδρομιών που προέρχεται από στοίχημα επί ιπποδρομιών τρίτων θα μπορεί να παρακρατείται από τους φορείς που διεξάγουν στοίχημα επί ιπποδρομιών και να αποδίδεται σε τρίτους φορείς που διοργανώνουν και διεξάγουν ιπποδρομίες, σε αντάλλαγμα για την παραχώρηση δικαιωμάτων επί των ιπποδρομιών τους.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Τα έσοδα αυτά αποδίδονται στους δικαιούχους των ανωτέρω περιπτώσεων α' έως και γ' το αργότερο μέχρι την 16η εργάσιμη ημέρα του επόμενου μήνα από την ημερομηνία παρακράτησης.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Οι διατάξεις της παρούσας παραγράφου ισχύουν από τη θέση του ΟΔΙΕ Α.Ε. σε εκκαθάριση σύμφωνα με την παράγραφο 7 (στ) του ν. 4111/2013 (Α' 18).</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Λευκάδα, 18 Αυγούστου 2011</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ΔΙΟΙΚΗΤΙΚΗΣ ΜΕΤΑΡΡΥΘΜΙΣΗΣ ΚΑΙ ΗΛΕΚΤΡΟΝΙΚΗΣ ΔΙΑΚΥΒΕΡΝΗΣΗΣ</w:t>
      </w:r>
    </w:p>
    <w:p>
      <w:pPr>
        <w:spacing w:before="240" w:after="240"/>
        <w:rPr>
          <w:lang w:val="el" w:eastAsia="el"/>
        </w:rPr>
      </w:pPr>
      <w:r>
        <w:rPr>
          <w:lang w:val="el" w:eastAsia="el"/>
        </w:rPr>
        <w:t>Δ. ΡΕΠΠΑΣ</w:t>
      </w:r>
    </w:p>
    <w:p>
      <w:pPr>
        <w:spacing w:before="240" w:after="240"/>
        <w:rPr>
          <w:lang w:val="el" w:eastAsia="el"/>
        </w:rPr>
      </w:pPr>
      <w:r>
        <w:rPr>
          <w:lang w:val="el" w:eastAsia="el"/>
        </w:rPr>
        <w:t>ΕΣΩΤΕΡΙΚΩΝ</w:t>
      </w:r>
    </w:p>
    <w:p>
      <w:pPr>
        <w:spacing w:before="240" w:after="240"/>
        <w:rPr>
          <w:lang w:val="el" w:eastAsia="el"/>
        </w:rPr>
      </w:pPr>
      <w:r>
        <w:rPr>
          <w:lang w:val="el" w:eastAsia="el"/>
        </w:rPr>
        <w:t>Χ. ΚΑΣΤΑΝΙΔΗΣ</w:t>
      </w:r>
    </w:p>
    <w:p>
      <w:pPr>
        <w:spacing w:before="240" w:after="240"/>
        <w:rPr>
          <w:lang w:val="el" w:eastAsia="el"/>
        </w:rPr>
      </w:pPr>
      <w:r>
        <w:rPr>
          <w:lang w:val="el" w:eastAsia="el"/>
        </w:rPr>
        <w:t>ΑΝΤΙΠΡΟΕΔΡΟΣ ΤΗΣ ΚΥΒΕΡΝΗΣΗΣ ΚΑΙ ΥΠΟΥΡΓΟΣ ΟΙΚΟΝΟΜΙΚΩΝ</w:t>
      </w:r>
    </w:p>
    <w:p>
      <w:pPr>
        <w:spacing w:before="240" w:after="240"/>
        <w:rPr>
          <w:lang w:val="el" w:eastAsia="el"/>
        </w:rPr>
      </w:pPr>
      <w:r>
        <w:rPr>
          <w:lang w:val="el" w:eastAsia="el"/>
        </w:rPr>
        <w:t>Ε. ΒΕΝΙΖΕΛΟΣ</w:t>
      </w:r>
    </w:p>
    <w:p>
      <w:pPr>
        <w:spacing w:before="240" w:after="240"/>
        <w:rPr>
          <w:lang w:val="el" w:eastAsia="el"/>
        </w:rPr>
      </w:pPr>
      <w:r>
        <w:rPr>
          <w:lang w:val="el" w:eastAsia="el"/>
        </w:rPr>
        <w:t>ΕΘΝΙΚΗΣ ΑΜΥΝΑΣ</w:t>
      </w:r>
    </w:p>
    <w:p>
      <w:pPr>
        <w:spacing w:before="240" w:after="240"/>
        <w:rPr>
          <w:lang w:val="el" w:eastAsia="el"/>
        </w:rPr>
      </w:pPr>
      <w:r>
        <w:rPr>
          <w:lang w:val="el" w:eastAsia="el"/>
        </w:rPr>
        <w:t>Π. ΜΠΕΓΛΙΤΗΣ</w:t>
      </w:r>
    </w:p>
    <w:p>
      <w:pPr>
        <w:spacing w:before="240" w:after="240"/>
        <w:rPr>
          <w:lang w:val="el" w:eastAsia="el"/>
        </w:rPr>
      </w:pPr>
      <w:r>
        <w:rPr>
          <w:lang w:val="el" w:eastAsia="el"/>
        </w:rPr>
        <w:t>ΑΝΑΠΤΥΞΗΣ, ΑΝΤΑΓΩΝΙΣΤΙΚΟΤΗΤΑΣ ΚΑΙ ΝΑΥΤΙΛΙΑΣ</w:t>
      </w:r>
    </w:p>
    <w:p>
      <w:pPr>
        <w:spacing w:before="240" w:after="240"/>
        <w:rPr>
          <w:lang w:val="el" w:eastAsia="el"/>
        </w:rPr>
      </w:pPr>
      <w:r>
        <w:rPr>
          <w:lang w:val="el" w:eastAsia="el"/>
        </w:rPr>
        <w:t>Μ. ΧΡΥΣΟΧΟΪΔΗΣ</w:t>
      </w:r>
    </w:p>
    <w:p>
      <w:pPr>
        <w:spacing w:before="240" w:after="240"/>
        <w:rPr>
          <w:lang w:val="el" w:eastAsia="el"/>
        </w:rPr>
      </w:pPr>
      <w:r>
        <w:rPr>
          <w:lang w:val="el" w:eastAsia="el"/>
        </w:rPr>
        <w:t>ΠΕΡΙΒΑΛΛΟΝΤΟΣ, ΕΝΕΡΓΕΙΑΣ  ΚΑΙ ΚΛΙΜΑΤΙΚΗΣ ΑΛΛΑΓΗΣ</w:t>
      </w:r>
    </w:p>
    <w:p>
      <w:pPr>
        <w:spacing w:before="240" w:after="240"/>
        <w:rPr>
          <w:lang w:val="el" w:eastAsia="el"/>
        </w:rPr>
      </w:pPr>
      <w:r>
        <w:rPr>
          <w:lang w:val="el" w:eastAsia="el"/>
        </w:rPr>
        <w:t>Γ. ΠΑΠΑΚΩΝΣΤΑΝΤΙΝΟΥ</w:t>
      </w:r>
    </w:p>
    <w:p>
      <w:pPr>
        <w:spacing w:before="240" w:after="240"/>
        <w:rPr>
          <w:lang w:val="el" w:eastAsia="el"/>
        </w:rPr>
      </w:pPr>
      <w:r>
        <w:rPr>
          <w:lang w:val="el" w:eastAsia="el"/>
        </w:rPr>
        <w:t>ΠΑΙΔΕΙΑΣ, ΔΙΑ ΒΙΟΥ ΜΑΘΗΣΗΣ ΚΑΙ ΘΡΗΣΚΕΥΜΑΤΩΝ</w:t>
      </w:r>
    </w:p>
    <w:p>
      <w:pPr>
        <w:spacing w:before="240" w:after="240"/>
        <w:rPr>
          <w:lang w:val="el" w:eastAsia="el"/>
        </w:rPr>
      </w:pPr>
      <w:r>
        <w:rPr>
          <w:lang w:val="el" w:eastAsia="el"/>
        </w:rPr>
        <w:t>Α. ΔΙΑΜΑΝΤΟΠΟΥΛΟΥ</w:t>
      </w:r>
    </w:p>
    <w:p>
      <w:pPr>
        <w:spacing w:before="240" w:after="240"/>
        <w:rPr>
          <w:lang w:val="el" w:eastAsia="el"/>
        </w:rPr>
      </w:pPr>
      <w:r>
        <w:rPr>
          <w:lang w:val="el" w:eastAsia="el"/>
        </w:rPr>
        <w:t>ΥΠΟΔΟΜΩΝ, ΜΕΤΑΦΟΡΩΝ  ΚΑΙ ΔΙΚΤΥΩΝ</w:t>
      </w:r>
    </w:p>
    <w:p>
      <w:pPr>
        <w:spacing w:before="240" w:after="240"/>
        <w:rPr>
          <w:lang w:val="el" w:eastAsia="el"/>
        </w:rPr>
      </w:pPr>
      <w:r>
        <w:rPr>
          <w:lang w:val="el" w:eastAsia="el"/>
        </w:rPr>
        <w:t>Ι. ΡΑΓΚΟΥΣΗΣ</w:t>
      </w:r>
    </w:p>
    <w:p>
      <w:pPr>
        <w:spacing w:before="240" w:after="240"/>
        <w:rPr>
          <w:lang w:val="el" w:eastAsia="el"/>
        </w:rPr>
      </w:pPr>
      <w:r>
        <w:rPr>
          <w:lang w:val="el" w:eastAsia="el"/>
        </w:rPr>
        <w:t>ΕΡΓΑΣΙΑΣ ΚΑΙ ΚΟΙΝΩΝΙΚΗΣ ΑΣΦΑΛΙΣΗΣ</w:t>
      </w:r>
    </w:p>
    <w:p>
      <w:pPr>
        <w:spacing w:before="240" w:after="240"/>
        <w:rPr>
          <w:lang w:val="el" w:eastAsia="el"/>
        </w:rPr>
      </w:pPr>
      <w:r>
        <w:rPr>
          <w:lang w:val="el" w:eastAsia="el"/>
        </w:rPr>
        <w:t>Γ. ΚΟΥΤΡΟΥΜΑΝΗΣ</w:t>
      </w:r>
    </w:p>
    <w:p>
      <w:pPr>
        <w:spacing w:before="240" w:after="240"/>
        <w:rPr>
          <w:lang w:val="el" w:eastAsia="el"/>
        </w:rPr>
      </w:pPr>
      <w:r>
        <w:rPr>
          <w:lang w:val="el" w:eastAsia="el"/>
        </w:rPr>
        <w:t>ΥΓΕΙΑΣ  ΚΑΙ ΚΟΙΝΩΝΙΚΗΣ ΑΛΛΗΛΕΓΓΥΗΣ</w:t>
      </w:r>
    </w:p>
    <w:p>
      <w:pPr>
        <w:spacing w:before="240" w:after="240"/>
        <w:rPr>
          <w:lang w:val="el" w:eastAsia="el"/>
        </w:rPr>
      </w:pPr>
      <w:r>
        <w:rPr>
          <w:lang w:val="el" w:eastAsia="el"/>
        </w:rPr>
        <w:t>Α. ΛΟΒΕΡΔΟΣ</w:t>
      </w:r>
    </w:p>
    <w:p>
      <w:pPr>
        <w:spacing w:before="240" w:after="240"/>
        <w:rPr>
          <w:lang w:val="el" w:eastAsia="el"/>
        </w:rPr>
      </w:pPr>
      <w:r>
        <w:rPr>
          <w:lang w:val="el" w:eastAsia="el"/>
        </w:rPr>
        <w:t>ΑΓΡΟΤΙΚΗΣ ΑΝΑΠΤΥΞΗΣ ΚΑΙ ΤΡΟΦΙΜΩΝ</w:t>
      </w:r>
    </w:p>
    <w:p>
      <w:pPr>
        <w:spacing w:before="240" w:after="240"/>
        <w:rPr>
          <w:lang w:val="el" w:eastAsia="el"/>
        </w:rPr>
      </w:pPr>
      <w:r>
        <w:rPr>
          <w:lang w:val="el" w:eastAsia="el"/>
        </w:rPr>
        <w:t>Κ. ΣΚΑΝΔΑΛΙΔΗΣ</w:t>
      </w:r>
    </w:p>
    <w:p>
      <w:pPr>
        <w:spacing w:before="240" w:after="240"/>
        <w:rPr>
          <w:lang w:val="el" w:eastAsia="el"/>
        </w:rPr>
      </w:pPr>
      <w:r>
        <w:rPr>
          <w:lang w:val="el" w:eastAsia="el"/>
        </w:rPr>
        <w:t>ΠΟΛΙΤΙΣΜΟΥ  ΚΑΙ ΤΟΥΡΙΣΜΟΥ</w:t>
      </w:r>
    </w:p>
    <w:p>
      <w:pPr>
        <w:spacing w:before="240" w:after="240"/>
        <w:rPr>
          <w:lang w:val="el" w:eastAsia="el"/>
        </w:rPr>
      </w:pPr>
      <w:r>
        <w:rPr>
          <w:lang w:val="el" w:eastAsia="el"/>
        </w:rPr>
        <w:t>Π. ΓΕΡΟΥΛΑΝΟΣ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19 Αυγούστου 2011</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Μ. ΠΑΠΑΪΩΑΝΝΟΥ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2" w:history="1">
        <w:r>
          <w:rPr>
            <w:rStyle w:val="Hyperlink"/>
            <w:color w:val="0000EE"/>
            <w:u w:color="0000EE"/>
            <w:lang w:val="el" w:eastAsia="el"/>
          </w:rPr>
          <w:t>Τροποποίηση 4021/2011, Άρθρο 52</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2" w:history="1">
        <w:r>
          <w:rPr>
            <w:rStyle w:val="Hyperlink"/>
            <w:color w:val="0000EE"/>
            <w:u w:color="0000EE"/>
            <w:lang w:val="el" w:eastAsia="el"/>
          </w:rPr>
          <w:t>Τροποποίηση 4021/2011, Άρθρο 52</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52" w:history="1">
        <w:r>
          <w:rPr>
            <w:rStyle w:val="Hyperlink"/>
            <w:color w:val="0000EE"/>
            <w:u w:color="0000EE"/>
            <w:lang w:val="el" w:eastAsia="el"/>
          </w:rPr>
          <w:t>Τροποποίηση 4021/2011, Άρθρο 52</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6" w:history="1">
        <w:r>
          <w:rPr>
            <w:rStyle w:val="Hyperlink"/>
            <w:color w:val="0000EE"/>
            <w:u w:color="0000EE"/>
            <w:lang w:val="el" w:eastAsia="el"/>
          </w:rPr>
          <w:t>Τροποποίηση 4389/2016, Άρθρο 56</w:t>
        </w:r>
      </w:hyperlink>
      <w:r>
        <w:rPr>
          <w:lang w:val="el" w:eastAsia="el"/>
        </w:rPr>
        <w:t xml:space="preserve">; </w:t>
      </w:r>
      <w:hyperlink r:id="rId5" w:anchor="art_2" w:history="1">
        <w:r>
          <w:rPr>
            <w:rStyle w:val="Hyperlink"/>
            <w:color w:val="0000EE"/>
            <w:u w:color="0000EE"/>
            <w:lang w:val="el" w:eastAsia="el"/>
          </w:rPr>
          <w:t>Προσθήκη 4093/2012, Άρθρο 2</w:t>
        </w:r>
      </w:hyperlink>
      <w:r>
        <w:rPr>
          <w:lang w:val="el" w:eastAsia="el"/>
        </w:rPr>
        <w:t xml:space="preserve">; </w:t>
      </w:r>
      <w:hyperlink r:id="rId6" w:anchor="art_2" w:history="1">
        <w:r>
          <w:rPr>
            <w:rStyle w:val="Hyperlink"/>
            <w:color w:val="0000EE"/>
            <w:u w:color="0000EE"/>
            <w:lang w:val="el" w:eastAsia="el"/>
          </w:rPr>
          <w:t>Προσθήκη 4093/2012,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 w:history="1">
        <w:r>
          <w:rPr>
            <w:rStyle w:val="Hyperlink"/>
            <w:color w:val="0000EE"/>
            <w:u w:color="0000EE"/>
            <w:lang w:val="el" w:eastAsia="el"/>
          </w:rPr>
          <w:t>Προσθήκη 4093/2012, Άρθρο 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 w:history="1">
        <w:r>
          <w:rPr>
            <w:rStyle w:val="Hyperlink"/>
            <w:color w:val="0000EE"/>
            <w:u w:color="0000EE"/>
            <w:lang w:val="el" w:eastAsia="el"/>
          </w:rPr>
          <w:t>Προσθήκη 4093/2012, Άρθρο 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 w:history="1">
        <w:r>
          <w:rPr>
            <w:rStyle w:val="Hyperlink"/>
            <w:color w:val="0000EE"/>
            <w:u w:color="0000EE"/>
            <w:lang w:val="el" w:eastAsia="el"/>
          </w:rPr>
          <w:t>Προσθήκη 4093/2012,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Αφαίρεση 4093/2012, Άρθρο 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4254/2014,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Προσθήκη 4254/2014,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1" w:history="1">
        <w:r>
          <w:rPr>
            <w:rStyle w:val="Hyperlink"/>
            <w:color w:val="0000EE"/>
            <w:u w:color="0000EE"/>
            <w:lang w:val="el" w:eastAsia="el"/>
          </w:rPr>
          <w:t>Προσθήκη 4254/2014,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Προσθήκη 4254/2014,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Προσθήκη 4254/2014,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 w:history="1">
        <w:r>
          <w:rPr>
            <w:rStyle w:val="Hyperlink"/>
            <w:color w:val="0000EE"/>
            <w:u w:color="0000EE"/>
            <w:lang w:val="el" w:eastAsia="el"/>
          </w:rPr>
          <w:t>Προσθήκη 4254/2014,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Προσθήκη 4254/2014,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Προσθήκη 4254/2014,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1/10/03/4021" TargetMode="External" /><Relationship Id="rId10" Type="http://schemas.openxmlformats.org/officeDocument/2006/relationships/hyperlink" Target="http://data.aade.gr/eli/pri/law/2012/11/12/4093" TargetMode="External" /><Relationship Id="rId11" Type="http://schemas.openxmlformats.org/officeDocument/2006/relationships/hyperlink" Target="http://data.aade.gr/eli/pri/law/2014/04/07/4254" TargetMode="External" /><Relationship Id="rId12" Type="http://schemas.openxmlformats.org/officeDocument/2006/relationships/hyperlink" Target="http://data.aade.gr/eli/pri/law/2014/04/07/4254" TargetMode="External" /><Relationship Id="rId13" Type="http://schemas.openxmlformats.org/officeDocument/2006/relationships/hyperlink" Target="http://data.aade.gr/eli/pri/law/2014/04/07/4254" TargetMode="External" /><Relationship Id="rId14" Type="http://schemas.openxmlformats.org/officeDocument/2006/relationships/hyperlink" Target="http://data.aade.gr/eli/pri/law/2014/04/07/4254" TargetMode="External" /><Relationship Id="rId15" Type="http://schemas.openxmlformats.org/officeDocument/2006/relationships/hyperlink" Target="http://data.aade.gr/eli/pri/law/2014/04/07/4254" TargetMode="External" /><Relationship Id="rId16" Type="http://schemas.openxmlformats.org/officeDocument/2006/relationships/hyperlink" Target="http://data.aade.gr/eli/pri/law/2014/04/07/4254" TargetMode="External" /><Relationship Id="rId17" Type="http://schemas.openxmlformats.org/officeDocument/2006/relationships/hyperlink" Target="http://data.aade.gr/eli/pri/law/2014/04/07/4254" TargetMode="External" /><Relationship Id="rId18" Type="http://schemas.openxmlformats.org/officeDocument/2006/relationships/hyperlink" Target="http://data.aade.gr/eli/pri/law/2014/04/07/4254" TargetMode="External" /><Relationship Id="rId2" Type="http://schemas.openxmlformats.org/officeDocument/2006/relationships/hyperlink" Target="http://data.aade.gr/eli/pri/law/2011/10/03/4021" TargetMode="External" /><Relationship Id="rId3" Type="http://schemas.openxmlformats.org/officeDocument/2006/relationships/hyperlink" Target="http://data.aade.gr/eli/pri/law/2011/10/03/4021" TargetMode="External" /><Relationship Id="rId4" Type="http://schemas.openxmlformats.org/officeDocument/2006/relationships/hyperlink" Target="http://data.aade.gr/eli/pri/law/2016/05/27/4389" TargetMode="External" /><Relationship Id="rId5" Type="http://schemas.openxmlformats.org/officeDocument/2006/relationships/hyperlink" Target="http://data.aade.gr/eli/pri/law/2012/11/12/4093" TargetMode="External" /><Relationship Id="rId6" Type="http://schemas.openxmlformats.org/officeDocument/2006/relationships/hyperlink" Target="http://data.aade.gr/eli/pri/law/2012/11/12/4093" TargetMode="External" /><Relationship Id="rId7" Type="http://schemas.openxmlformats.org/officeDocument/2006/relationships/hyperlink" Target="http://data.aade.gr/eli/pri/law/2012/11/12/4093" TargetMode="External" /><Relationship Id="rId8" Type="http://schemas.openxmlformats.org/officeDocument/2006/relationships/hyperlink" Target="http://data.aade.gr/eli/pri/law/2012/11/12/4093" TargetMode="External" /><Relationship Id="rId9" Type="http://schemas.openxmlformats.org/officeDocument/2006/relationships/hyperlink" Target="http://data.aade.gr/eli/pri/law/2012/11/12/40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