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4072/2012</w:t>
      </w:r>
    </w:p>
    <w:p>
      <w:pPr>
        <w:pStyle w:val="PreambelText"/>
        <w:spacing w:before="240" w:after="240"/>
        <w:rPr>
          <w:lang w:val="el" w:eastAsia="el"/>
        </w:rPr>
      </w:pPr>
      <w:r>
        <w:rPr>
          <w:lang w:val="el" w:eastAsia="el"/>
        </w:rPr>
        <w:t>ΝΟΜΟΣ ΥΠ’ ΑΡΙΘΜ. 4072</w:t>
      </w:r>
    </w:p>
    <w:p>
      <w:pPr>
        <w:pStyle w:val="PreambelText"/>
        <w:spacing w:before="240" w:after="240"/>
        <w:rPr>
          <w:lang w:val="el" w:eastAsia="el"/>
        </w:rPr>
      </w:pPr>
      <w:r>
        <w:rPr>
          <w:lang w:val="el" w:eastAsia="el"/>
        </w:rPr>
        <w:t>(ΦΕΚ Α' 86/11-04-2012)</w:t>
      </w:r>
    </w:p>
    <w:p>
      <w:pPr>
        <w:pStyle w:val="PreambelText"/>
        <w:spacing w:before="240" w:after="240"/>
        <w:rPr>
          <w:lang w:val="el" w:eastAsia="el"/>
        </w:rPr>
      </w:pPr>
      <w:r>
        <w:rPr>
          <w:lang w:val="el" w:eastAsia="el"/>
        </w:rPr>
        <w:t>Βελτίωση επιχειρηματικού περιβάλλοντος - Νέα εταιρική μορφή - Σήματα - Μεσίτες Ακινήτων - Ρύθμιση θεμάτων ναυτιλίας, λιμένων και αλιείας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242. </w:t>
      </w:r>
    </w:p>
    <w:p>
      <w:pPr>
        <w:pStyle w:val="Heading6"/>
        <w:spacing w:before="240" w:after="240"/>
        <w:rPr>
          <w:lang w:val="el" w:eastAsia="el"/>
        </w:rPr>
      </w:pPr>
      <w:r>
        <w:rPr>
          <w:lang w:val="el" w:eastAsia="el"/>
        </w:rPr>
        <w:t>Τροποποίηση διατάξεων Εθνικού Στρατηγικού Πλαισίου Αναφοράς (Ε.Σ.Π.Α. – ν. 3614/2007)</w:t>
      </w:r>
    </w:p>
    <w:p>
      <w:pPr>
        <w:pStyle w:val="MainText"/>
        <w:spacing w:before="120" w:after="0"/>
        <w:rPr>
          <w:lang w:val="el" w:eastAsia="el"/>
        </w:rPr>
      </w:pPr>
      <w:r>
        <w:rPr>
          <w:b/>
          <w:bCs/>
          <w:lang w:val="el" w:eastAsia="el"/>
        </w:rPr>
        <w:t>1.</w:t>
      </w:r>
      <w:r>
        <w:rPr>
          <w:lang w:val="el" w:eastAsia="el"/>
        </w:rPr>
        <w:t xml:space="preserve"> Στο τέλος της παραγράφου ιδ΄ του άρθρου 2 του ν. 3614/2007 (Α΄ 267) προστίθεται εδάφιο ως εξής: «και τηρεί πληροφοριακό σύστημα σώρευσης κρατικών ενισχύσεων για την παρακολούθηση της τήρησης των κανονισμών κρατικών ενισχύσεων».</w:t>
      </w:r>
    </w:p>
    <w:p>
      <w:pPr>
        <w:pStyle w:val="MainText"/>
        <w:spacing w:before="120" w:after="0"/>
        <w:rPr>
          <w:lang w:val="el" w:eastAsia="el"/>
        </w:rPr>
      </w:pPr>
      <w:r>
        <w:rPr>
          <w:b/>
          <w:bCs/>
          <w:lang w:val="el" w:eastAsia="el"/>
        </w:rPr>
        <w:t>2.</w:t>
      </w:r>
      <w:r>
        <w:rPr>
          <w:lang w:val="el" w:eastAsia="el"/>
        </w:rPr>
        <w:t xml:space="preserve"> Στην περίπτωση α΄ της παραγράφου 3 του άρθρου 5 του ν. 3614/2007, μετά τη φράση «, ν.3156/2003» προστίθεται η φράση «, καθώς και του παρόντα νόμου».</w:t>
      </w:r>
    </w:p>
    <w:p>
      <w:pPr>
        <w:pStyle w:val="MainText"/>
        <w:spacing w:before="120" w:after="0"/>
        <w:rPr>
          <w:lang w:val="el" w:eastAsia="el"/>
        </w:rPr>
      </w:pPr>
      <w:r>
        <w:rPr>
          <w:b/>
          <w:bCs/>
          <w:lang w:val="el" w:eastAsia="el"/>
        </w:rPr>
        <w:t>3.</w:t>
      </w:r>
      <w:r>
        <w:rPr>
          <w:lang w:val="el" w:eastAsia="el"/>
        </w:rPr>
        <w:t xml:space="preserve"> Στο άρθρο 25 του ν. 3614/2007 προστίθενται παράγραφοι 10, 11 και 12 ως ακολούθως:</w:t>
      </w:r>
    </w:p>
    <w:p>
      <w:pPr>
        <w:spacing w:before="240" w:after="240"/>
        <w:rPr>
          <w:lang w:val="el" w:eastAsia="el"/>
        </w:rPr>
      </w:pPr>
      <w:r>
        <w:rPr>
          <w:lang w:val="el" w:eastAsia="el"/>
        </w:rPr>
        <w:t>«10. α. Στις περιπτώσεις συγχρηματοδοτούμενων δημόσιων έργων στις διακηρύξεις υποχρεωτικά περιλαμβάνεται δυνατότητα χορήγησης προκαταβολής σύμφωνα με τις διατάξεις του άρθρου 51 του ν. 3669/2008 (Α΄116)».</w:t>
      </w:r>
    </w:p>
    <w:p>
      <w:pPr>
        <w:spacing w:before="240" w:after="240"/>
        <w:rPr>
          <w:lang w:val="el" w:eastAsia="el"/>
        </w:rPr>
      </w:pPr>
      <w:r>
        <w:rPr>
          <w:lang w:val="el" w:eastAsia="el"/>
        </w:rPr>
        <w:t>β. Στις συγχρηματοδοτούμενες συμβάσεις δημοσίων έργων που έχουν προκηρυχθεί έως 15.3.2012 χωρίς πρόβλεψη χορήγησης προκαταβολής στη διακήρυξη, δύναται να χορηγείται στον ανάδοχο προκαταβολή κατά παρέκκλιση των διατάξεων της παραγράφου 1 του άρθρου 51 του ν. 3669/2008, η οποία δεν μπορεί να υπερ βαίνει ποσοστό δέκα τοις εκατό (10%) του ολικού ποσού της σύμβασης (χωρίς αναθεωρήσεις και Φ.Π.Α.), έναντι ισόποσης εγγυητικής επιστολής.</w:t>
      </w:r>
    </w:p>
    <w:p>
      <w:pPr>
        <w:pStyle w:val="MainText"/>
        <w:spacing w:before="120" w:after="0"/>
        <w:rPr>
          <w:lang w:val="el" w:eastAsia="el"/>
        </w:rPr>
      </w:pPr>
      <w:r>
        <w:rPr>
          <w:b/>
          <w:bCs/>
          <w:lang w:val="el" w:eastAsia="el"/>
        </w:rPr>
        <w:t>11.</w:t>
      </w:r>
      <w:r>
        <w:rPr>
          <w:lang w:val="el" w:eastAsia="el"/>
        </w:rPr>
        <w:t xml:space="preserve"> Για τα συγχρηματοδοτούμενα έργα, που εκτελούν ως δικαιούχοι το Δημόσιο, τα Ν.Π.Δ.Δ., οι Ο.Τ.Α., οι σύνδεσμοι ή επιχειρήσεις των Ο.Τ.Α., οι μη εισηγμένες στο χρηματιστήριο Ανώνυμες Εταιρείες του δημοσίου, δύναται να συμπεριλαμβάνεται στο ποσό που χορηγείται από το Πρόγραμμα Δημοσίων Επενδύσεων (Π.Δ.Ε.) και το ποσό του μη επιλέξιμου για συγχρηματοδότηση Φ.Π.Α.. Η δυνατότητα αυτή αποτελεί όρο χρηματοδότησης της πράξης και περιλαμβάνεται στην απόφαση ένταξης και στο σύμφωνο αποδοχής όρων. Ο Φ.Π.Α. που καταβάλλεται στους ως άνω δικαιούχους από το Π.Δ.Ε. και στη συνέχεια συμψηφίζεται ή επιστρέφεται σύμφωνα με τις κείμενες περί Φ.Π.Α. διατάξεις, αποτελεί οφειλή προς το δημόσιο, η οποία εκκαθαρίζεται μετά την ολοκλήρωση και επιστρέφεται από το δικαιούχο στα έσοδα του Π.Δ.Ε. ή συμψηφίζεται με αντίστοιχες χρηματοδοτήσεις του φορέα εκτέλεσης από εθνικούς πόρους του Π.Δ.Ε.. Στην ίδια υποχρέωση εκκαθάρισης υπάγονται και τυχόν προηγηθείσες χρηματοδοτήσεις του Π.Δ.Ε. για ποσά μη επιλέξιμου Φ.Π.Α. των ως άνω φορέων από το έτος 2011 και μετά. Με κοινή απόφαση των Υπουργών Οικονομικών και Ανάπτυξης, Ανταγωνιστικότητας και Ναυτιλίας ρυθμίζονται οι περιπτώσεις εφαρμογής της παρούσας διάταξης, η διαδικασία χρηματοδότησης, ο τρόπος εκκαθάρισης και κάθε σχετικό θέμα.</w:t>
      </w:r>
    </w:p>
    <w:p>
      <w:pPr>
        <w:pStyle w:val="MainText"/>
        <w:spacing w:before="120" w:after="0"/>
        <w:rPr>
          <w:lang w:val="el" w:eastAsia="el"/>
        </w:rPr>
      </w:pPr>
      <w:r>
        <w:rPr>
          <w:b/>
          <w:bCs/>
          <w:lang w:val="el" w:eastAsia="el"/>
        </w:rPr>
        <w:t>12.</w:t>
      </w:r>
      <w:r>
        <w:rPr>
          <w:lang w:val="el" w:eastAsia="el"/>
        </w:rPr>
        <w:t xml:space="preserve"> Με κοινή απόφαση των Υπουργών Οικονομικών, Ανάπτυξης, Ανταγωνιστικότητας και Ναυτιλίας και του καθ’ ύλην αρμόδιου Υπουργού μπορεί να εκχωρείται μέρος των πιστώσεων Εθνικής ή/και Κοινοτικής Συμμετοχής του ΕΣΠΑ στην Ευρωπαϊκή Επιτροπή στο πλαίσιο της κεντρικής διαχείρισης, κατά την έννοια του άρθρου 53α του Κανονισμού 1605/2002 (EE L 248 της 16.9.2002, σ. 1) όπως τροποποιήθηκε και ισχύει, για τη δημιουργία Ταμείων Εγγυήσεων ή/και Δανείων για έργα που εκτελούνται στην Ελληνική Επικράτεια.»</w:t>
      </w:r>
    </w:p>
    <w:p>
      <w:pPr>
        <w:pStyle w:val="MainText"/>
        <w:spacing w:before="120" w:after="0"/>
        <w:rPr>
          <w:lang w:val="el" w:eastAsia="el"/>
        </w:rPr>
      </w:pPr>
      <w:r>
        <w:rPr>
          <w:b/>
          <w:bCs/>
          <w:lang w:val="el" w:eastAsia="el"/>
        </w:rPr>
        <w:t>4.</w:t>
      </w:r>
      <w:r>
        <w:rPr>
          <w:lang w:val="el" w:eastAsia="el"/>
        </w:rPr>
        <w:t xml:space="preserve"> α) Η παρ. 3 του άρθρου 14 του ν. 3614/2007 (Α΄ 267)αντικαθίσταται ως εξής:</w:t>
      </w:r>
    </w:p>
    <w:p>
      <w:pPr>
        <w:spacing w:before="240" w:after="240"/>
        <w:rPr>
          <w:lang w:val="el" w:eastAsia="el"/>
        </w:rPr>
      </w:pPr>
      <w:r>
        <w:rPr>
          <w:lang w:val="el" w:eastAsia="el"/>
        </w:rPr>
        <w:t>«3. Οι προκαταβολές και οι ενδιάμεσες πληρωμές των δικαιούχων για την υλοποίηση των πράξεων που συγχρηματοδοτούνται από τα Επιχειρησιακά Προγράμματα του ΕΣΠΑ, το Επιχειρησιακό Πρόγραμμα Αλιείας και το Πρόγραμμα Αγροτικής Ανάπτυξης, δεν κατάσχονται, δεν υπόκεινται σε κανενός είδους παρακράτηση και δεν συμψηφίζονται με τυχόν οφειλές του δικαιούχου προς το Ελληνικό Δημόσιο ή τα ασφαλιστικά ταμεία. Στην περίπτωση αυτή παραμένουν σε ισχύ οι γενικές διατάξεις περί φορολογικής και ασφαλιστικής ενημερότητας για είσπραξη χρημάτων, χωρίς όμως τον όρο της παρακράτησης.</w:t>
      </w:r>
    </w:p>
    <w:p>
      <w:pPr>
        <w:spacing w:before="240" w:after="240"/>
        <w:rPr>
          <w:lang w:val="el" w:eastAsia="el"/>
        </w:rPr>
      </w:pPr>
      <w:r>
        <w:rPr>
          <w:lang w:val="el" w:eastAsia="el"/>
        </w:rPr>
        <w:t>Οι τελικές πληρωμές των ανωτέρω δικαιούχων, μετά την ολοκλήρωση του έργου, δύνανται να κατάσχονται, συμψηφίζονται, παρακρατούνται ή να αποδίδονται για λογαριασμό του δικαιούχου και καταβάλλονται με την υποχρεωτική προσκόμιση αποδεικτικών φορολογικής και ασφαλιστικής ενημερότητας.</w:t>
      </w:r>
    </w:p>
    <w:p>
      <w:pPr>
        <w:spacing w:before="240" w:after="240"/>
        <w:rPr>
          <w:lang w:val="el" w:eastAsia="el"/>
        </w:rPr>
      </w:pPr>
      <w:r>
        <w:rPr>
          <w:lang w:val="el" w:eastAsia="el"/>
        </w:rPr>
        <w:t>Ο διατάκτης της πληρωμής κατά την έκδοση της απόφασης έγκρισης πληρωμής ορίζει ρητά ότι η ενίσχυση αυτή εμπίπτει στις ρυθμίσεις του παρόντος άρθρου και αν η πληρωμή αφορά προκαταβολή, ενδιάμεση ή τελική πληρωμή.</w:t>
      </w:r>
    </w:p>
    <w:p>
      <w:pPr>
        <w:spacing w:before="240" w:after="240"/>
        <w:rPr>
          <w:lang w:val="el" w:eastAsia="el"/>
        </w:rPr>
      </w:pPr>
      <w:r>
        <w:rPr>
          <w:lang w:val="el" w:eastAsia="el"/>
        </w:rPr>
        <w:t>Απαλλάσσονται από την υποχρέωση προσκόμισης, κατά την πληρωμή, αποδεικτικού φορολογικής και ασφαλιστικής ενημερότητας οι δικαιούχοι:</w:t>
      </w:r>
    </w:p>
    <w:p>
      <w:pPr>
        <w:spacing w:before="240" w:after="240"/>
        <w:rPr>
          <w:lang w:val="el" w:eastAsia="el"/>
        </w:rPr>
      </w:pPr>
      <w:r>
        <w:rPr>
          <w:lang w:val="el" w:eastAsia="el"/>
        </w:rPr>
        <w:t>αα) άμεσων ενισχύσεων στους οποίους οι ενισχύσεις καταβάλλονται βάσει έκτασης, ζώων ή παραγωγής, και ειδικών μέτρων στήριξης του Ευρωπαϊκού Γεωργικού Ταμείου Εγγυήσεων (ΕΓΤΕ) που χορηγούνται εν όλω από την Ευρωπαϊκή Ένωση,</w:t>
      </w:r>
    </w:p>
    <w:p>
      <w:pPr>
        <w:spacing w:before="240" w:after="240"/>
        <w:rPr>
          <w:lang w:val="el" w:eastAsia="el"/>
        </w:rPr>
      </w:pPr>
      <w:r>
        <w:rPr>
          <w:lang w:val="el" w:eastAsia="el"/>
        </w:rPr>
        <w:t>ββ) ενισχύσεων στο πλαίσιο των μέτρων του Ευρωπαϊκού Γεωργικού Ταμείου Αγροτικής Ανάπτυξης (ΕΓΤΑΑ), στους οποίους οι ενισχύσεις καταβάλλονται βάσει έκτασης, ζώων ή παραγωγής και</w:t>
      </w:r>
    </w:p>
    <w:p>
      <w:pPr>
        <w:spacing w:before="240" w:after="240"/>
        <w:rPr>
          <w:lang w:val="el" w:eastAsia="el"/>
        </w:rPr>
      </w:pPr>
      <w:r>
        <w:rPr>
          <w:lang w:val="el" w:eastAsia="el"/>
        </w:rPr>
        <w:t>γγ) ενισχύσεων στο πλαίσιο των μέτρων του Ευρωπαϊκού Ταμείου Αλιείας (ΕΤΑ), οι οποίοι δεν είναι επιτηδευματίες.»</w:t>
      </w:r>
    </w:p>
    <w:p>
      <w:pPr>
        <w:pStyle w:val="StructureList1"/>
        <w:spacing w:before="120" w:after="0"/>
        <w:rPr>
          <w:lang w:val="el" w:eastAsia="el"/>
        </w:rPr>
      </w:pPr>
      <w:r>
        <w:rPr>
          <w:lang w:val="el" w:eastAsia="el"/>
        </w:rPr>
        <w:t>β)</w:t>
      </w:r>
      <w:r>
        <w:rPr>
          <w:lang w:val="en" w:eastAsia="en"/>
        </w:rPr>
        <w:tab/>
      </w:r>
      <w:r>
        <w:rPr>
          <w:lang w:val="el" w:eastAsia="el"/>
        </w:rPr>
        <w:t>Η διάταξη της παραγράφου α εφαρμόζεται και στις προσκλήσεις ενισχύσεων που έχουν εκδοθεί κατά την έναρξη ισχύος του παρόντος νόμου και απαιτούν την προσκόμιση αποδεικτικών φορολογικής και ασφαλιστικής ενημερότητας, προκειμένου να καταβληθεί η ενίσχυση στον δικαιούχο, καθώς και στις σχετικές προσκλήσεις που εκδίδονται εφεξής. Από την έναρξη ισχύος του παρόντος νόμου, κάθε γενική ή ειδική διάταξη που ρυθμίζει διαφορετικά τα θέματα που ρυθμίζονται με την παρούσα παράγραφο, καταργείται.</w:t>
      </w:r>
    </w:p>
    <w:p>
      <w:pPr>
        <w:pStyle w:val="MainText"/>
        <w:spacing w:before="120" w:after="0"/>
        <w:rPr>
          <w:lang w:val="el" w:eastAsia="el"/>
        </w:rPr>
      </w:pPr>
      <w:r>
        <w:rPr>
          <w:b/>
          <w:bCs/>
          <w:lang w:val="el" w:eastAsia="el"/>
        </w:rPr>
        <w:t>5.</w:t>
      </w:r>
      <w:r>
        <w:rPr>
          <w:lang w:val="el" w:eastAsia="el"/>
        </w:rPr>
        <w:t xml:space="preserve"> Μετά το πρώτο εδάφιο της παρ. 1 του άρθρου 6 του ν. 2527/1997 (Α΄ 206) προστίθενται τα ακόλουθα εδάφια: «Ειδικά για τα συγχρηματοδοτούμενα έργα και προγράμματα του ΕΣΠΑ 2007-2013, δεν απαιτείται η προηγούμενη έκδοση της ως άνω απόφασης, αλλά ο καθορισμός των ως άνω στοιχείων γίνεται με την προβλεπόμενη στο άρθρο 7 του ν. 3614/2007 απόφαση ένταξης. Για τα ερευνητικά έργα, τις δράσεις και τα προγράμματα που χρηματοδοτούνται από διεθνείς ή ευρωπαϊκούς ή ίδιους πόρους του αρμοδίου φορέα ή με ιδιωτικά κονδύλια, ο καθορισμός των ως άνω στοιχείων γίνεται με απόφαση του υπουργού που εποπτεύει τον αρμόδιο φορέα που συνάπτει τη σύμβαση.»</w:t>
      </w:r>
    </w:p>
    <w:p>
      <w:pPr>
        <w:pStyle w:val="MainText"/>
        <w:spacing w:before="120" w:after="0"/>
        <w:rPr>
          <w:lang w:val="el" w:eastAsia="el"/>
        </w:rPr>
      </w:pPr>
      <w:r>
        <w:rPr>
          <w:b/>
          <w:bCs/>
          <w:lang w:val="el" w:eastAsia="el"/>
        </w:rPr>
        <w:t>6.</w:t>
      </w:r>
      <w:r>
        <w:rPr>
          <w:lang w:val="el" w:eastAsia="el"/>
        </w:rPr>
        <w:t xml:space="preserve"> Στο πλαίσιο συγχρηματοδοτούμενων πράξεων του Ε.Σ.Π.Α. 2007-2013 που έχουν σκοπό την ενίσχυση και στήριξη της επαγγελματικής σταδιοδρομίας νέων, τη στήριξη της μαθητείας νέων και της απόκτησης επαγγελματικής εμπειρίας, τον επαγγελματικό προσανατολισμό και επαναπροσανατολισμό, τη στήριξη και προώθηση της νεανικής καινοτομίας και επιχειρηματικότητας και που γενικότερα συντελούν στην πνευματική, οικονομική και κοινωνική εξέλιξη και ανάπτυξη των νέων κατά την έννοια της περίπτωσης α΄ του άρθρου 13 του ν. 3896/2010 (Α΄ 207) είναι δυνατή η χορήγηση υποτροφιών από τους δικαιούχους των συγχρηματοδοτούμενων πράξεων σε μαθητές της δευτεροβάθμιας εκπαίδευσης, κατόχους απολυτηρίου τίτλου λυκείου , φοιτητές και σπουδαστές, αποφοίτους Α.Ε.Ι. και αποφοίτους σχολών επαγγελματικής κατάρτισης, καθώς και ερευνητές. Οι υποτροφίες βαρύνουν αποκλειστικά τον προϋπολογισμό της εκάστοτε συγχρηματοδοτούμενης πράξης, μέσω των πόρων του Κεντρικού Λογαριασμού Ε.Σ.Π.Α..</w:t>
      </w:r>
    </w:p>
    <w:p>
      <w:pPr>
        <w:spacing w:before="240" w:after="240"/>
        <w:rPr>
          <w:lang w:val="el" w:eastAsia="el"/>
        </w:rPr>
      </w:pPr>
      <w:r>
        <w:rPr>
          <w:lang w:val="el" w:eastAsia="el"/>
        </w:rPr>
        <w:t>Με κοινή απόφαση των Υπουργών Παιδείας, Δια Βίου Μάθησης και Θρησκευμάτων και Ανάπτυξης, Ανταγωνιστικότητας και Ναυτιλίας καθορίζονται οι όροι και προϋποθέσεις χορήγησης των υποτροφιών, τα κριτήρια και η διαδικασία επιλογής των υποτρόφων, το ύψος των χορηγούμενων υποτροφιών και κάθε άλλο αναγκαίο θέμα για την εφαρμογή της παρούσας παραγράφου.</w:t>
      </w:r>
    </w:p>
    <w:p>
      <w:pPr>
        <w:pStyle w:val="MainText"/>
        <w:spacing w:before="120" w:after="0"/>
        <w:rPr>
          <w:lang w:val="el" w:eastAsia="el"/>
        </w:rPr>
      </w:pPr>
      <w:r>
        <w:rPr>
          <w:b/>
          <w:bCs/>
          <w:lang w:val="el" w:eastAsia="el"/>
        </w:rPr>
        <w:t>7.</w:t>
      </w:r>
      <w:r>
        <w:rPr>
          <w:lang w:val="el" w:eastAsia="el"/>
        </w:rPr>
        <w:t xml:space="preserve"> Σε συγχρηματοδοτούμενα έργα πρακτικής άσκησης ή μαθητείας, οι μαθητευόμενοι και ασκούμενοι κατά τη διάρκεια της μαθητείας ή της πρακτικής άσκησης, ασφαλίζονται στο Ι.Κ.Α. για την περίπτωση ατυχήματος, οφειλομένου σε συμβάν που επήλθε κατά την εκτέλεση της μαθητείας ή της άσκησης και εξ αφορμής αυτών. Οι ασφαλιστικές εισφορές για την ασφάλιση που προβλέπεται στο προηγούμενο εδάφιο ορίζονται στο 1% του εκάστοτε τεκμαρτού ημερομισθίου της 12ης ασφαλιστικής κλάσης του Ι.Κ.Α. και βαρύνουν τον δικαιούχο του συγχρηματοδοτούμενου έργου. Οι ασφαλιστικές εισφορές για την κατά τα ανωτέρω ασφάλιση χρεώνονται στον προϋπολογισμό της σχετικής συγχρηματοδοτούμενης πράξης και βαρύνουν τον Κεντρικό Λογαριασμό ΕΣΠΑ. Οι διατάξεις της παρ. 3 του άρθρου 60 του α.ν. 1846/1951 (Α΄ 179) εφαρμόζονται αναλόγως και για το φορέα υποδοχής του μαθητευόμενου ή ασκούμενου, για τη διενέργεια της πρακτικής άσκησης ή μαθητείας.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w:t>
      </w:r>
    </w:p>
    <w:p>
      <w:pPr>
        <w:spacing w:before="240" w:after="240"/>
        <w:rPr>
          <w:lang w:val="el" w:eastAsia="el"/>
        </w:rPr>
      </w:pPr>
      <w:r>
        <w:rPr>
          <w:lang w:val="el" w:eastAsia="el"/>
        </w:rPr>
        <w:t>νόμου του Κράτους.</w:t>
      </w:r>
    </w:p>
    <w:p>
      <w:pPr>
        <w:spacing w:before="240" w:after="240"/>
        <w:rPr>
          <w:lang w:val="el" w:eastAsia="el"/>
        </w:rPr>
      </w:pPr>
      <w:r>
        <w:rPr>
          <w:lang w:val="el" w:eastAsia="el"/>
        </w:rPr>
        <w:t>Αθήνα, 11 Απριλίου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ΔΙΟΙΚΗΤΙΚΗΣ ΜΕΤΑΡΡΥΘΜΙΣΗΣ ΚΑΙ ΗΛΕΚΤΡΟΝΙΚΗΣ ΔΙΑΚΥΒΕΡΝΗΣΗΣ </w:t>
      </w:r>
    </w:p>
    <w:p>
      <w:pPr>
        <w:spacing w:before="240" w:after="240"/>
        <w:rPr>
          <w:lang w:val="el" w:eastAsia="el"/>
        </w:rPr>
      </w:pPr>
      <w:r>
        <w:rPr>
          <w:lang w:val="el" w:eastAsia="el"/>
        </w:rPr>
        <w:t>ΔΗΜΗΤΡΙΟΣ ΡΕΠΠΑΣ</w:t>
      </w:r>
    </w:p>
    <w:p>
      <w:pPr>
        <w:spacing w:before="240" w:after="240"/>
        <w:rPr>
          <w:lang w:val="el" w:eastAsia="el"/>
        </w:rPr>
      </w:pPr>
      <w:r>
        <w:rPr>
          <w:lang w:val="el" w:eastAsia="el"/>
        </w:rPr>
        <w:t>ΕΣΩΤΕΡΙΚΩΝ </w:t>
      </w:r>
    </w:p>
    <w:p>
      <w:pPr>
        <w:spacing w:before="240" w:after="240"/>
        <w:rPr>
          <w:lang w:val="el" w:eastAsia="el"/>
        </w:rPr>
      </w:pPr>
      <w:r>
        <w:rPr>
          <w:lang w:val="el" w:eastAsia="el"/>
        </w:rPr>
        <w:t>ΑΝΑΣΤΑΣΙΟΣ ΓΙΑΝΝΙΤΣΗΣ</w:t>
      </w:r>
    </w:p>
    <w:p>
      <w:pPr>
        <w:spacing w:before="240" w:after="240"/>
        <w:rPr>
          <w:lang w:val="el" w:eastAsia="el"/>
        </w:rPr>
      </w:pPr>
      <w:r>
        <w:rPr>
          <w:lang w:val="el" w:eastAsia="el"/>
        </w:rPr>
        <w:t>ΟΙΚΟΝΟΜΙΚΩΝ</w:t>
      </w:r>
    </w:p>
    <w:p>
      <w:pPr>
        <w:spacing w:before="240" w:after="240"/>
        <w:rPr>
          <w:lang w:val="el" w:eastAsia="el"/>
        </w:rPr>
      </w:pPr>
      <w:r>
        <w:rPr>
          <w:lang w:val="el" w:eastAsia="el"/>
        </w:rPr>
        <w:t>ΦΙΛΙΠΠΟΣ ΣΑΧΙΝΙΔΗΣ</w:t>
      </w:r>
    </w:p>
    <w:p>
      <w:pPr>
        <w:spacing w:before="240" w:after="240"/>
        <w:rPr>
          <w:lang w:val="el" w:eastAsia="el"/>
        </w:rPr>
      </w:pPr>
      <w:r>
        <w:rPr>
          <w:lang w:val="el" w:eastAsia="el"/>
        </w:rPr>
        <w:t>ΑΝΑΠΛΗΡΩΤΗΣ ΥΠΟΥΡΓΟΣ ΟΙΚΟΝΟΜΙΚΩΝ </w:t>
      </w:r>
    </w:p>
    <w:p>
      <w:pPr>
        <w:spacing w:before="240" w:after="240"/>
        <w:rPr>
          <w:lang w:val="el" w:eastAsia="el"/>
        </w:rPr>
      </w:pPr>
      <w:r>
        <w:rPr>
          <w:lang w:val="el" w:eastAsia="el"/>
        </w:rPr>
        <w:t>ΠΑΝΤΕΛΗΣ ΟΙΚΟΝΟΜΟΥ </w:t>
      </w:r>
    </w:p>
    <w:p>
      <w:pPr>
        <w:spacing w:before="240" w:after="240"/>
        <w:rPr>
          <w:lang w:val="el" w:eastAsia="el"/>
        </w:rPr>
      </w:pPr>
      <w:r>
        <w:rPr>
          <w:lang w:val="el" w:eastAsia="el"/>
        </w:rPr>
        <w:t>ΕΞΩΤΕΡΙΚΩΝ </w:t>
      </w:r>
    </w:p>
    <w:p>
      <w:pPr>
        <w:spacing w:before="240" w:after="240"/>
        <w:rPr>
          <w:lang w:val="el" w:eastAsia="el"/>
        </w:rPr>
      </w:pPr>
      <w:r>
        <w:rPr>
          <w:lang w:val="el" w:eastAsia="el"/>
        </w:rPr>
        <w:t>ΣΤΑΥΡΟΣ ΔΗΜΑΣ</w:t>
      </w:r>
    </w:p>
    <w:p>
      <w:pPr>
        <w:spacing w:before="240" w:after="240"/>
        <w:rPr>
          <w:lang w:val="el" w:eastAsia="el"/>
        </w:rPr>
      </w:pPr>
      <w:r>
        <w:rPr>
          <w:lang w:val="el" w:eastAsia="el"/>
        </w:rPr>
        <w:t>ΕΘΝΙΚΗΣ ΑΜΥΝΑΣ</w:t>
      </w:r>
    </w:p>
    <w:p>
      <w:pPr>
        <w:spacing w:before="240" w:after="240"/>
        <w:rPr>
          <w:lang w:val="el" w:eastAsia="el"/>
        </w:rPr>
      </w:pPr>
      <w:r>
        <w:rPr>
          <w:lang w:val="el" w:eastAsia="el"/>
        </w:rPr>
        <w:t>ΔΗΜΗΤΡΙΟΣ ΑΒΡΑΜΟΠΟΥΛΟΣ</w:t>
      </w:r>
    </w:p>
    <w:p>
      <w:pPr>
        <w:spacing w:before="240" w:after="240"/>
        <w:rPr>
          <w:lang w:val="el" w:eastAsia="el"/>
        </w:rPr>
      </w:pPr>
      <w:r>
        <w:rPr>
          <w:lang w:val="el" w:eastAsia="el"/>
        </w:rPr>
        <w:t>ΑΝΑΠΤΥΞΗΣ, ΑΝΤΑΓΩΝΙΣΤΙΚΟΤΗΤΑΣ ΚΑΙ ΝΑΥΤΙΛΙΑΣ</w:t>
      </w:r>
    </w:p>
    <w:p>
      <w:pPr>
        <w:spacing w:before="240" w:after="240"/>
        <w:rPr>
          <w:lang w:val="el" w:eastAsia="el"/>
        </w:rPr>
      </w:pPr>
      <w:r>
        <w:rPr>
          <w:lang w:val="el" w:eastAsia="el"/>
        </w:rPr>
        <w:t>ΑΝΝΑ ΔΙΑΜΑΝΤΟΠΟΥΛΟΥ</w:t>
      </w:r>
    </w:p>
    <w:p>
      <w:pPr>
        <w:spacing w:before="240" w:after="240"/>
        <w:rPr>
          <w:lang w:val="el" w:eastAsia="el"/>
        </w:rPr>
      </w:pPr>
      <w:r>
        <w:rPr>
          <w:lang w:val="el" w:eastAsia="el"/>
        </w:rPr>
        <w:t>ΑΝΑΠΛΗΡΩΤΗΣ ΥΠΟΥΡΓΟΣ ΑΝΑΠΤΥΞΗΣ, ΑΝΤΑΓΩΝΙΣΤΙΚΟΤΗΤΑΣ ΚΑΙ ΝΑΥΤΙΛΙΑΣ</w:t>
      </w:r>
    </w:p>
    <w:p>
      <w:pPr>
        <w:spacing w:before="240" w:after="240"/>
        <w:rPr>
          <w:lang w:val="el" w:eastAsia="el"/>
        </w:rPr>
      </w:pPr>
      <w:r>
        <w:rPr>
          <w:lang w:val="el" w:eastAsia="el"/>
        </w:rPr>
        <w:t>ΣΩΚΡΑΤΗΣ ΞΥΝΙΔΗΣ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ΓΕΩΡΓΙΟΣ ΠΑΠΑΚΩΝΣΤΑΝΤΙΝΟΥ</w:t>
      </w:r>
    </w:p>
    <w:p>
      <w:pPr>
        <w:spacing w:before="240" w:after="240"/>
        <w:rPr>
          <w:lang w:val="el" w:eastAsia="el"/>
        </w:rPr>
      </w:pPr>
      <w:r>
        <w:rPr>
          <w:lang w:val="el" w:eastAsia="el"/>
        </w:rPr>
        <w:t>ΠΑΙΔΕΙΑΣ, ΔΙΑ ΒΙΟΥ ΜΑΘΗΣΗΣ ΚΑΙ ΘΡΗΣΚΕΥΜΑΤΩΝ</w:t>
      </w:r>
    </w:p>
    <w:p>
      <w:pPr>
        <w:spacing w:before="240" w:after="240"/>
        <w:rPr>
          <w:lang w:val="el" w:eastAsia="el"/>
        </w:rPr>
      </w:pPr>
      <w:r>
        <w:rPr>
          <w:lang w:val="el" w:eastAsia="el"/>
        </w:rPr>
        <w:t>ΓΕΩΡΓΙΟΣ ΜΠΑΜΠΙΝΙΩΤΗΣ</w:t>
      </w:r>
    </w:p>
    <w:p>
      <w:pPr>
        <w:spacing w:before="240" w:after="240"/>
        <w:rPr>
          <w:lang w:val="el" w:eastAsia="el"/>
        </w:rPr>
      </w:pPr>
      <w:r>
        <w:rPr>
          <w:lang w:val="el" w:eastAsia="el"/>
        </w:rPr>
        <w:t>ΑΝΑΠΛΗΡΩΤΗΣ ΥΠΟΥΡΓΟΣ ΠΑΙΔΕΙΑΣ, ΔΙΑ ΒΙΟΥ ΜΑΘΗΣΗΣ ΚΑΙ ΘΡΗΣΚΕΥΜΑΤΩΝ</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ΕΡΓΑΣΙΑΣ ΚΑΙ ΚΟΙΝΩΝΙΚΗΣ ΑΣΦΑΛΙΣΗΣ</w:t>
      </w:r>
    </w:p>
    <w:p>
      <w:pPr>
        <w:spacing w:before="240" w:after="240"/>
        <w:rPr>
          <w:lang w:val="el" w:eastAsia="el"/>
        </w:rPr>
      </w:pPr>
      <w:r>
        <w:rPr>
          <w:lang w:val="el" w:eastAsia="el"/>
        </w:rPr>
        <w:t>ΓΕΩΡΓΙΟΣ ΚΟΥΤΡΟΥΜΑΝΗΣ</w:t>
      </w:r>
    </w:p>
    <w:p>
      <w:pPr>
        <w:spacing w:before="240" w:after="240"/>
        <w:rPr>
          <w:lang w:val="el" w:eastAsia="el"/>
        </w:rPr>
      </w:pPr>
      <w:r>
        <w:rPr>
          <w:lang w:val="el" w:eastAsia="el"/>
        </w:rPr>
        <w:t>ΑΓΡΟΤΙΚΗΣ ΑΝΑΠΤΥΞΗΣ ΚΑΙ ΤΡΟΦΙΜΩΝ </w:t>
      </w:r>
    </w:p>
    <w:p>
      <w:pPr>
        <w:spacing w:before="240" w:after="240"/>
        <w:rPr>
          <w:lang w:val="el" w:eastAsia="el"/>
        </w:rPr>
      </w:pPr>
      <w:r>
        <w:rPr>
          <w:lang w:val="el" w:eastAsia="el"/>
        </w:rPr>
        <w:t>ΚΩΝΣΤΑΝΤΙΝΟΣ ΣΚΑΝΔΑΛΙΔΗΣ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ΜΙΛΤΙΑΔΗΣ ΠΑΠΑΪΩΑΝΝΟΥ</w:t>
      </w:r>
    </w:p>
    <w:p>
      <w:pPr>
        <w:spacing w:before="240" w:after="240"/>
        <w:rPr>
          <w:lang w:val="el" w:eastAsia="el"/>
        </w:rPr>
      </w:pPr>
      <w:r>
        <w:rPr>
          <w:lang w:val="el" w:eastAsia="el"/>
        </w:rPr>
        <w:t>ΠΡΟΣΤΑΣΙΑΣ ΤΟΥ ΠΟΛΙΤΗ </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ΠΟΛΙΤΙΣΜΟΥ ΚΑΙ ΤΟΥΡΙΣΜΟΥ</w:t>
      </w:r>
    </w:p>
    <w:p>
      <w:pPr>
        <w:spacing w:before="240" w:after="240"/>
        <w:rPr>
          <w:lang w:val="el" w:eastAsia="el"/>
        </w:rPr>
      </w:pPr>
      <w:r>
        <w:rPr>
          <w:lang w:val="el" w:eastAsia="el"/>
        </w:rPr>
        <w:t>ΠΑΥΛΟΣ ΓΕΡΟΥΛΑΝΟΣ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11 Απριλίου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ΜΙΛΤΙΑΔΗΣ ΠΑΠΑΪΩΑΝΝΟΥ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