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 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2"/>
      </w:r>
      <w:r>
        <w:rPr>
          <w:lang w:val="el" w:eastAsia="el"/>
        </w:rPr>
        <w:t>)</w:t>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4"/>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w:t>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w:t>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38"/>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47"/>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49"/>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57"/>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3"/>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4"/>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75"/>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79"/>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1"/>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86"/>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87"/>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95"/>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10.</w:t>
      </w:r>
      <w:r>
        <w:rPr>
          <w:lang w:val="el" w:eastAsia="el"/>
        </w:rPr>
        <w:t xml:space="preserve"> Υφιστάμενες διοικητικές άδειες διατηρούνται σε ισχύ. Περαιτέρω μεταβίβαση αυτών επιτρέπεται μόνον άπαξ και για χρονικό διάστημα 10 ετών: </w:t>
      </w:r>
    </w:p>
    <w:p>
      <w:pPr>
        <w:pStyle w:val="StructureList1"/>
        <w:spacing w:before="120" w:after="0"/>
        <w:rPr>
          <w:lang w:val="el" w:eastAsia="el"/>
        </w:rPr>
      </w:pPr>
      <w:r>
        <w:rPr>
          <w:lang w:val="el" w:eastAsia="el"/>
        </w:rPr>
        <w:t>α)</w:t>
      </w:r>
      <w:r>
        <w:rPr>
          <w:lang w:val="en" w:eastAsia="en"/>
        </w:rPr>
        <w:tab/>
      </w:r>
      <w:r>
        <w:rPr>
          <w:lang w:val="el" w:eastAsia="el"/>
        </w:rPr>
        <w:t xml:space="preserve">στον/η σύζυγο του αποθανόντος δικαιούχου ή </w:t>
      </w:r>
    </w:p>
    <w:p>
      <w:pPr>
        <w:pStyle w:val="StructureList1"/>
        <w:spacing w:before="120" w:after="0"/>
        <w:rPr>
          <w:lang w:val="el" w:eastAsia="el"/>
        </w:rPr>
      </w:pPr>
      <w:r>
        <w:rPr>
          <w:lang w:val="el" w:eastAsia="el"/>
        </w:rPr>
        <w:t>β)</w:t>
      </w:r>
      <w:r>
        <w:rPr>
          <w:lang w:val="en" w:eastAsia="en"/>
        </w:rPr>
        <w:tab/>
      </w:r>
      <w:r>
        <w:rPr>
          <w:lang w:val="el" w:eastAsia="el"/>
        </w:rPr>
        <w:t>στα ενήλικα τέκνα αυτού, εφόσον ανήκουν στην κατηγορία των Α.με.Α με ποσοστό αναπηρίας 67% και άνω.</w:t>
      </w:r>
    </w:p>
    <w:p>
      <w:pPr>
        <w:spacing w:before="240" w:after="240"/>
        <w:rPr>
          <w:lang w:val="el" w:eastAsia="el"/>
        </w:rPr>
      </w:pP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Από 1.1.2014 οι δικαιούχοι αυτών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Για τη χρήση κοινόχρηστου χώρου, πέραν του προαναφερθέντος, εφαρμόζονται οι ίδιες ως άνω διατάξεις από την έναρξη ισχύος του νόμου αυτού. Τον δικαιούχο μπορεί να αναπληρώνει ο/η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02"/>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spacing w:before="240" w:after="240"/>
        <w:rPr>
          <w:lang w:val="el" w:eastAsia="el"/>
        </w:rPr>
      </w:pPr>
      <w:r>
        <w:rPr>
          <w:lang w:val="el" w:eastAsia="el"/>
        </w:rPr>
        <w:t>1…</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2…</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4…</w:t>
      </w:r>
      <w:r>
        <w:rPr>
          <w:rStyle w:val="Hyperlink"/>
          <w:color w:val="000000"/>
          <w:sz w:val="20"/>
          <w:szCs w:val="20"/>
          <w:u w:val="none" w:color="0000EE"/>
          <w:vertAlign w:val="superscript"/>
          <w:lang w:val="el" w:eastAsia="el"/>
        </w:rPr>
        <w:footnoteReference w:id="106"/>
      </w:r>
    </w:p>
    <w:p>
      <w:pPr>
        <w:spacing w:before="240" w:after="240"/>
        <w:rPr>
          <w:lang w:val="el" w:eastAsia="el"/>
        </w:rPr>
      </w:pPr>
      <w:r>
        <w:rPr>
          <w:lang w:val="el" w:eastAsia="el"/>
        </w:rPr>
        <w:t>5…</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6…</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12"/>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13"/>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14"/>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Το άρθρο 103 του Κώδικα Κατάστασης Δημοσίων Πολιτικών Διοικητικών Υπαλλήλων και Υπαλλήλων Ν.Π.Δ.Δ. (Υπαλληλικός Κώδικας, Ν. 3528/2007), όπως αντικαταστάθηκε με το άρθρο πρώτο του Ν. 4057/2012,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που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γ΄, δ΄, ε΄, θ΄, ι΄, ιδ΄, ιη΄, κγ΄, κδ΄, κζ΄ και κθ΄ του άρθρου 107 ή αντίστοιχα παραπτώματα του ίδιου άρθρου, όπως ίσχυε πριν την αντικατάστασή του με το άρθρο δεύτερο του Ν. 4057/2012, ή αντίστοιχα παραπτώματα του προϊσχύοντος Υπαλληλικού Κώδικα (Ν. 2683/1999).</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w:t>
      </w:r>
      <w:r>
        <w:rPr>
          <w:lang w:val="el" w:eastAsia="el"/>
        </w:rPr>
        <w:softHyphen/>
        <w:t>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Εφόσον έχει επιβληθεί αυτοδίκαιη αργία στις περιπτώσεις β΄, γ΄,δ΄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66.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Το άρθρο 104 του Υπαλληλικού Κώδικα (Ν. 3528/2007), όπως αντικαταστάθηκε με το άρθρο πρώτο του Ν. 4057/2012,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των περιπτώσεων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κατά περίπτωση, ο οικείος Υπουργός ή το ανώτατο μονομελές όργανο διοίκησης ή ο πρόεδρος του συλλογικού οργάνου διοίκησης, αν δεν υπάρχει μονομελές όργανο διοίκησης.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τον άμεσο πειθαρχικώς προϊστάμενό του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άμεσου πειθαρχικώς προϊσταμένου του υπαλλήλου, το μέτρο της αναστολής άσκησης των καθηκόντων μπορεί να επιβληθεί από κάθε πειθαρχικώς προϊστάμενο ανώτερο από αυτόν. Η παράλειψη πειθαρχικώς προϊσταμένου να επιβάλει το ως άνω μέτρο ελέγχεται πειθαρχικά από κάθε πειθαρχικώς προϊστάμενό του.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 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66.»</w:t>
      </w:r>
    </w:p>
    <w:p>
      <w:pPr>
        <w:pStyle w:val="MainText"/>
        <w:spacing w:before="120" w:after="0"/>
        <w:rPr>
          <w:lang w:val="el" w:eastAsia="el"/>
        </w:rPr>
      </w:pPr>
      <w:r>
        <w:rPr>
          <w:b/>
          <w:bCs/>
          <w:lang w:val="el" w:eastAsia="el"/>
        </w:rPr>
        <w:t>3.</w:t>
      </w:r>
      <w:r>
        <w:rPr>
          <w:lang w:val="el" w:eastAsia="el"/>
        </w:rPr>
        <w:t xml:space="preserve"> Το άρθρο 107 του Κώδικα Κατάστασης Δημοτικών και Κοινοτικών Υπαλλήλων (Ν. 3584/2007), αντικαθίσταται ως εξής:</w:t>
      </w:r>
    </w:p>
    <w:p>
      <w:pPr>
        <w:spacing w:before="240" w:after="240"/>
        <w:rPr>
          <w:lang w:val="el" w:eastAsia="el"/>
        </w:rPr>
      </w:pPr>
      <w:r>
        <w:rPr>
          <w:lang w:val="el" w:eastAsia="el"/>
        </w:rPr>
        <w:t>«1. Τίθεται αυτοδίκαια σε αργία:</w:t>
      </w:r>
    </w:p>
    <w:p>
      <w:pPr>
        <w:spacing w:before="240" w:after="240"/>
        <w:rPr>
          <w:lang w:val="el" w:eastAsia="el"/>
        </w:rPr>
      </w:pPr>
      <w:r>
        <w:rPr>
          <w:lang w:val="el" w:eastAsia="el"/>
        </w:rPr>
        <w:t>α) ο υπάλληλος ο οποίος στερήθηκε την προσωπική του ελευθερία ύστερα από πρωτοβάθμια ή δευτεροβάθμια απόφαση ποινικού δικαστηρίου ή ένταλμα προσωρινής κράτησης,</w:t>
      </w:r>
    </w:p>
    <w:p>
      <w:pPr>
        <w:spacing w:before="240" w:after="240"/>
        <w:rPr>
          <w:lang w:val="el" w:eastAsia="el"/>
        </w:rPr>
      </w:pPr>
      <w:r>
        <w:rPr>
          <w:lang w:val="el" w:eastAsia="el"/>
        </w:rPr>
        <w:t>β) ο υπάλληλος κατά του οποίου εκδόθηκε ένταλμα προσωρινής κράτησης και στη συνέχεια ήρθη η προσωρινή κράτησή του ή αντικαταστάθηκε με περιοριστικούς όρους,</w:t>
      </w:r>
    </w:p>
    <w:p>
      <w:pPr>
        <w:spacing w:before="240" w:after="240"/>
        <w:rPr>
          <w:lang w:val="el" w:eastAsia="el"/>
        </w:rPr>
      </w:pPr>
      <w:r>
        <w:rPr>
          <w:lang w:val="el" w:eastAsia="el"/>
        </w:rPr>
        <w:t>γ) ο υπάλληλος, ο οποίος παραπέμφθηκε αμετακλήτως ενώπιον του αρμοδίου δικαστηρίου για κακούργημα,</w:t>
      </w:r>
    </w:p>
    <w:p>
      <w:pPr>
        <w:spacing w:before="240" w:after="240"/>
        <w:rPr>
          <w:lang w:val="el" w:eastAsia="el"/>
        </w:rPr>
      </w:pPr>
      <w:r>
        <w:rPr>
          <w:lang w:val="el" w:eastAsia="el"/>
        </w:rPr>
        <w:t>δ) ο υπάλληλος στον οποίο επιβλήθηκε η πειθαρχική ποινή της οριστικής ή της προσωρινής παύσης και</w:t>
      </w:r>
    </w:p>
    <w:p>
      <w:pPr>
        <w:spacing w:before="240" w:after="240"/>
        <w:rPr>
          <w:lang w:val="el" w:eastAsia="el"/>
        </w:rPr>
      </w:pPr>
      <w:r>
        <w:rPr>
          <w:lang w:val="el" w:eastAsia="el"/>
        </w:rPr>
        <w:t>ε) ο υπάλληλος ο οποίος έχει παραπεμφθεί στο αρμόδιο πειθαρχικό συμβούλιο για τα παραπτώματα των περιπτώσεων α΄, β΄, δ΄, ε΄, ιβ΄, ιστ΄, ιζ΄, κα΄, κβ΄, κγ΄, κστ΄, κζ΄ του άρθρου 111, ή για τα αντίστοιχα παραπτώματα του προϊσχύοντος Κώδικα Κατάστασης Δημοτικών και Κοινοτικών Υπαλλήλων (Ν. 1188/1981).</w:t>
      </w:r>
    </w:p>
    <w:p>
      <w:pPr>
        <w:spacing w:before="240" w:after="240"/>
        <w:rPr>
          <w:lang w:val="el" w:eastAsia="el"/>
        </w:rPr>
      </w:pPr>
      <w:r>
        <w:rPr>
          <w:lang w:val="el" w:eastAsia="el"/>
        </w:rPr>
        <w:t>2. Ο υπάλληλος επανέρχεται αυτοδίκαια στα καθήκοντά του, εάν εκλείψει ο λόγος για τον οποίο έχει τεθεί σε αργία. Ειδικότερα:</w:t>
      </w:r>
    </w:p>
    <w:p>
      <w:pPr>
        <w:spacing w:before="240" w:after="240"/>
        <w:rPr>
          <w:lang w:val="el" w:eastAsia="el"/>
        </w:rPr>
      </w:pPr>
      <w:r>
        <w:rPr>
          <w:lang w:val="el" w:eastAsia="el"/>
        </w:rPr>
        <w:t>α. Υπάλληλος ο οποίος τέθηκε σε αργία στις περιπτώσεις α΄ έως γ΄ της παραγράφου 1 ασκεί εκ νέου τα καθήκοντά του αν αθωωθεί με τελεσίδικη δικαστική απόφαση.</w:t>
      </w:r>
    </w:p>
    <w:p>
      <w:pPr>
        <w:spacing w:before="240" w:after="240"/>
        <w:rPr>
          <w:lang w:val="el" w:eastAsia="el"/>
        </w:rPr>
      </w:pPr>
      <w:r>
        <w:rPr>
          <w:lang w:val="el" w:eastAsia="el"/>
        </w:rPr>
        <w:t>β. Η αργία της περίπτωσης δ΄ της παραγράφου 1 αρχίζει από την κοινοποίηση στον υπάλληλο της πειθαρχικής απόφασης και λήγει με την έναρξη της εκτέλεσης της πειθαρχικής ποινής της οριστικής ή προσωρινής παύσης που του επιβλήθηκε ή με την έκδοση απόφασης σε δεύτερο βαθμό ή δικαστικής απόφασης που είτε απαλλάσσει τον υπάλληλο από την πειθαρχική ευθύνη είτε του επιβάλλει ποινή διαφορετική από την οριστική ή προσωρινή παύση.</w:t>
      </w:r>
    </w:p>
    <w:p>
      <w:pPr>
        <w:spacing w:before="240" w:after="240"/>
        <w:rPr>
          <w:lang w:val="el" w:eastAsia="el"/>
        </w:rPr>
      </w:pPr>
      <w:r>
        <w:rPr>
          <w:lang w:val="el" w:eastAsia="el"/>
        </w:rPr>
        <w:t>γ. Η αργία της περίπτωσης ε΄ της παραγράφου 1 αρχίζει από την κοινοποίηση στον υπάλληλο του παρα-πεμπτηρίου εγγράφου και λήγει με την έκδοση πρωτοβάθμιας πειθαρχικής απόφασης που τον απαλλάσσει ή του επιβάλλει ποινή διαφορετική από την οριστική ή προσωρινή παύση. Αν του επιβληθεί κάποια από τις ποινές αυτές η αργία συνεχίζεται και λήγει σύμφωνα με την προηγούμενη περίπτωση.</w:t>
      </w:r>
    </w:p>
    <w:p>
      <w:pPr>
        <w:spacing w:before="240" w:after="240"/>
        <w:rPr>
          <w:lang w:val="el" w:eastAsia="el"/>
        </w:rPr>
      </w:pPr>
      <w:r>
        <w:rPr>
          <w:lang w:val="el" w:eastAsia="el"/>
        </w:rPr>
        <w:t>3. Η διαπιστωτική πράξη θέσης σε αργία εκδίδεται αμελλητί από το αρμόδιο για το διορισμό του υπαλλήλου όργανο. Η πράξη επανόδου του υπαλλήλου στην υπηρεσία εκδίδεται από το ίδιο όργανο:</w:t>
      </w:r>
    </w:p>
    <w:p>
      <w:pPr>
        <w:spacing w:before="240" w:after="240"/>
        <w:rPr>
          <w:lang w:val="el" w:eastAsia="el"/>
        </w:rPr>
      </w:pPr>
      <w:r>
        <w:rPr>
          <w:lang w:val="el" w:eastAsia="el"/>
        </w:rPr>
        <w:t>α) μετά από τελεσίδικη αθωωτική απόφαση ποινικού δικαστηρίου,</w:t>
      </w:r>
    </w:p>
    <w:p>
      <w:pPr>
        <w:spacing w:before="240" w:after="240"/>
        <w:rPr>
          <w:lang w:val="el" w:eastAsia="el"/>
        </w:rPr>
      </w:pPr>
      <w:r>
        <w:rPr>
          <w:lang w:val="el" w:eastAsia="el"/>
        </w:rPr>
        <w:t>β) μετά από βεβαίωση της αρμόδιας μονάδας προσωπικού ότι εκτελέστηκε η πειθαρχική ποινή της προσωρινής παύσης που έχει επιβληθεί ή μετά από απόφαση του Δευτεροβάθμιου Πειθαρχικού Συμβουλίου ή του αρμόδιου δικαστηρίου που απαλλάσσει τον υπάλληλο ή του επιβάλλει ποινή διαφορετική από την οριστική ή προσωρινή παύση, ή μετά από σχετική βεβαίωση του προέδρου του οικείου δικαστικού σχηματισμού, και</w:t>
      </w:r>
    </w:p>
    <w:p>
      <w:pPr>
        <w:spacing w:before="240" w:after="240"/>
        <w:rPr>
          <w:lang w:val="el" w:eastAsia="el"/>
        </w:rPr>
      </w:pPr>
      <w:r>
        <w:rPr>
          <w:lang w:val="el" w:eastAsia="el"/>
        </w:rPr>
        <w:t>γ) μετά από απόφαση του πρωτοβάθμιου πειθαρχικού συμβουλίου με την οποία ο υπάλληλος απαλλάσσεται από την πειθαρχική ευθύνη ή του επιβάλλεται πειθαρχική ποινή διαφορετική από την οριστική ή προσωρινή παύση για πειθαρχικό παράπτωμα της περίπτωσης ε΄ της παραγράφου 1, ή μετά από σχετική βεβαίωση του προέδρου του πρωτοβάθμιου πειθαρχικού συμβουλίου.</w:t>
      </w:r>
    </w:p>
    <w:p>
      <w:pPr>
        <w:spacing w:before="240" w:after="240"/>
        <w:rPr>
          <w:lang w:val="el" w:eastAsia="el"/>
        </w:rPr>
      </w:pPr>
      <w:r>
        <w:rPr>
          <w:lang w:val="el" w:eastAsia="el"/>
        </w:rPr>
        <w:t>Ο υπάλληλος επανέρχεται στην υπηρεσία του από την κοινοποίηση σε αυτόν της αντίστοιχης διαπιστωτικής πράξης.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δεν είναι αναγκαία η συνέχιση της αργίας, μπορεί να διατάσσει την αναστολή της και την επάνοδο του υπαλλήλου στα καθήκοντά του ή τη μετακίνησή του σύμφωνα με το άρθρο 72. Για την προθεσμία εντός της οποίας οφείλει να γνωμοδοτήσει το πειθαρχικό συμβούλιο και τις συνέπειες της μη γνωμοδότησής του εντός της νόμιμης προθεσμίας εφαρμόζεται αναλόγως η παράγραφος 4 του επόμενου άρθρου. 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4.</w:t>
      </w:r>
      <w:r>
        <w:rPr>
          <w:lang w:val="el" w:eastAsia="el"/>
        </w:rPr>
        <w:t xml:space="preserve"> Το άρθρο 108 του Κώδικα Κατάστασης Δημοτικών και Κοινοτικών Υπαλλήλων (Ν. 3584/2007, A΄ 143), αντικαθίσταται ως εξής:</w:t>
      </w:r>
    </w:p>
    <w:p>
      <w:pPr>
        <w:spacing w:before="240" w:after="240"/>
        <w:rPr>
          <w:lang w:val="el" w:eastAsia="el"/>
        </w:rPr>
      </w:pPr>
      <w:r>
        <w:rPr>
          <w:lang w:val="el" w:eastAsia="el"/>
        </w:rPr>
        <w:t>«1. Αν συντρέχουν λόγοι δημόσιου συμφέροντος ή υπηρεσιακοί λόγοι μπορεί να τεθεί σε αργία ο υπάλληλος κατά του οποίου:</w:t>
      </w:r>
    </w:p>
    <w:p>
      <w:pPr>
        <w:spacing w:before="240" w:after="240"/>
        <w:rPr>
          <w:lang w:val="el" w:eastAsia="el"/>
        </w:rPr>
      </w:pPr>
      <w:r>
        <w:rPr>
          <w:lang w:val="el" w:eastAsia="el"/>
        </w:rPr>
        <w:t>α) έχει ασκηθεί πειθαρχική δίωξη για οποιοδήποτε πειθαρχικό παράπτωμα, με την επιφύλαξη της παραγράφου 1 περίπτωση ε΄ του προηγούμενου άρθρου, για τις οποίες επιβάλλεται αυτοδίκαιη αργία, ή</w:t>
      </w:r>
    </w:p>
    <w:p>
      <w:pPr>
        <w:spacing w:before="240" w:after="240"/>
        <w:rPr>
          <w:lang w:val="el" w:eastAsia="el"/>
        </w:rPr>
      </w:pPr>
      <w:r>
        <w:rPr>
          <w:lang w:val="el" w:eastAsia="el"/>
        </w:rPr>
        <w:t>β) υπάρχουν σοβαρές ενδείξεις για άτακτη διαχείριση, η οποία στηρίζεται σε έκθεση της προϊσταμένης αρχής ή του αρμόδιου επιθεωρητή.</w:t>
      </w:r>
    </w:p>
    <w:p>
      <w:pPr>
        <w:spacing w:before="240" w:after="240"/>
        <w:rPr>
          <w:lang w:val="el" w:eastAsia="el"/>
        </w:rPr>
      </w:pPr>
      <w:r>
        <w:rPr>
          <w:lang w:val="el" w:eastAsia="el"/>
        </w:rPr>
        <w:t>2. Αρμόδιο όργανο για την έκδοση της πράξης με την οποία ο υπάλληλος τίθεται σε αργία είναι το αρμόδιο για το διορισμό του υπαλλήλου όργανο. Η πράξη εκδίδεται μετά από γνωμοδότηση του πειθαρχικού συμβουλίου, σύμφωνα με τα οριζόμενα στην παράγραφο 4.</w:t>
      </w:r>
    </w:p>
    <w:p>
      <w:pPr>
        <w:spacing w:before="240" w:after="240"/>
        <w:rPr>
          <w:lang w:val="el" w:eastAsia="el"/>
        </w:rPr>
      </w:pPr>
      <w:r>
        <w:rPr>
          <w:lang w:val="el" w:eastAsia="el"/>
        </w:rPr>
        <w:t>3. Σε κατεπείγουσες περιπτώσεις και εφόσον διακυβεύεται το συμφέρον της υπηρεσίας, μπορεί να επιβληθεί στον υπάλληλο από το αρμόδιο για το διορισμό του όργανο το μέτρο της αναστολής άσκησης των καθηκόντων του, ακόμη και πριν επιληφθεί το πειθαρχικό συμβούλιο κατά την επόμενη παράγραφο. Σε περίπτωση παράλειψης του ως άνω οργάνου, το μέτρο της αναστολής άσκησης των καθηκόντων μπορεί να επιβληθεί από κάθε πειθαρχικώς προϊστάμενο του οργάνου αυτού. Η παράλειψη επιβολής του ως άνω μέτρου από το αρμόδιο όργανο ελέγχεται πειθαρχικά. Κατά τη διάρκεια της αναστολής άσκησης των καθηκόντων του ο υπάλληλος δεν προσέρχεται στην υπηρεσία. Η αναστολή άσκησης καθηκόντων του υπαλλήλου αίρεται αυτοδικαίως, εάν το πειθαρχικό συμβούλιο δεν επιληφθεί εντός της προθεσμίας που ορίζεται στην επόμενη παράγραφο, χωρίς πάντως να κωλύεται να επιληφθεί και μετά την πάροδο της προθεσμίας αυτής.</w:t>
      </w:r>
    </w:p>
    <w:p>
      <w:pPr>
        <w:spacing w:before="240" w:after="240"/>
        <w:rPr>
          <w:lang w:val="el" w:eastAsia="el"/>
        </w:rPr>
      </w:pPr>
      <w:r>
        <w:rPr>
          <w:lang w:val="el" w:eastAsia="el"/>
        </w:rPr>
        <w:t>4. Εφόσον συντρέχει κάποια από τις περιπτώσεις της παραγράφου 1, το πειθαρχικό συμβούλιο συνέρχεται αμελλητί και γνωμοδοτεί για τη θέση του υπαλλήλου σε αργία. Σε περίπτωση που έχει διαταχθεί το μέτρο της αναστολής των καθηκόντων του υπαλλήλου, το πειθαρχικό συμβούλιο συνέρχεται και γνωμοδοτεί το αργότερο μέσα σε τριάντα (30) ημέρες από τη λήψη του μέτρου.</w:t>
      </w:r>
    </w:p>
    <w:p>
      <w:pPr>
        <w:spacing w:before="240" w:after="240"/>
        <w:rPr>
          <w:lang w:val="el" w:eastAsia="el"/>
        </w:rPr>
      </w:pPr>
      <w:r>
        <w:rPr>
          <w:lang w:val="el" w:eastAsia="el"/>
        </w:rPr>
        <w:t>Το πειθαρχικό συμβούλιο γνωμοδοτεί μέσα σε προθεσμία τριάντα (30) ημερών και σε κάθε περίπτωση που ζητείται η γνώμη του από το όργανο που είναι αρμόδιο για τη θέση του υπαλλήλου σε αργία. Η γνωμοδότηση εκδίδεται σε κάθε περίπτωση μετά από προηγούμενη κλήση του υπαλλήλου σε ακρόαση. Σε περίπτωση που το πειθαρχικό συμβούλιο δεν γνωμοδοτήσει μέσα στις ανωτέρω προθεσμίες, η απόφαση για τη θέση του υπαλλήλου σε αργία εκδίδεται και χωρίς γνωμοδότηση. Στην περίπτωση αυτή ο υπάλληλος καλείται σε ακρόαση από το αρμόδιο όργανο και οφείλει να υποβάλει εγγράφως τις απόψεις του εντός προθεσμίας πέντε (5) ημερών από την κοινοποίηση της κλήσης.</w:t>
      </w:r>
    </w:p>
    <w:p>
      <w:pPr>
        <w:spacing w:before="240" w:after="240"/>
        <w:rPr>
          <w:lang w:val="el" w:eastAsia="el"/>
        </w:rPr>
      </w:pPr>
      <w:r>
        <w:rPr>
          <w:lang w:val="el" w:eastAsia="el"/>
        </w:rPr>
        <w:t>5. Η αργία αρχίζει από την κοινοποίηση της σχετικής πράξης. Ο υπάλληλος επανέρχεται στα καθήκοντά του αυτοδίκαια από την έκδοση πειθαρχικής απόφασης, η οποία τον απαλλάσσει από την πειθαρχική ευθύνη ή του επιβάλλει ποινή διαφορετική από την οριστική ή προσωρινή παύση.</w:t>
      </w:r>
    </w:p>
    <w:p>
      <w:pPr>
        <w:spacing w:before="240" w:after="240"/>
        <w:rPr>
          <w:lang w:val="el" w:eastAsia="el"/>
        </w:rPr>
      </w:pPr>
      <w:r>
        <w:rPr>
          <w:lang w:val="el" w:eastAsia="el"/>
        </w:rPr>
        <w:t>6. Μετά την πάροδο ενός έτους από τη θέση του υπαλλήλου σε αργία και κάθε επόμενο έτος το πειθαρχικό συμβούλιο υποχρεούται να γνωμοδοτεί για τη συνέχιση ή μη της αργίας. Ο υπάλληλος επανέρχεται στα καθήκοντά του από την κοινοποίηση σχετικής απόφασης του οργάνου που τον έθεσε σε αργία, η οποία εκδίδεται εφόσον έχουν εκλείψει οι λόγοι της παραγράφου 1. Η απόφαση αυτή μπορεί να εκδίδεται από το αρμόδιο όργανο οποτεδήποτε, ακόμη και χωρίς προηγούμενη γνώμη του πειθαρχικού συμβουλίου.</w:t>
      </w:r>
    </w:p>
    <w:p>
      <w:pPr>
        <w:spacing w:before="240" w:after="240"/>
        <w:rPr>
          <w:lang w:val="el" w:eastAsia="el"/>
        </w:rPr>
      </w:pPr>
      <w:r>
        <w:rPr>
          <w:lang w:val="el" w:eastAsia="el"/>
        </w:rPr>
        <w:t>7. Το όργανο που είναι αρμόδιο για τη θέση του υπαλλήλου σε δυνητική αργία μπορεί, εφόσον κρίνει ότι το μέτρο της αργίας δεν είναι απαραίτητο να επιβληθεί ή έχουν εκλείψει οι λόγοι για τους οποίους επιβλήθηκε, να διατάσσει για λόγους σχετικούς με το συμφέρον της υπηρεσίας τη μετακίνηση του υπαλλήλου σύμφωνα με το άρθρο 72.»</w:t>
      </w:r>
    </w:p>
    <w:p>
      <w:pPr>
        <w:pStyle w:val="MainText"/>
        <w:spacing w:before="120" w:after="0"/>
        <w:rPr>
          <w:lang w:val="el" w:eastAsia="el"/>
        </w:rPr>
      </w:pPr>
      <w:r>
        <w:rPr>
          <w:b/>
          <w:bCs/>
          <w:lang w:val="el" w:eastAsia="el"/>
        </w:rPr>
        <w:t>5.</w:t>
      </w:r>
      <w:r>
        <w:rPr>
          <w:lang w:val="el" w:eastAsia="el"/>
        </w:rPr>
        <w:t xml:space="preserve"> Για την εφαρμογή των άρθρων 88 και 89 του Κώδικα Δικαστικών Υπαλλήλων (Ν. 2812/2000), ως λόγοι θέσεως του υπαλλήλου σε αυτοδίκαιη ή δυνητική αργία νοούνται αντίστοιχα αυτοί που αναφέρονται στα άρθρα 103 παρ. 1 και 104 παρ. 1 του Υπαλληλικού Κώδικα, όπως αντικαθίστανται με τις περιπτώσεις 1 και 2 της παρούσας υποπαραγράφου.</w:t>
      </w:r>
    </w:p>
    <w:p>
      <w:pPr>
        <w:pStyle w:val="MainText"/>
        <w:spacing w:before="120" w:after="0"/>
        <w:rPr>
          <w:lang w:val="el" w:eastAsia="el"/>
        </w:rPr>
      </w:pPr>
      <w:r>
        <w:rPr>
          <w:b/>
          <w:bCs/>
          <w:lang w:val="el" w:eastAsia="el"/>
        </w:rPr>
        <w:t>6.</w:t>
      </w:r>
      <w:r>
        <w:rPr>
          <w:lang w:val="el" w:eastAsia="el"/>
        </w:rPr>
        <w:t xml:space="preserve"> Οι διατάξεις των άρθρων 103 και 104 του Υπαλληλικού Κώδικα (Ν. 3528/2007), 107 και 108 του Κώδικα Κατάστασης Δημοτικών και Κοινοτικών Υπαλλήλων (Ν. 3584/2007) και 88 και 89 του Κώδικα Δικαστικών Υπαλλήλων (Ν. 2812/2000), όπως ισχύουν, έχουν εφαρμογή και στο προσωπικό που εργάζεται με οποιαδήποτε σχέση εργασίας ιδιωτικού δικαίου στις υπηρεσίες, οι υπάλληλοι των οποίων διέπονται από τους ανωτέρω Κώδικες. Με την επιφύλαξη τυχόν αυστηρότερων διατάξεων, οι διατάξεις των άρθρων 103, 104 και 105 του Υπαλληλικού Κώδικα, όπως ισχύουν, εφαρμόζονται αναλόγως, ως προς τις ουσιαστικές προϋποθέσεις της θέσεως σε αυτοδίκαιη ή δυνητική αργία, καθώς και ως προς τις συνέπειές της, σε όλες τις πειθαρχικές διαδικασίες, που διέπουν το κάθε φύσεως και με οποιαδήποτε υπηρεσιακή σχέση δημοσίου δικαίου ή σχέση εργασίας ιδιωτικού δικαίου προσωπικό του δημόσιου τομέα, όπως αυτός είχε οριοθετηθεί με το άρθρο 1 παρ. 6 του Ν. 1256/1982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w:t>
      </w:r>
    </w:p>
    <w:p>
      <w:pPr>
        <w:pStyle w:val="MainText"/>
        <w:spacing w:before="120" w:after="0"/>
        <w:rPr>
          <w:lang w:val="el" w:eastAsia="el"/>
        </w:rPr>
      </w:pPr>
      <w:r>
        <w:rPr>
          <w:b/>
          <w:bCs/>
          <w:lang w:val="el" w:eastAsia="el"/>
        </w:rPr>
        <w:t>7.</w:t>
      </w:r>
      <w:r>
        <w:rPr>
          <w:lang w:val="el" w:eastAsia="el"/>
        </w:rPr>
        <w:t xml:space="preserve"> Οι διατάξεις των περιπτώσεων 1 έως 6 της παρούσας υποπαραγράφου εφαρμόζονται και στις υποθέσεις που είναι εκκρεμείς κατά τη δημοσίευση του παρόντος νόμου στην Εφημερίδα της Κυβερνήσεως.</w:t>
      </w:r>
    </w:p>
    <w:p>
      <w:pPr>
        <w:pStyle w:val="MainText"/>
        <w:spacing w:before="120" w:after="0"/>
        <w:rPr>
          <w:lang w:val="el" w:eastAsia="el"/>
        </w:rPr>
      </w:pPr>
      <w:r>
        <w:rPr>
          <w:b/>
          <w:bCs/>
          <w:lang w:val="el" w:eastAsia="el"/>
        </w:rPr>
        <w:t>8.</w:t>
      </w:r>
      <w:r>
        <w:rPr>
          <w:lang w:val="el" w:eastAsia="el"/>
        </w:rPr>
        <w:t xml:space="preserve"> Το αρμόδιο για την εκδίκαση αίτησης αναστολής εκτελέσεως δικαστήριο, η οποία στρέφεται κατά πράξης με την οποία διαπιστώνεται η θέση υπαλλήλου σε κατάσταση αυτοδίκαιης αργίας ή με την οποία ο υπάλληλος τίθεται σε δυνητική αργία, μπορεί, εφόσον πιθανολογείται σοβαρά κίνδυνος βιοπορισμού του υπαλλήλου ή της οικογένειάς του, να διατάσσει, ως προσωρινό μέτρο, την αύξηση των αποδοχών της αργίας μέχρι το 75% των νόμιμων αποδοχών του υπαλλήλου.</w:t>
      </w:r>
    </w:p>
    <w:p>
      <w:pPr>
        <w:pStyle w:val="MainText"/>
        <w:spacing w:before="120" w:after="0"/>
        <w:rPr>
          <w:lang w:val="el" w:eastAsia="el"/>
        </w:rPr>
      </w:pPr>
      <w:r>
        <w:rPr>
          <w:b/>
          <w:bCs/>
          <w:lang w:val="el" w:eastAsia="el"/>
        </w:rPr>
        <w:t>9.</w:t>
      </w:r>
      <w:r>
        <w:rPr>
          <w:lang w:val="el" w:eastAsia="el"/>
        </w:rPr>
        <w:t xml:space="preserve"> Στις περιπτώσεις αυτοδίκαιης αργίας της παραγράφου 1 περίπτωση ε΄ του άρθρου 103 του Υπαλληλικού Κώδικα και της παραγράφου 1 περίπτωση ε΄ του άρθρου 107 του Κώδικα Κατάστασης Δημοτικών και Κοινοτικών Υπαλλήλων, όπως αντικαθίστανται με τις περιπτώσεις 1 και 3 της παρούσας υποπαραγράφου, οι αποδοχές της αργίας ορίζονται στο 75% των νομίμων αποδοχών των υπαλλήλων.</w:t>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Εντός δέκα (10) ημερών από τη δημοσίευση του παρόντος, οι Διευθύνσεις προσωπικού των φορέων της περίπτωσης 1 αποστέλλουν στο Υπουργείο Διοικητικής Μεταρρύθμισης και Ηλεκτρονικής Διακυβέρνησης:</w:t>
      </w:r>
    </w:p>
    <w:p>
      <w:pPr>
        <w:spacing w:before="240" w:after="240"/>
        <w:rPr>
          <w:lang w:val="el" w:eastAsia="el"/>
        </w:rPr>
      </w:pPr>
      <w:r>
        <w:rPr>
          <w:lang w:val="el" w:eastAsia="el"/>
        </w:rPr>
        <w:t>α. τον αριθμό των θέσεων που καταργούνται σύμφωνα με την προηγούμενη περίπτωση του παρόντος, καθώς και αντίγραφα των ατομικών διοικητικών πράξεων θέσης σε διαθεσιμότητα των υπαλλήλων που, κατά τη δημοσίευση του παρόντος, καταλαμβάνουν τις καταργούμενες οργανικές θέσεις,</w:t>
      </w:r>
    </w:p>
    <w:p>
      <w:pPr>
        <w:spacing w:before="240" w:after="240"/>
        <w:rPr>
          <w:lang w:val="el" w:eastAsia="el"/>
        </w:rPr>
      </w:pPr>
      <w:r>
        <w:rPr>
          <w:lang w:val="el" w:eastAsia="el"/>
        </w:rPr>
        <w:t>β. τις πράξεις με τις οποίες τίθενται, μετά την έναρξη ισχύος του παρόντος νόμου, σε αυτοδίκαιη αργία υπάλληλοι, κατ΄ εφαρμογή της υποπαραγράφου Ζ.3 του νόμου αυτού.</w:t>
      </w:r>
    </w:p>
    <w:p>
      <w:pPr>
        <w:pStyle w:val="MainText"/>
        <w:spacing w:before="120" w:after="0"/>
        <w:rPr>
          <w:lang w:val="el" w:eastAsia="el"/>
        </w:rPr>
      </w:pPr>
      <w:r>
        <w:rPr>
          <w:b/>
          <w:bCs/>
          <w:lang w:val="el" w:eastAsia="el"/>
        </w:rPr>
        <w:t>5.</w:t>
      </w:r>
      <w:r>
        <w:rPr>
          <w:lang w:val="el" w:eastAsia="el"/>
        </w:rPr>
        <w:t xml:space="preserve"> Η μη αποστολή των στοιχείων των περιπτώσεων 3 και 4 εντός της ανωτέρω προθεσμίας αποτελεί σοβαρό πειθαρχικό παράπτωμα για το οποίο επιβάλλεται πειθαρχική ποινή προστίμου, η οποία ισούται με το % των αποδοχών των υπαλλήλων.</w:t>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(12)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26"/>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απο τον ασφαλιστικό φορέα ΙΚΑ.</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Έχουν μέγιστο χρόνο κυκλοφορίας τα επτά (7) χρόνια από την ημερομηνία της πρώτης άδειας κυκλοφορίας τους, εφόσον αυτή δεν διαφέρει από την ημερομηνία κατασκευής τους πάνω από ένα χρόνο, και για τα ανοικτού τύπου τα εννέα (9) χρόνια από την κυκλοφορία τους.</w:t>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καθώς και κάθε άλλη σχετική λεπτομέρεια για την εφαρμογή του παρόντος.</w:t>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και Κολλεγίου,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p>
    <w:p>
      <w:pPr>
        <w:spacing w:before="240" w:after="240"/>
        <w:rPr>
          <w:lang w:val="el" w:eastAsia="el"/>
        </w:rPr>
      </w:pPr>
      <w:r>
        <w:rPr>
          <w:lang w:val="el" w:eastAsia="el"/>
        </w:rPr>
        <w:t>β. Άδεια Ιδιωτικού Ινστιτούτου Επαγγελματικής Κατάρτισης (Ι.Ι.Ε.Κ.) και Σχολής Επαγγελματικής Κατάρτισης (Σ.Ε.Κ.) χορηγείται σε φυσικά πρόσωπα, νομικά πρόσωπα, ενώσεις προσώπων και νομικά πρόσωπα δημοσίου δικαίου (Ν.Π.Δ.Δ.), με απόφαση του Γενικού Γραμματέα Δια Βίου Μάθησης, η οποία δημοσιεύεται στην Εφημερίδα της Κυβερνήσεως.</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2.</w:t>
      </w:r>
      <w:r>
        <w:rPr>
          <w:lang w:val="el" w:eastAsia="el"/>
        </w:rPr>
        <w:t xml:space="preserve"> α) Άδεια Κέντρου Δια Βίου Μάθησης Επιπέδου Ένα και Κέντρου Δια Βίου Μάθησης Επιπέδου Δύο, Φροντιστηρίου και Κέντρου Ξένων Γλωσσών χορηγείται σε φυσικά πρόσωπα, νομικά πρόσωπα, ενώσεις προσώπων και νομικά πρόσωπα δημοσίου δικαίου (Ν.Π.Δ.Δ.) με απόφαση του Διοικητικού Συμβουλίου του Εθνικού Οργανισμού Πιστοποίησης Προσόντων και Επαγγελματικού Προσανατολισμού (Ε.Ο.Π.Π.Ε.Π.).β)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31"/>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 </w:t>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33"/>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Φροντιστηρίου και Κέντρου Ξένων Γλωσσών, εφόσον συντρέχουν σωρευτικά οι κατωτέρω προϋποθέσεις:</w:t>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οι μέτοχοι ή εταίροι του δεν έχουν την ιδιότητα του δημοσίου υπαλλήλου, υπαλλήλου Ν. Π.Δ.Δ. και Ο.Τ. Α. και κληρικού, για τα νοµικά πρόσωπα, εκτός των Ν.Π.Δ.Δ.,</w:t>
      </w:r>
      <w:r>
        <w:rPr>
          <w:rStyle w:val="Hyperlink"/>
          <w:color w:val="000000"/>
          <w:sz w:val="20"/>
          <w:szCs w:val="20"/>
          <w:u w:val="none" w:color="0000EE"/>
          <w:vertAlign w:val="superscript"/>
          <w:lang w:val="el" w:eastAsia="el"/>
        </w:rPr>
        <w:footnoteReference w:id="135"/>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36"/>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38"/>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9. </w:t>
      </w:r>
      <w:r>
        <w:rPr>
          <w:lang w:val="el" w:eastAsia="el"/>
        </w:rPr>
        <w:t xml:space="preserve"> ....................</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Κολλεγίου, Φροντιστηρίου και Κέντρου Ξένων Γλωσσών, Ιδιωτικού Ινστιτούτου Επαγγελµατικής Κατάρτισης (Ι.Ι.Ε.Κ.),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για κάθε μεταβολή των προϋποθέσεων χορήγησής της ή συνδρομής ασυμβίβαστων ιδιοτήτων.</w:t>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ανά διετία µε τη διαδικασία της αναγγελίας του δεύτερου και τρίτου εδαφίου της παραγράφου 1 του άρθρου 3 του ν. 3919/2011 (Α΄32), µε την προσκόµιση των κάτωθι:</w:t>
      </w:r>
      <w:r>
        <w:rPr>
          <w:rStyle w:val="Hyperlink"/>
          <w:color w:val="000000"/>
          <w:sz w:val="20"/>
          <w:szCs w:val="20"/>
          <w:u w:val="none" w:color="0000EE"/>
          <w:vertAlign w:val="superscript"/>
          <w:lang w:val="el" w:eastAsia="el"/>
        </w:rPr>
        <w:footnoteReference w:id="144"/>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µη µεταβολής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µεταβολές στις προϋποθέσεις χορήγησης της άδειας µε την αναγγελία, κατατίθεται όλη η σχετική τεκµηρίωση που ορίζεται στις περιπτώσεις 4, 5, 6, 8 και 10 της παρούσας υποπαραγράφου.</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ii)</w:t>
      </w:r>
      <w:r>
        <w:rPr>
          <w:lang w:val="en" w:eastAsia="en"/>
        </w:rPr>
        <w:tab/>
      </w:r>
      <w:r>
        <w:rPr>
          <w:lang w:val="el" w:eastAsia="el"/>
        </w:rPr>
        <w:t>Δήλωση του ν. 1599/1986 (Α΄75) περί εξουσιοδότησης στον φορέα της έκδοσης της άδειας για την έκδοση των πιστοποιητικών φορολογικής και ασφαλιστικής ενηµερότητας, καθώς και πιστοποιητικών περί µη πτώχευσης ή περί µη υποβολής αίτησης για κήρυξη σε κατάσταση πτώχευσης.</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β. Η αναγγελία υποβάλλεται έως την 31η Μαΐου δεύτερου έτους.  </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Κέντρου Δια Βίου Μάθησης Επιπέδου Δύο και Φροντιστηρίου και Κέντρου Ξένων Γλωσσών σε φυσικά, νομικά πρόσωπα, ενώσεις προσώπων και Ν.Π.Δ.Δ. και ρυθμίζεται κάθε σχετικό θέμα.  </w:t>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της άδειας Κολλεγίου, Ιδιωτικού Ινστιτούτου Επαγγελματικής Κατάρτισης (Ι.Ι.Ε.Κ.), Κέντρου Δια Βίου Μάθησης Επιπέδου Ένα και Κέντρου Δια Βίου Μάθησης Επιπέδου Δύο υποβάλλονται και τα προγράμματα σπουδών. Η διαδικασία υποβολής των προγραμμάτων σπουδών καθορίζεται με απόφαση του Υπουργού Παιδείας και Θρησκευμάτων, Πολιτισμού και Αθλητισμού.  </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Κολλεγίου, Φροντιστηρίου και Κέντρου Ξένων Γλωσσών, Ιδιωτικού Ινστιτούτου Επαγγελματικής Κατάρτισης (Ι.Ι.Ε.Κ.),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157"/>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158"/>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159"/>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161"/>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166"/>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167"/>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170"/>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 ΕΝΙΑΙΟ ΕΠΙΔΟΜΑ ΣΤΗΡΙΞΗΣ ΤΕΚΝΩΝ</w:t>
      </w:r>
    </w:p>
    <w:p>
      <w:pPr>
        <w:pStyle w:val="MainText"/>
        <w:spacing w:before="120" w:after="0"/>
        <w:rPr>
          <w:lang w:val="el" w:eastAsia="el"/>
        </w:rPr>
      </w:pPr>
      <w:r>
        <w:rPr>
          <w:b/>
          <w:bCs/>
          <w:lang w:val="el" w:eastAsia="el"/>
        </w:rPr>
        <w:t>1.</w:t>
      </w:r>
      <w:r>
        <w:rPr>
          <w:lang w:val="el" w:eastAsia="el"/>
        </w:rPr>
        <w:t xml:space="preserve"> Θεσπίζεται ενιαίο επίδομα στήριξης τέκνων, το οποίο αντικαθιστά τα καταργούμενα με τις υποπεριπτώσεις 12 και 14 της παρούσας διάταξης συνολικό οικογενειακό εισόδημα.</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2.</w:t>
      </w:r>
      <w:r>
        <w:rPr>
          <w:lang w:val="el" w:eastAsia="el"/>
        </w:rPr>
        <w:t xml:space="preserve"> Το ενιαίο επίδομα στήριξης τέκνων καταβάλλεται λαμβάνοντας υπόψη τον αριθμό των εξαρτώμενων τέκνων, την κλίμακα ισοδυναμίας, το ισοδύναμο εισόδημα και την εισοδηματική κατηγορία.</w:t>
      </w:r>
      <w:r>
        <w:rPr>
          <w:rStyle w:val="Hyperlink"/>
          <w:color w:val="000000"/>
          <w:sz w:val="20"/>
          <w:szCs w:val="20"/>
          <w:u w:val="none" w:color="0000EE"/>
          <w:vertAlign w:val="superscript"/>
          <w:lang w:val="el" w:eastAsia="el"/>
        </w:rPr>
        <w:footnoteReference w:id="172"/>
      </w:r>
    </w:p>
    <w:p>
      <w:pPr>
        <w:spacing w:before="240" w:after="240"/>
        <w:rPr>
          <w:lang w:val="el" w:eastAsia="el"/>
        </w:rPr>
      </w:pPr>
      <w:r>
        <w:rPr>
          <w:lang w:val="el" w:eastAsia="el"/>
        </w:rPr>
        <w:t>Ως κλίμακα ισοδυναμίας ορίζεται το σταθμισμένο άθροισμα των μελών της οικογένειας. Ο πρώτος γονέας έχει στάθμιση 1, ο δεύτερος γονέας έχει στάθμιση 1/3 και κάθε εξαρτώμενο τέκνο έχει στάθμιση 1/6. Ως ισοδύναμο εισόδημα ορίζεται το καθαρό, ετήσιο, οικογενειακό εισόδημα (φορολογητέο εισόδημα) διαιρεμένο με την κλίμακα ισοδυναμίας.</w:t>
      </w:r>
    </w:p>
    <w:p>
      <w:pPr>
        <w:spacing w:before="240" w:after="240"/>
        <w:rPr>
          <w:lang w:val="el" w:eastAsia="el"/>
        </w:rPr>
      </w:pPr>
      <w:r>
        <w:rPr>
          <w:lang w:val="el" w:eastAsia="el"/>
        </w:rPr>
        <w:t>Οι οικογένειες που δικαιούνται το ενιαίο επίδομα στήριξης τέκνων διαιρούνται αναλόγως του ισοδυνάμου εισοδήματος σε τέσσερις εισοδηματικές κατηγορίες, ως εξής: (Α) έως έξι χιλιάδες (6.000) ευρώ που λαμβάνουν το πλήρες επίδομα, (Β) από έξι χιλιάδες και ένα (6.001) ευρώ έως δώδεκα χιλιάδες (12.000) ευρώ που λαμβάνουν τα 2/3 του επιδόματος, (Γ) από δώδεκα χιλιάδες και ένα (12.001) ευρώ έως δεκαοκτώ χιλιάδες (18.000) ευρώ που λαμβάνουν το 1/3 του επιδόματος. Το ενιαίο επίδομα στήριξης τέκνων καθορίζεται ανάλογα με τον αριθμό των εξαρτώμενων τέκνων σε σαράντα (40) ευρώ ανά μήνα για κάθε εξαρτώμενο τέκνο.</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Το ενιαίο επίδομα στήριξης τέκνων υπολογίζεται ανάλογα με τον αριθμό των εξαρτώμενων τέκνων ως εξής: σαράντα (40) ευρώ ανά μήνα για ένα εξαρτώμενο τέκνο, ογδόντα (80) ευρώ ανά μήνα για δύο εξαρτώμενα τέκνα, εκατόν τριάντα (130) ευρώ ανά μήνα για τρία εξαρτώμενα τέκνα και εκατόν ογδόντα (180) ευρώ ανά μήνα για τέσσερα εξαρτώμενα τέκνα. Για κάθε εξαρτώμενο τέκνο πέραν του τετάρτου, καταβάλλεται, πέραν των ανωτέρω, μηνιαίο επίδομα εξήντα (60) ευρώ.</w:t>
      </w:r>
    </w:p>
    <w:p>
      <w:pPr>
        <w:spacing w:before="240" w:after="240"/>
        <w:rPr>
          <w:lang w:val="el" w:eastAsia="el"/>
        </w:rPr>
      </w:pPr>
      <w:r>
        <w:rPr>
          <w:lang w:val="el" w:eastAsia="el"/>
        </w:rPr>
        <w:t>Για τον υπολογισμό της εισοδηματικής κατηγορίας λαμβάνεται υπόψη το εισόδημα που αναφέρεται στο εκκαθαριστικό του τρέχοντος οικονομικού έτους.</w:t>
      </w:r>
    </w:p>
    <w:p>
      <w:pPr>
        <w:pStyle w:val="MainText"/>
        <w:spacing w:before="120" w:after="0"/>
        <w:rPr>
          <w:lang w:val="el" w:eastAsia="el"/>
        </w:rPr>
      </w:pPr>
      <w:r>
        <w:rPr>
          <w:b/>
          <w:bCs/>
          <w:lang w:val="el" w:eastAsia="el"/>
        </w:rPr>
        <w:t>3.</w:t>
      </w:r>
      <w:r>
        <w:rPr>
          <w:lang w:val="el" w:eastAsia="el"/>
        </w:rPr>
        <w:t xml:space="preserve"> Το ενιαίο επίδομα στήριξης τέκνων καταβάλλεται για τέκνα προερχόμενα από γάμο, φυσικά, θετά ή αναγνωρισθέντα, εφόσον είναι άγαμα και δεν υπερβαίνουν το 18ο έτος της ηλικίας του ή το 19ο έτος εφόσον φοιτούν στη μέση εκπαίδευση. Ειδικά, για τα τέκνα που φοιτούν στην ανώτερη ή ανώτατη εκπαίδευση, καθώς και σε Ινστιτούτα Επαγγελματικής Κατάρτισης (Ι.Ε.Κ.), το επίδομα καταβάλλεται μόνο κατά το χρόνο φοίτησής τους που προβλέπεται από τον οργανισμό της κάθε σχολής και σε καμία περίπτωση πέρα από τη συμπλήρωση του 24ου έτους της ηλικίας τους. Επιπλέον, ως εξαρτώμενα τέκνα για θεμελίωση του δικαιώματος λήψης του επιδόματος, λαμβάνονται υπόψη τα τέκνα με ποσοστό αναπηρίας 67% και άνω, καθώς και το απορφανισθέν τέκνο ή τα απορφανισθέντα τέκνα που αποτελούν ιδία οικογένεια και επήλθε θάνατος και των δύο γονέων.</w:t>
      </w:r>
    </w:p>
    <w:p>
      <w:pPr>
        <w:pStyle w:val="MainText"/>
        <w:spacing w:before="120" w:after="0"/>
        <w:rPr>
          <w:lang w:val="el" w:eastAsia="el"/>
        </w:rPr>
      </w:pPr>
      <w:r>
        <w:rPr>
          <w:b/>
          <w:bCs/>
          <w:lang w:val="el" w:eastAsia="el"/>
        </w:rPr>
        <w:t>4.</w:t>
      </w:r>
      <w:r>
        <w:rPr>
          <w:lang w:val="el" w:eastAsia="el"/>
        </w:rPr>
        <w:t xml:space="preserve"> Σε περίπτωση θανάτου του δικαιούχου ή υπαίτιας εγκατάλειψης των τέκνων του και οριστικής διακοπής της συγκατοίκησης ή διαζυγίου, το επίδομα καταβάλλεται σε όποιον έχει την κύρια ή αποκλειστική ευθύνη διατροφής των τέκνων. Το επίδομα καταβάλλεται με τους ίδιους όρους και προϋποθέσεις και στον πατέρα, ο οποίος έχει ένα ή περισσότερα ζώντα τέκνα από διαφορετικούς γάμους, καθώς και τα νομίμως αναγνωρισθέντα ή υιοθετηθέντα από τον ίδιο, εφόσον όμως έχει την αποκλειστική ευθύνη διατροφής τους και η μητέρα δεν επιδοτείται για τα παιδιά της αυτά.</w:t>
      </w:r>
    </w:p>
    <w:p>
      <w:pPr>
        <w:pStyle w:val="MainText"/>
        <w:spacing w:before="120" w:after="0"/>
        <w:rPr>
          <w:lang w:val="el" w:eastAsia="el"/>
        </w:rPr>
      </w:pPr>
      <w:r>
        <w:rPr>
          <w:b/>
          <w:bCs/>
          <w:lang w:val="el" w:eastAsia="el"/>
        </w:rPr>
        <w:t>5.</w:t>
      </w:r>
      <w:r>
        <w:rPr>
          <w:lang w:val="el" w:eastAsia="el"/>
        </w:rPr>
        <w:t xml:space="preserve"> Το ενιαίο επίδομα στήριξης τέκνων χορηγείται κατόπιν αίτησης και καταβάλλεται από την 1η του επόμενου μήνα υποβολής της. Για τη διακοπή του επιδόματος, λόγω συμπλήρωσης των οριζομένων στην παράγραφο 3, κατά περίπτωση, ορίων, ως ημέρα γέννησης των τέκνων θεωρείται η 31η Δεκεμβρίου τους έτους γέννησής τους και, προκειμένου περί φοιτητών ή σπουδαστών, η λήξη του ακαδημαϊκού ή σπουδαστικού έτους.</w:t>
      </w:r>
    </w:p>
    <w:p>
      <w:pPr>
        <w:spacing w:before="240" w:after="240"/>
        <w:rPr>
          <w:lang w:val="el" w:eastAsia="el"/>
        </w:rPr>
      </w:pPr>
      <w:r>
        <w:rPr>
          <w:lang w:val="el" w:eastAsia="el"/>
        </w:rPr>
        <w:t>Ειδικά για την πρώτη εφαρμογή δικαιούχοι είναι όλα τα εξαρτώμενα τέκνα που έχουν γεννηθεί μέχρι την ημερομηνία υποβολής της αίτησης και το δικαίωμα αναγνωρίζεται αναδρομικά:</w:t>
      </w:r>
      <w:r>
        <w:rPr>
          <w:rStyle w:val="Hyperlink"/>
          <w:color w:val="000000"/>
          <w:sz w:val="20"/>
          <w:szCs w:val="20"/>
          <w:u w:val="none" w:color="0000EE"/>
          <w:vertAlign w:val="superscript"/>
          <w:lang w:val="el" w:eastAsia="el"/>
        </w:rPr>
        <w:footnoteReference w:id="174"/>
      </w:r>
    </w:p>
    <w:p>
      <w:pPr>
        <w:pStyle w:val="StructureList1"/>
        <w:spacing w:before="120" w:after="0"/>
        <w:rPr>
          <w:lang w:val="el" w:eastAsia="el"/>
        </w:rPr>
      </w:pPr>
      <w:r>
        <w:rPr>
          <w:lang w:val="el" w:eastAsia="el"/>
        </w:rPr>
        <w:t>αα)</w:t>
      </w:r>
      <w:r>
        <w:rPr>
          <w:lang w:val="en" w:eastAsia="en"/>
        </w:rPr>
        <w:tab/>
      </w:r>
      <w:r>
        <w:rPr>
          <w:lang w:val="el" w:eastAsia="el"/>
        </w:rPr>
        <w:t>από 1.1.2013 για τέκνα γεννημένα μέχρι 31.12.2012 και</w:t>
      </w:r>
      <w:r>
        <w:rPr>
          <w:rStyle w:val="Hyperlink"/>
          <w:color w:val="000000"/>
          <w:sz w:val="20"/>
          <w:szCs w:val="20"/>
          <w:u w:val="none" w:color="0000EE"/>
          <w:vertAlign w:val="superscript"/>
          <w:lang w:val="el" w:eastAsia="el"/>
        </w:rPr>
        <w:footnoteReference w:id="175"/>
      </w:r>
    </w:p>
    <w:p>
      <w:pPr>
        <w:pStyle w:val="StructureList1"/>
        <w:spacing w:before="120" w:after="0"/>
        <w:rPr>
          <w:lang w:val="el" w:eastAsia="el"/>
        </w:rPr>
      </w:pPr>
      <w:r>
        <w:rPr>
          <w:lang w:val="el" w:eastAsia="el"/>
        </w:rPr>
        <w:t>ββ)</w:t>
      </w:r>
      <w:r>
        <w:rPr>
          <w:lang w:val="en" w:eastAsia="en"/>
        </w:rPr>
        <w:tab/>
      </w:r>
      <w:r>
        <w:rPr>
          <w:lang w:val="el" w:eastAsia="el"/>
        </w:rPr>
        <w:t>από την 1η του επόμενου μήνα της γέννησής τους για τέκνα γεννημένα εντός του 2013</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6.</w:t>
      </w:r>
      <w:r>
        <w:rPr>
          <w:lang w:val="el" w:eastAsia="el"/>
        </w:rPr>
        <w:t xml:space="preserve"> Το ενιαίο επίδομα στήριξης τέκνων χορηγείται στις ακόλουθες κατηγορίες προσώπων εφόσον έχουν μόνιμη και συνεχή δεκαετή διαμονή στην Ελλάδα και τα εξαρτώμενα τέκνα τους ευρίσκονται στην Ελλάδα:</w:t>
      </w:r>
    </w:p>
    <w:p>
      <w:pPr>
        <w:pStyle w:val="StructureList1"/>
        <w:spacing w:before="120" w:after="0"/>
        <w:rPr>
          <w:lang w:val="el" w:eastAsia="el"/>
        </w:rPr>
      </w:pPr>
      <w:r>
        <w:rPr>
          <w:lang w:val="el" w:eastAsia="el"/>
        </w:rPr>
        <w:t>α)</w:t>
      </w:r>
      <w:r>
        <w:rPr>
          <w:lang w:val="en" w:eastAsia="en"/>
        </w:rPr>
        <w:tab/>
      </w:r>
      <w:r>
        <w:rPr>
          <w:lang w:val="el" w:eastAsia="el"/>
        </w:rPr>
        <w:t>Έλληνες πολίτες που διαμένουν μόνιμα στην Ελλάδα,</w:t>
      </w:r>
    </w:p>
    <w:p>
      <w:pPr>
        <w:pStyle w:val="StructureList1"/>
        <w:spacing w:before="120" w:after="0"/>
        <w:rPr>
          <w:lang w:val="el" w:eastAsia="el"/>
        </w:rPr>
      </w:pPr>
      <w:r>
        <w:rPr>
          <w:lang w:val="el" w:eastAsia="el"/>
        </w:rPr>
        <w:t>β)</w:t>
      </w:r>
      <w:r>
        <w:rPr>
          <w:lang w:val="en" w:eastAsia="en"/>
        </w:rPr>
        <w:tab/>
      </w:r>
      <w:r>
        <w:rPr>
          <w:lang w:val="el" w:eastAsia="el"/>
        </w:rPr>
        <w:t>ομογενείς αλλοδαπούς που διαμένουν μόνιμα στην Ελλάδα και διαθέτουν δελτίο ομογενούς,</w:t>
      </w:r>
    </w:p>
    <w:p>
      <w:pPr>
        <w:pStyle w:val="StructureList1"/>
        <w:spacing w:before="120" w:after="0"/>
        <w:rPr>
          <w:lang w:val="el" w:eastAsia="el"/>
        </w:rPr>
      </w:pPr>
      <w:r>
        <w:rPr>
          <w:lang w:val="el" w:eastAsia="el"/>
        </w:rPr>
        <w:t>γ)</w:t>
      </w:r>
      <w:r>
        <w:rPr>
          <w:lang w:val="en" w:eastAsia="en"/>
        </w:rPr>
        <w:tab/>
      </w:r>
      <w:r>
        <w:rPr>
          <w:lang w:val="el" w:eastAsia="el"/>
        </w:rPr>
        <w:t>πολίτες κρατών-μελών της Ευρωπαϊκής Ένωσης που διαμένουν μόνιμα στην Ελλάδα,</w:t>
      </w:r>
    </w:p>
    <w:p>
      <w:pPr>
        <w:pStyle w:val="StructureList1"/>
        <w:spacing w:before="120" w:after="0"/>
        <w:rPr>
          <w:lang w:val="el" w:eastAsia="el"/>
        </w:rPr>
      </w:pPr>
      <w:r>
        <w:rPr>
          <w:lang w:val="el" w:eastAsia="el"/>
        </w:rPr>
        <w:t>δ)</w:t>
      </w:r>
      <w:r>
        <w:rPr>
          <w:lang w:val="en" w:eastAsia="en"/>
        </w:rPr>
        <w:tab/>
      </w:r>
      <w:r>
        <w:rPr>
          <w:lang w:val="el" w:eastAsia="el"/>
        </w:rPr>
        <w:t>πολίτες των χωρών που ανήκουν στον Ευρωπαϊκό Οικονομικό Χώρο (Νορβηγία, Ισλανδία και Λιχτενστάιν) και Ελβετούς πολίτες που διαμένουν μόνιμα στην Ελλάδα,</w:t>
      </w:r>
    </w:p>
    <w:p>
      <w:pPr>
        <w:pStyle w:val="StructureList1"/>
        <w:spacing w:before="120" w:after="0"/>
        <w:rPr>
          <w:lang w:val="el" w:eastAsia="el"/>
        </w:rPr>
      </w:pPr>
      <w:r>
        <w:rPr>
          <w:lang w:val="el" w:eastAsia="el"/>
        </w:rPr>
        <w:t>ε)</w:t>
      </w:r>
      <w:r>
        <w:rPr>
          <w:lang w:val="en" w:eastAsia="en"/>
        </w:rPr>
        <w:tab/>
      </w:r>
      <w:r>
        <w:rPr>
          <w:lang w:val="el" w:eastAsia="el"/>
        </w:rPr>
        <w:t>αναγνωρισμένους πρόσφυγες που διαμένουν μόνιμα στην Ελλάδα, των οποίων το καθεστώς παραμονής στην Ελλάδα διέπεται από τις διατάξεις της Σύμβασης του 1951 για το Καθεστώς των Προσφύγων (Ν.Δ. 3989/1959, Α΄201), όπως τροποποιήθηκε από το Πρωτόκολλο της Νέας Υόρκης του 1967 για το Καθεστώς των Προσφύγων (α.ν. 389/1968, Α΄125),</w:t>
      </w:r>
    </w:p>
    <w:p>
      <w:pPr>
        <w:pStyle w:val="StructureList1"/>
        <w:spacing w:before="120" w:after="0"/>
        <w:rPr>
          <w:lang w:val="el" w:eastAsia="el"/>
        </w:rPr>
      </w:pPr>
      <w:r>
        <w:rPr>
          <w:lang w:val="el" w:eastAsia="el"/>
        </w:rPr>
        <w:t>στ)</w:t>
      </w:r>
      <w:r>
        <w:rPr>
          <w:lang w:val="en" w:eastAsia="en"/>
        </w:rPr>
        <w:tab/>
      </w:r>
      <w:r>
        <w:rPr>
          <w:lang w:val="el" w:eastAsia="el"/>
        </w:rPr>
        <w:t>ανιθαγενείς, των οποίων το καθεστώς παραμονής στην Ελλάδα διέπεται από τις διατάξεις της Σύμβασης του 1954 για το Καθεστώς των Ανιθαγενών (Ν. 139/1975, Α΄ 176),</w:t>
      </w:r>
    </w:p>
    <w:p>
      <w:pPr>
        <w:pStyle w:val="StructureList1"/>
        <w:spacing w:before="120" w:after="0"/>
        <w:rPr>
          <w:lang w:val="el" w:eastAsia="el"/>
        </w:rPr>
      </w:pPr>
      <w:r>
        <w:rPr>
          <w:lang w:val="el" w:eastAsia="el"/>
        </w:rPr>
        <w:t>ζ)</w:t>
      </w:r>
      <w:r>
        <w:rPr>
          <w:lang w:val="en" w:eastAsia="en"/>
        </w:rPr>
        <w:tab/>
      </w:r>
      <w:r>
        <w:rPr>
          <w:lang w:val="el" w:eastAsia="el"/>
        </w:rPr>
        <w:t>δικαιούχους του ανθρωπιστικού καθεστώτος,</w:t>
      </w:r>
    </w:p>
    <w:p>
      <w:pPr>
        <w:pStyle w:val="StructureList1"/>
        <w:spacing w:before="120" w:after="0"/>
        <w:rPr>
          <w:lang w:val="el" w:eastAsia="el"/>
        </w:rPr>
      </w:pPr>
      <w:r>
        <w:rPr>
          <w:lang w:val="el" w:eastAsia="el"/>
        </w:rPr>
        <w:t>η)</w:t>
      </w:r>
      <w:r>
        <w:rPr>
          <w:lang w:val="en" w:eastAsia="en"/>
        </w:rPr>
        <w:tab/>
      </w:r>
      <w:r>
        <w:rPr>
          <w:lang w:val="el" w:eastAsia="el"/>
        </w:rPr>
        <w:t>πολίτες άλλων κρατών που διαμένουν νόμιμα και μόνιμα στην Ελλάδα και είναι γονείς τέκνων ελληνικής υπηκοότητας.</w:t>
      </w:r>
    </w:p>
    <w:p>
      <w:pPr>
        <w:pStyle w:val="MainText"/>
        <w:spacing w:before="120" w:after="0"/>
        <w:rPr>
          <w:lang w:val="el" w:eastAsia="el"/>
        </w:rPr>
      </w:pPr>
      <w:r>
        <w:rPr>
          <w:b/>
          <w:bCs/>
          <w:lang w:val="el" w:eastAsia="el"/>
        </w:rPr>
        <w:t>7.</w:t>
      </w:r>
      <w:r>
        <w:rPr>
          <w:lang w:val="el" w:eastAsia="el"/>
        </w:rPr>
        <w:t xml:space="preserve"> Το επίδομα της παρούσας υποπαραγράφου δεν προσμετράται στο καθαρό, ετήσιο, οικογενειακό εισόδημα και απαλλάσσεται από κάθε φόρο, τέλος, εισφορά ή κράτηση υπέρ του Δημοσίου ή τρίτου.</w:t>
      </w:r>
    </w:p>
    <w:p>
      <w:pPr>
        <w:pStyle w:val="MainText"/>
        <w:spacing w:before="120" w:after="0"/>
        <w:rPr>
          <w:lang w:val="el" w:eastAsia="el"/>
        </w:rPr>
      </w:pPr>
      <w:r>
        <w:rPr>
          <w:b/>
          <w:bCs/>
          <w:lang w:val="el" w:eastAsia="el"/>
        </w:rPr>
        <w:t>8.</w:t>
      </w:r>
      <w:r>
        <w:rPr>
          <w:lang w:val="el" w:eastAsia="el"/>
        </w:rPr>
        <w:t xml:space="preserve"> Με κοινή απόφαση των Υπουργών Οικονομικών και Εργασίας, Κοινωνικής Ασφάλισης και Πρόνοιας ρυθμίζονται τα θέματα διαδικασίας χορήγησης και καταβολής του επιδόματος και ο φορέας καταβολής του. Με όμοιες αποφάσεις δύναται να επανακαθοριστεί η εντεταλμένη αρχή καταβολής και να αναπροσαρμοστεί το ύψος των επιδομάτων της παρούσας διάταξης.</w:t>
      </w:r>
    </w:p>
    <w:p>
      <w:pPr>
        <w:pStyle w:val="MainText"/>
        <w:spacing w:before="120" w:after="0"/>
        <w:rPr>
          <w:lang w:val="el" w:eastAsia="el"/>
        </w:rPr>
      </w:pPr>
      <w:r>
        <w:rPr>
          <w:b/>
          <w:bCs/>
          <w:lang w:val="el" w:eastAsia="el"/>
        </w:rPr>
        <w:t>9.</w:t>
      </w:r>
      <w:r>
        <w:rPr>
          <w:lang w:val="el" w:eastAsia="el"/>
        </w:rPr>
        <w:t xml:space="preserve"> Με απόφαση του Υπουργού Εργασίας, Κοινωνικής Ασφάλισης και Πρόνοιας ρυθμίζεται και κάθε θέμα σχετικό με την εφαρμογή της παρούσας υποπαραγράφου.</w:t>
      </w:r>
    </w:p>
    <w:p>
      <w:pPr>
        <w:pStyle w:val="MainText"/>
        <w:spacing w:before="120" w:after="0"/>
        <w:rPr>
          <w:lang w:val="el" w:eastAsia="el"/>
        </w:rPr>
      </w:pPr>
      <w:r>
        <w:rPr>
          <w:b/>
          <w:bCs/>
          <w:lang w:val="el" w:eastAsia="el"/>
        </w:rPr>
        <w:t>10.</w:t>
      </w:r>
      <w:r>
        <w:rPr>
          <w:lang w:val="el" w:eastAsia="el"/>
        </w:rPr>
        <w:t xml:space="preserve"> Οι σχετικές πιστώσεις εγγράφονται στον προϋπολογισμό του Υπουργείου Εργασίας, Κοινωνικής Ασφάλισης και Πρόνοιας.</w:t>
      </w:r>
    </w:p>
    <w:p>
      <w:pPr>
        <w:pStyle w:val="MainText"/>
        <w:spacing w:before="120" w:after="0"/>
        <w:rPr>
          <w:lang w:val="el" w:eastAsia="el"/>
        </w:rPr>
      </w:pPr>
      <w:r>
        <w:rPr>
          <w:b/>
          <w:bCs/>
          <w:lang w:val="el" w:eastAsia="el"/>
        </w:rPr>
        <w:t>11.</w:t>
      </w:r>
      <w:r>
        <w:rPr>
          <w:lang w:val="el" w:eastAsia="el"/>
        </w:rPr>
        <w:t xml:space="preserve"> Το εισοδηματικό κριτήριο της παραγράφου 22 του άρθρου 27 του Ν. 4052/2012 αναφέρεται στο καθαρό, ετήσιο, οικογενειακό εισόδημα (φορολογητέο εισόδημα) του έτους 2011, όπως αυτό δηλώθηκε στη φορολογική δήλωση των δικαιούχων. Η διάταξη αυτή εφαρμόζεται υποχρεωτικά για τις καταβολές του τελευταίου διμήνου του 2012. Τυχόν καταβολές που έγιναν μέχρι τη δημοσίευση του παρόντος νόμου σε υπερβαίνοντες τα όρια της παραγράφου 22 του άρθρου 27 του Ν. 4052/2012 δεν αναζητούνται.</w:t>
      </w:r>
    </w:p>
    <w:p>
      <w:pPr>
        <w:pStyle w:val="MainText"/>
        <w:spacing w:before="120" w:after="0"/>
        <w:rPr>
          <w:lang w:val="el" w:eastAsia="el"/>
        </w:rPr>
      </w:pPr>
      <w:r>
        <w:rPr>
          <w:b/>
          <w:bCs/>
          <w:lang w:val="el" w:eastAsia="el"/>
        </w:rPr>
        <w:t>12.</w:t>
      </w:r>
      <w:r>
        <w:rPr>
          <w:lang w:val="el" w:eastAsia="el"/>
        </w:rPr>
        <w:t xml:space="preserve"> Οι παράγραφοι 1 και 4 του άρθρου 63 του Ν. 1892/1990 και η παράγραφος 1 του άρθρου 1 του Ν. 3454/2006 , όπως τροποποιήθηκαν και ισχύουν, καθώς και η κατ΄ εξουσιοδότηση εκδοθείσα νομοθεσία, καταργούνται από 1.11.2012.</w:t>
      </w:r>
    </w:p>
    <w:p>
      <w:pPr>
        <w:pStyle w:val="MainText"/>
        <w:spacing w:before="120" w:after="0"/>
        <w:rPr>
          <w:lang w:val="el" w:eastAsia="el"/>
        </w:rPr>
      </w:pPr>
      <w:r>
        <w:rPr>
          <w:b/>
          <w:bCs/>
          <w:lang w:val="el" w:eastAsia="el"/>
        </w:rPr>
        <w:t>13.</w:t>
      </w:r>
      <w:r>
        <w:rPr>
          <w:lang w:val="el" w:eastAsia="el"/>
        </w:rPr>
        <w:t xml:space="preserve"> Η παράγραφος 3 του άρθρου 21 του Ν. 4025/2011 και η παράγραφος 22 του άρθρου 27 του Ν. 4052/2012 , όπως τροποποιήθηκαν και ισχύουν, καταργούνται από 1.1.2013.</w:t>
      </w:r>
    </w:p>
    <w:p>
      <w:pPr>
        <w:pStyle w:val="MainText"/>
        <w:spacing w:before="120" w:after="0"/>
        <w:rPr>
          <w:lang w:val="el" w:eastAsia="el"/>
        </w:rPr>
      </w:pPr>
      <w:r>
        <w:rPr>
          <w:b/>
          <w:bCs/>
          <w:lang w:val="el" w:eastAsia="el"/>
        </w:rPr>
        <w:t>14.</w:t>
      </w:r>
      <w:r>
        <w:rPr>
          <w:lang w:val="el" w:eastAsia="el"/>
        </w:rPr>
        <w:t xml:space="preserve"> Το άρθρο 63 του Ν. 1892/1990 , η παράγραφος 1 του άρθρου 1 του Ν. 3454/2006 , το άρθρο 6 του Ν. 3631/2008 , τα άρθρα 42 και 43 του Ν. 3918/2011 , όπως τροποποιήθηκαν και ισχύουν, παύουν να ισχύουν από την έναρξη εφαρμογής της παρούσας διάταξης, όσο αφορά στη χορήγηση και καταβολή των προϋφιστάμενων οικογενειακών επιδομάτων. Ομοίως καταργούνται και οι κατ΄ εξουσιοδότηση των ανωτέρω υπουργικές αποφάσεις και κάθε άλλη απόφαση με την οποία ρυθμίζεται η καταβολή των επιδομάτων που αντικαθίστανται με το ενιαίο επίδομα στήριξης τέκνων.</w:t>
      </w:r>
    </w:p>
    <w:p>
      <w:pPr>
        <w:pStyle w:val="MainText"/>
        <w:spacing w:before="120" w:after="0"/>
        <w:rPr>
          <w:lang w:val="el" w:eastAsia="el"/>
        </w:rPr>
      </w:pPr>
      <w:r>
        <w:rPr>
          <w:b/>
          <w:bCs/>
          <w:lang w:val="el" w:eastAsia="el"/>
        </w:rPr>
        <w:t>15.</w:t>
      </w:r>
      <w:r>
        <w:rPr>
          <w:lang w:val="el" w:eastAsia="el"/>
        </w:rPr>
        <w:t xml:space="preserve"> Κάθε διάταξη που αντίκειται στις διατάξεις της παρούσας υποπαραγράφου παύει να ισχύει από την έναρξη εφαρμογής της, όσο αφορά στη χορήγηση και καταβολή των προϋφιστάμενων οικογενειακών επιδομάτων. Το αφορολόγητο ποσό της παρ. 2 του άρθρου 9 του Ν. 2238/1994 (Α΄151) αντικαθίσταται από το προβλεπόμενο σε αυτή την υποπαράγραφο επίδομα από 1ης Ιανουαρίου 2013.</w:t>
      </w:r>
    </w:p>
    <w:p>
      <w:pPr>
        <w:pStyle w:val="MainText"/>
        <w:spacing w:before="120" w:after="0"/>
        <w:rPr>
          <w:lang w:val="el" w:eastAsia="el"/>
        </w:rPr>
      </w:pPr>
      <w:r>
        <w:rPr>
          <w:b/>
          <w:bCs/>
          <w:lang w:val="el" w:eastAsia="el"/>
        </w:rPr>
        <w:t>16.</w:t>
      </w:r>
      <w:r>
        <w:rPr>
          <w:lang w:val="el" w:eastAsia="el"/>
        </w:rPr>
        <w:t xml:space="preserve"> Η εφαρμογή των διατάξεων της παρούσας υποπαραγράφου άρχεται την 1.1.2013 εκτός αν ορίζεται άλλως στις προηγούμενες παραγράφους.</w:t>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pStyle w:val="MainText"/>
        <w:spacing w:before="120" w:after="0"/>
        <w:rPr>
          <w:lang w:val="el" w:eastAsia="el"/>
        </w:rPr>
      </w:pPr>
      <w:r>
        <w:rPr>
          <w:b/>
          <w:bCs/>
          <w:lang w:val="el" w:eastAsia="el"/>
        </w:rPr>
        <w:t>7.</w:t>
      </w:r>
      <w:r>
        <w:rPr>
          <w:lang w:val="el" w:eastAsia="el"/>
        </w:rPr>
        <w:t xml:space="preserve"> Όπου από τις κείμενες διατάξεις του ΟΓΑ αναφέρεται το 64ο έτος της ηλικίας αντικαθίσταται από το 66ο και όπου το 65ο από το 67ο.</w:t>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και του Δημοσίου. Από 1.1.2013 μέχρι την 30.6.2013 οι πληρωμές των συντάξεων διενεργούνται από τους Φορείς Κοινωνικής Ασφάλισης, μετά την ολοκλήρωση της διαδικασίας των επόμενων παραγράφων.</w:t>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Φορείς Κοινωνικής Ασφάλισης εποπτείας Υπουργείων Εργασίας, Κοινωνικής Ασφάλισης και Πρόνοιας, Εθνικής `Αμυνας και το Δημόσιο αποστέλλουν έως 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p>
    <w:p>
      <w:pPr>
        <w:spacing w:before="240" w:after="240"/>
        <w:rPr>
          <w:lang w:val="el" w:eastAsia="el"/>
        </w:rPr>
      </w:pPr>
      <w:r>
        <w:rPr>
          <w:lang w:val="el" w:eastAsia="el"/>
        </w:rPr>
        <w:t>Οι Φορείς Κοινωνικής Ασφάλισης πραγματοποιούν τις μεταβολές των ποσών συντάξεων για τις οποίες έχουν ενημερωθεί από την Η.ΔΙ.Κ.Α. Α.Ε..</w:t>
      </w:r>
    </w:p>
    <w:p>
      <w:pPr>
        <w:spacing w:before="240" w:after="240"/>
        <w:rPr>
          <w:lang w:val="el" w:eastAsia="el"/>
        </w:rPr>
      </w:pPr>
      <w:r>
        <w:rPr>
          <w:lang w:val="el" w:eastAsia="el"/>
        </w:rPr>
        <w:t>Με απόφαση του Υπουργού Εργασίας, Κοινωνικής Ασφάλισης και Πρόνοιας, μετά από γνώμη του Δ.Σ. της Η.ΔΙ.Κ.Α. Α.Ε., του Σ.Κ.Α. και γνώμη της Γ.Γ.Π.Σ. που εκδίδεται εντός δεκαπέντε (15) ημερών από τη δημοσίευση του νόμου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w:t>
      </w:r>
    </w:p>
    <w:p>
      <w:pPr>
        <w:spacing w:before="240" w:after="240"/>
        <w:rPr>
          <w:lang w:val="el" w:eastAsia="el"/>
        </w:rPr>
      </w:pPr>
      <w:r>
        <w:rPr>
          <w:lang w:val="el" w:eastAsia="el"/>
        </w:rPr>
        <w:t>ΑΕ. και Γ.Γ.Π.Σ., καθώς και κάθε άλλο σχετικό θέμα για την υλοποίηση του παρόντος.</w:t>
      </w:r>
    </w:p>
    <w:p>
      <w:pPr>
        <w:spacing w:before="240" w:after="240"/>
        <w:rPr>
          <w:lang w:val="el" w:eastAsia="el"/>
        </w:rPr>
      </w:pPr>
      <w:r>
        <w:rPr>
          <w:lang w:val="el" w:eastAsia="el"/>
        </w:rPr>
        <w:t>Σε περίπτωση μη συμμόρφωσης των Ασφαλιστικών Οργανισμών με την έγκαιρη και ορθή αποστολή των απαραίτητων στοιχείων για τον υπολογισμό των συντάξεων, είτε δεν εφαρμόζουν τις περικοπές σύμφωνα με τους υπολογισμούς της ΗΔΙΚΑ, θα γίνεται αναστολή της επιχορήγησης τους για το αντίστοιχο χρονικό διάστημα. Αν το μη συμμορφούμενο ταμείο δεν επιχορηγείται από τον κρατικό προϋπολογισμό αναστέλλεται η καταβολή της μισθοδοσίας των υπαλλήλων του μέχρι την συμμόρφωση με τη διάταξη του άρθρου αυτού.</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Κάθε αντίθετη διάταξη καταργείται.</w:t>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Όλες οι σύμφωνα με την κείμενη νομοθεσία φορ-τοεκφορτωτικές εργασίες, ανεξάρτητα από το νομικό καθεστώς της χρήσης του τόπου φόρτωσης (όπως για παράδειγμα είναι οι κεντρικές αγορές, τα λιμάνια κ.λπ.) εκφόρτωσης, μεταφοράς και στοιβασίας των εμπορευμάτων ή άλλων κινητών πραγμάτων, διενεργούνται από εργαζομένους που είναι εφοδιασμένοι με τη βεβαίωση της παραγράφου 4 του παρόντος. Από το πεδίο εφαρμογής της παρούσας εξαιρούνται οι λιμενικές ζώνες Πειραιώς και Θεσσαλονίκης.</w:t>
      </w:r>
    </w:p>
    <w:p>
      <w:pPr>
        <w:pStyle w:val="MainText"/>
        <w:spacing w:before="120" w:after="0"/>
        <w:rPr>
          <w:lang w:val="el" w:eastAsia="el"/>
        </w:rPr>
      </w:pPr>
      <w:r>
        <w:rPr>
          <w:b/>
          <w:bCs/>
          <w:lang w:val="el" w:eastAsia="el"/>
        </w:rPr>
        <w:t>2.</w:t>
      </w:r>
      <w:r>
        <w:rPr>
          <w:lang w:val="el" w:eastAsia="el"/>
        </w:rPr>
        <w:t xml:space="preserve"> Κατ΄ εξαίρεση, δεν απαιτείται να εκτελούνται από εργαζομένους που διαθέτουν τη βεβαίωση της παραγράφου 4 του παρόντος οι ακόλουθες κατηγορίες φορ-τοεκφορτωτικών εργασιών: α) Φορτώσεις γεωργικών και κτηνοτροφικών προϊόντων, λιπασμάτων, γεωργικών εφοδίων ή άλλων ειδών που ανήκουν στους παραγωγούς από τους τόπους παραγωγής προς χώρους αποθήκευσης για λογαριασμό των παραγωγών. β) Φορτώσεις ή εκφορτώσεις ειδών σε χώρους βιομηχανικής παραγωγής.</w:t>
      </w:r>
    </w:p>
    <w:p>
      <w:pPr>
        <w:pStyle w:val="MainText"/>
        <w:spacing w:before="120" w:after="0"/>
        <w:rPr>
          <w:lang w:val="el" w:eastAsia="el"/>
        </w:rPr>
      </w:pPr>
      <w:r>
        <w:rPr>
          <w:b/>
          <w:bCs/>
          <w:lang w:val="el" w:eastAsia="el"/>
        </w:rPr>
        <w:t>3.</w:t>
      </w:r>
      <w:r>
        <w:rPr>
          <w:lang w:val="el" w:eastAsia="el"/>
        </w:rPr>
        <w:t xml:space="preserve"> Για τους φορτοεκφορτωτές που δεν απασχολούνται με σχέση εξαρτημένης εργασίας η αμοιβή τους συμφωνείται ελευθέρως με τον φορτοπαραλήπτη. Σε κάθε άλλη περίπτωση εφαρμόζονται οι διατάξεις της κείμενης εργατικής νομοθεσίας. Οι κανονισμοί διεξαγωγής των φορτοεκφορτωτικών εργασιών καταρτίζονται με Συλλογικές Συμβάσεις Εργασίας (Σ.Σ.Ε.) και σε περίπτωση που δεν υπάρχουν Σ.Σ.Ε., για μεν τα λιμάνια με κοινή υπουργική απόφαση των Υπουργών Εργασίας, Κοινωνικής Ασφάλισης και Πρόνοιας και Ναυτιλίας και Αιγαίου, για την ξηρά με απόφαση του Υπουργού Εργασίας, Κοινωνικής Ασφάλισης και Πρόνοιας. Ως προς την κοινωνικοασφαλιστική προστασία αυτών, οι φορτοεκφορτωτές ασφαλίζονται στο ΙΚΑ-ΕΤΑΜ και η ασφαλιστική τους σχέση διέπεται από την οικεία νομοθεσία που διέπει το ΙΚΑ-ΕΤΑΜ και τους κανονισμούς αυτού.</w:t>
      </w:r>
    </w:p>
    <w:p>
      <w:pPr>
        <w:pStyle w:val="MainText"/>
        <w:spacing w:before="120" w:after="0"/>
        <w:rPr>
          <w:lang w:val="el" w:eastAsia="el"/>
        </w:rPr>
      </w:pPr>
      <w:r>
        <w:rPr>
          <w:b/>
          <w:bCs/>
          <w:lang w:val="el" w:eastAsia="el"/>
        </w:rPr>
        <w:t>4.</w:t>
      </w:r>
      <w:r>
        <w:rPr>
          <w:lang w:val="el" w:eastAsia="el"/>
        </w:rPr>
        <w:t xml:space="preserve"> α. Για την άσκηση του επαγγέλματος του φορτοεκφορτωτή ξηράς ή λιμένος απαιτούνται να συντρέχουν σωρευτικά στο πρόσωπο του ενδιαφερομένου οι ακόλουθες προϋποθέσεις: αα) Είναι Έλληνας πολίτης ή ομογενής ή πολίτης κράτους - μέλους της Ευρωπαϊκής Ένωσης ή υπήκοος τρίτης χώρας που εντάσσεται στο πεδίο εφαρμογής της Οδηγίας 2003/109/ΕΚ του Συμβουλίου της 25ης Νοεμβρίου 2003 και στον οποίο έχει χορηγηθεί το καθεστώς επί μακρόν διαμένοντος στην Ελλάδα, εφόσον για τον τελευταίο δεν συντρέχει κώλυμα δημόσιας τάξης ή δημόσιας ασφάλειας ή δημόσιας υγείας, ββ) έχει συμπληρώσει το 18ο έτος της ηλικίας του, γγ) είναι υγιής και γενικώς ικανός και κατάλληλος για την άσκηση του επαγγέλματος, βάσει ιατρικής γνωμάτευσης των υγειονομικών επιτροπών του ΕΟΠΠΥ, δδ) δεν έχει καταδικαστεί ή δεν διώκεται ποινικά για εγκλήματα κατά της ασφάλειας των μεταφορών, σωματεμπορία, λαθρεμπόριο και εγκλήματα κατά της δημόσιας ή της ιδιωτικής περιουσίας.</w:t>
      </w:r>
    </w:p>
    <w:p>
      <w:pPr>
        <w:spacing w:before="240" w:after="240"/>
        <w:rPr>
          <w:lang w:val="el" w:eastAsia="el"/>
        </w:rPr>
      </w:pPr>
      <w:r>
        <w:rPr>
          <w:lang w:val="el" w:eastAsia="el"/>
        </w:rPr>
        <w:t>β. αα) Οι ενδιαφερόμενοι που πληρούν τις ως άνω προϋποθέσεις υποβάλλουν, σε έντυπη ή ηλεκτρονική μορφή, αναγγελία έναρξης άσκησης του επαγγέλματος του φορτοεκφορτωτή ξηράς ή λιμένος, επισυνάπτοντας φάκελο με τα απαιτούμενα δικαιολογητικά, στο Τμήμα Φορτοεκφορτωτών της Διεύθυνσης Αμοιβής του Υπουργείου Εργασίας, Κοινωνικής Ασφάλισης και Πρόνοιας, ως αρμόδιας υπηρεσίας. Η υπηρεσία προχωρεί στην εξέταση των δικαιολογητικών και σε περίπτωση συνδρομής των σχετικών προϋποθέσεων καταχωρεί τον ενδιαφερόμενο στο Εθνικό Μητρώο Φορτοεκφορτωτών, που λειτουργεί στο Τμήμα Φορτοεκφορτωτών του Υπουργείου Εργασίας, Κοινωνικής Ασφάλισης και Πρόνοιας και εκδίδει υποχρεωτικά βεβαίωση, εντός αποκλειστικής δεκαήμερης προθεσμίας από την ημερομηνία υποβολής της αναγγελίας και της κατάθεσης όλων των δικαιολογητικών.</w:t>
      </w:r>
    </w:p>
    <w:p>
      <w:pPr>
        <w:pStyle w:val="StructureList1"/>
        <w:spacing w:before="120" w:after="0"/>
        <w:rPr>
          <w:lang w:val="el" w:eastAsia="el"/>
        </w:rPr>
      </w:pPr>
      <w:r>
        <w:rPr>
          <w:lang w:val="el" w:eastAsia="el"/>
        </w:rPr>
        <w:t>ββ)</w:t>
      </w:r>
      <w:r>
        <w:rPr>
          <w:lang w:val="en" w:eastAsia="en"/>
        </w:rPr>
        <w:tab/>
      </w:r>
      <w:r>
        <w:rPr>
          <w:lang w:val="el" w:eastAsia="el"/>
        </w:rPr>
        <w:t>Το Εθνικό Μητρώο Φορτοεκφορτωτών λειτουργεί ως δημόσιος κόμβος πιστοποίησης των προϋποθέσεων για τη νόμιμη άσκηση του επαγγέλματος του φορτοεκφορτωτή, σύμφωνα με τους όρους και τις προϋποθέσεις της περίπτωσης α΄ της παραγράφου 4 του παρόντος άρθρου, καθώς και ενημέρωσης των ενδιαφερομένων για την απασχόληση στον κλάδο. Το Εθνικό Μητρώο Φορτοεκφορτωτών θα λειτουργεί από 15.4.2013 αποκλειστικά ηλεκτρονικά.</w:t>
      </w:r>
    </w:p>
    <w:p>
      <w:pPr>
        <w:spacing w:before="240" w:after="240"/>
        <w:rPr>
          <w:lang w:val="el" w:eastAsia="el"/>
        </w:rPr>
      </w:pPr>
      <w:r>
        <w:rPr>
          <w:lang w:val="el" w:eastAsia="el"/>
        </w:rPr>
        <w:t>Ειδικότερα, το Εθνικό Μητρώο Φορτοεκφορτωτών περιλαμβάνει δύο επίπεδα:</w:t>
      </w:r>
    </w:p>
    <w:p>
      <w:pPr>
        <w:spacing w:before="240" w:after="240"/>
        <w:rPr>
          <w:lang w:val="el" w:eastAsia="el"/>
        </w:rPr>
      </w:pPr>
      <w:r>
        <w:rPr>
          <w:lang w:val="el" w:eastAsia="el"/>
        </w:rPr>
        <w:t>(α) Το Μητρώο Α΄ (Εισαγωγικό) αφορά τα πρόσωπα εκείνα που εκτελούν τις φορτοεκφορτωτικές εργασίες της παραγράφου 1 του παρόντος άρθρου, εξαιρουμένων του χειρισμού μηχανημάτων και οχημάτων φορτοεκφόρτωσης, του χειρισμού ειδικών ή επικίνδυνων φορτίων και της διενέργειας εξειδικευμένων φορτοεκφορτωτι-κών εργασιών, όπως θα εξειδικευθεί με κοινή απόφαση των Υπουργών Εργασίας, Κοινωνικής Ασφάλισης και Πρόνοιας και Ναυτιλίας και Αιγαίου. Στο Μητρώο αυτό εγγράφονται όλα ανεξαιρέτως τα πρόσωπα που πληρούν τις προϋποθέσεις του εδαφίου α΄ της παραγράφου 4 του παρόντος άρθρου και θα παρακολουθούν υποχρεωτικά ειδικό πρόγραμμα κατάρτισης σε θέματα υγιεινής και ασφάλειας της φορτοεκφορτωτικής εργασίας σύμφωνα με το άρθρο 12 της Οδηγίας 391/1989/ΕΚ, όπως θα εξειδικευθεί με απόφαση των Υπουργών Εργασίας, Κοινωνικής Ασφάλισης και Πρόνοιας και Παιδείας και Θρησκευμάτων, Πολιτισμού και Αθλητισμού και Ναυτιλίας και Αιγαίου.</w:t>
      </w:r>
    </w:p>
    <w:p>
      <w:pPr>
        <w:spacing w:before="240" w:after="240"/>
        <w:rPr>
          <w:lang w:val="el" w:eastAsia="el"/>
        </w:rPr>
      </w:pPr>
      <w:r>
        <w:rPr>
          <w:lang w:val="el" w:eastAsia="el"/>
        </w:rPr>
        <w:t>(β) Το Μητρώο Β΄ αφορά τα πρόσωπα εκείνα που εκτελούν τις πάσης φύσεως φορτοεκφορτωτικές εργασίες της παραγράφου 1 του παρόντος άρθρου ανάλογα με την πιστοποιημένη εξειδίκευσή τους. Προκειμένου να εγγραφούν στο Μητρώο Β΄, οι ενδιαφερόμενοι και εγγεγραμμένοι στο Μητρώο Α΄ πρέπει να έχουν πιστοποιηθεί σύμφωνα με τον ΕΟΠΠΕΠ με βάση τις προδιαγραφές που προβλέπει το Επαγγελματικό Περίγραμμα «Φορτωτή - Εκφορτωτή Λιμένος και Ξηράς».</w:t>
      </w:r>
    </w:p>
    <w:p>
      <w:pPr>
        <w:spacing w:before="240" w:after="240"/>
        <w:rPr>
          <w:lang w:val="el" w:eastAsia="el"/>
        </w:rPr>
      </w:pPr>
      <w:r>
        <w:rPr>
          <w:lang w:val="el" w:eastAsia="el"/>
        </w:rPr>
        <w:t>Με απόφαση των Υπουργών Εργασίας, Κοινωνικής Ασφάλισης και Πρόνοιας και Παιδείας και Θρησκευμάτων, Πολιτισμού και Αθλητισμού και Ναυτιλίας και Αιγαίου, θα καθορισθούν οι λεπτομέρειες που αφορούν, τις προϋποθέσεις και τη διαδικασία της πιστοποίησης, καθώς και το περιεχόμενο, τη διάρκεια, τις διαδικασίες υλοποίησης, τις πηγές χρηματοδότησης και κάθε άλλο θέμα που αφορά στην υλοποίηση προγραμμάτων επαγγελματικής κατάρτισης που μπορούν να οδηγήσουν στη λήψη της πιστοποίησης. Τα τυχόν διαθέσιμα του πρώην Λ.Π.Φ.Λ. κατά τη στιγμή της δημοσιεύσεως του παρόντος μπορούν να διατίθενται για τους παραπάνω σκοπούς με κοινές αποφάσεις των Υπουργών Οικονομικών, Εργασίας, Κοινωνικής Ασφάλισης και Πρόνοιας και Ναυτιλίας και Αιγαίου.</w:t>
      </w:r>
    </w:p>
    <w:p>
      <w:pPr>
        <w:spacing w:before="240" w:after="240"/>
        <w:rPr>
          <w:lang w:val="el" w:eastAsia="el"/>
        </w:rPr>
      </w:pPr>
      <w:r>
        <w:rPr>
          <w:lang w:val="el" w:eastAsia="el"/>
        </w:rPr>
        <w:t>Με απόφαση του Υπουργού Εργασίας, Κοινωνικής Ασφάλισης και Πρόνοιας και όποιου τυχόν άλλου συναρμόδιου Υπουργού κατά περίπτωση απαιτείται, που εκδίδεται έπειτα από εισήγηση της Διεύθυνσης Αμοιβής του Υπουργείου Εργασίας, Κοινωνικής Ασφάλισης και Πρόνοιας, ρυθμίζονται όλα τα ειδικότερα θέματα οργά</w:t>
      </w:r>
      <w:r>
        <w:rPr>
          <w:lang w:val="el" w:eastAsia="el"/>
        </w:rPr>
        <w:softHyphen/>
        <w:t>νωσης και λειτουργίας του Εθνικού Μητρώου Φορτοεκφορτωτών, το περιεχόμενο και ο τύπος της βεβαίωσης φορτοεκφορτωτή ξηράς και λιμένος, καθώς και κάθε άλλο σχετικό θέμα και λεπτομέρεια.</w:t>
      </w:r>
    </w:p>
    <w:p>
      <w:pPr>
        <w:spacing w:before="240" w:after="240"/>
        <w:rPr>
          <w:lang w:val="el" w:eastAsia="el"/>
        </w:rPr>
      </w:pPr>
      <w:r>
        <w:rPr>
          <w:lang w:val="el" w:eastAsia="el"/>
        </w:rPr>
        <w:t>γ. Οι ενδιαφερόμενοι ενημερώνονται άμεσα με την υποβολή της αναγγελίας στην αρμόδια υπηρεσία του Υπουργείου Εργασίας, Κοινωνικής Ασφάλισης και Πρόνοιας ότι δεν μπορούν να ασκήσουν νόμιμα το επάγγελμα του φορτοεκφορτωτή ξηράς ή λιμένος πριν τη χορήγηση της σχετικής βεβαίωσης ή την άπρακτη παρέλευση της δεκαήμερης αποκλειστικής προθεσμίας.</w:t>
      </w:r>
    </w:p>
    <w:p>
      <w:pPr>
        <w:spacing w:before="240" w:after="240"/>
        <w:rPr>
          <w:lang w:val="el" w:eastAsia="el"/>
        </w:rPr>
      </w:pPr>
      <w:r>
        <w:rPr>
          <w:lang w:val="el" w:eastAsia="el"/>
        </w:rPr>
        <w:t>δ. Σε περίπτωση μη συνδρομής των σχετικών προϋποθέσεων, η υπηρεσία ενημερώνει τον ενδιαφερόμενο ότι δεν μπορεί να του χορηγηθεί η σχετική βεβαίωση και επομένως αυτός δεν μπορεί να ασκήσει νόμιμα το επάγγελμα του φορτοεκφορτωτή ξηράς ή λιμένος.</w:t>
      </w:r>
    </w:p>
    <w:p>
      <w:pPr>
        <w:pStyle w:val="MainText"/>
        <w:spacing w:before="120" w:after="0"/>
        <w:rPr>
          <w:lang w:val="el" w:eastAsia="el"/>
        </w:rPr>
      </w:pPr>
      <w:r>
        <w:rPr>
          <w:b/>
          <w:bCs/>
          <w:lang w:val="el" w:eastAsia="el"/>
        </w:rPr>
        <w:t>5.</w:t>
      </w:r>
      <w:r>
        <w:rPr>
          <w:lang w:val="el" w:eastAsia="el"/>
        </w:rPr>
        <w:t xml:space="preserve"> Οι εφοδιασμένοι νομίμως μέχρι την έναρξη ισχύος του παρόντος νόμου με βιβλιάρια επαγγελματικής ταυτότητας φορτοεκφορτωτή ξηράς ή λιμένος εγγράφονται αυτοδικαίως στο Εθνικό Μητρώο Φορτοεκφορτωτών (Μητρώο Β΄) με μόνη την υποβολή σχετικής αίτησης στην αρμόδια υπηρεσία, λαμβάνοντας άμεσα τη βεβαίωση σύμφωνα με το εδάφιο β΄ της παραγράφου 4 του παρόντος, η οποία και ισοδυναμεί με το βιβλιάριο. Από τη χορήγηση της βεβαίωσης παύει να ισχύει το βιβλιάριο επαγγελματικής ταυτότητας φορτοεκφορτωτή ξηράς ή λιμένος.</w:t>
      </w:r>
    </w:p>
    <w:p>
      <w:pPr>
        <w:spacing w:before="240" w:after="240"/>
        <w:rPr>
          <w:lang w:val="el" w:eastAsia="el"/>
        </w:rPr>
      </w:pPr>
      <w:r>
        <w:rPr>
          <w:lang w:val="el" w:eastAsia="el"/>
        </w:rPr>
        <w:t>Εγγράφονται επίσης αυτοδικαίως στο Εθνικό Μητρώο Φορτοεκφορτωτών (Μητρώο Β΄) με μόνη την υποβολή σχετικής αίτησης στην αρμόδια υπηρεσία και όσοι έχουν ήδη αναγγελθεί και έχουν καταθέσει τα νόμιμα απαιτούμενα δικαιολογητικά στις Επιτροπές Ρύθμισης Φορτοεκφορτώσεων Ξηράς ή στις Επιτροπές Ρύθμισης Φορτοεκφορτώσεων Λιμένος ή έχει περάσει άπρακτη η τρίμηνη αποκλειστική προθεσμία.</w:t>
      </w:r>
    </w:p>
    <w:p>
      <w:pPr>
        <w:spacing w:before="240" w:after="240"/>
        <w:rPr>
          <w:lang w:val="el" w:eastAsia="el"/>
        </w:rPr>
      </w:pPr>
      <w:r>
        <w:rPr>
          <w:lang w:val="el" w:eastAsia="el"/>
        </w:rPr>
        <w:t>Όσοι φορτοεκφορτωτές είναι ήδη πιστοποιημένοι σε συγκεκριμένα επίπεδα εγγράφονται αυτόματα στο αντίστοιχο Μητρώο.</w:t>
      </w:r>
    </w:p>
    <w:p>
      <w:pPr>
        <w:pStyle w:val="MainText"/>
        <w:spacing w:before="120" w:after="0"/>
        <w:rPr>
          <w:lang w:val="el" w:eastAsia="el"/>
        </w:rPr>
      </w:pPr>
      <w:r>
        <w:rPr>
          <w:b/>
          <w:bCs/>
          <w:lang w:val="el" w:eastAsia="el"/>
        </w:rPr>
        <w:t>6.</w:t>
      </w:r>
      <w:r>
        <w:rPr>
          <w:lang w:val="el" w:eastAsia="el"/>
        </w:rPr>
        <w:t xml:space="preserve"> α. Το Σώμα Επιθεώρησης Εργασίας διεξάγει μέσω των περιφερειακών υπηρεσιών Επιθεώρησης Ασφάλειας και Υγείας στην Εργασία τακτικούς και έκτακτους ελέγχους σε επιχειρήσεις και χώρους εργασίας όπου απασχολούνται φορτοεκφορτωτές.</w:t>
      </w:r>
    </w:p>
    <w:p>
      <w:pPr>
        <w:spacing w:before="240" w:after="240"/>
        <w:rPr>
          <w:lang w:val="el" w:eastAsia="el"/>
        </w:rPr>
      </w:pPr>
      <w:r>
        <w:rPr>
          <w:lang w:val="el" w:eastAsia="el"/>
        </w:rPr>
        <w:t>β. Η Γενική Διεύθυνση Υγιεινής και Ασφάλειας του Υπουργείου Εργασίας, Κοινωνικής Ασφάλισης και Πρόνοιας ενημερώνει τους φορτοεκφορτωτές και τους φορτοπαραλήπτες σχετικά με τα μέτρα πρόληψης, ασφάλειας και προστασίας της υγείας των φορτοεκφορτωτών και της δημόσιας υγείας, καθώς και για τις προφυλάξεις που πρέπει να λαμβάνουν για την προστασία αυτών.</w:t>
      </w:r>
    </w:p>
    <w:p>
      <w:pPr>
        <w:spacing w:before="240" w:after="240"/>
        <w:rPr>
          <w:lang w:val="el" w:eastAsia="el"/>
        </w:rPr>
      </w:pPr>
      <w:r>
        <w:rPr>
          <w:lang w:val="el" w:eastAsia="el"/>
        </w:rPr>
        <w:t>γ. Με αποφάσεις του Υπουργού Εργασίας, Κοινωνικής Ασφάλισης και Πρόνοιας ρυθμίζονται ειδικότερα θέματα οργάνωσης και λειτουργίας των διαδικασιών ελέγχου, ο τύπος και το περιεχόμενο των εντύπων και οδηγιών ενημέρωσης του ΣΕΠΕ και της Γενικής Διεύθυνσης Υγιεινής και Ασφάλειας του Υπουργείου, οι επιβαλλόμενες ποινές και κυρώσεις, και όποιο άλλο σχετικό θέμα αφορά την εφαρμογή της ελληνικής και κοινοτικής νομοθεσίας σε ζητήματα υγιεινής και ασφάλειας στην εργασία ή την απασχόληση των φορτοεκφορτωτών. Με απόφαση του Υπουργού Ναυτιλίας και Αιγαίου, καθορίζονται οι όροι και οι διαδικασίες εισόδου των λιμενεργατών στους λιμενικούς χώρους, ο έλεγχος από τις λιμενικές αρχές για τη διαπίστωση της τήρησης των διατάξεων του παρόντος, καθώς και κάθε άλλη λεπτομέρεια που αφορά στην ασφάλεια των λιμένων και της ναυσιπλοΐας.</w:t>
      </w:r>
    </w:p>
    <w:p>
      <w:pPr>
        <w:pStyle w:val="MainText"/>
        <w:spacing w:before="120" w:after="0"/>
        <w:rPr>
          <w:lang w:val="el" w:eastAsia="el"/>
        </w:rPr>
      </w:pPr>
      <w:r>
        <w:rPr>
          <w:b/>
          <w:bCs/>
          <w:lang w:val="el" w:eastAsia="el"/>
        </w:rPr>
        <w:t>7.</w:t>
      </w:r>
      <w:r>
        <w:rPr>
          <w:lang w:val="el" w:eastAsia="el"/>
        </w:rPr>
        <w:t xml:space="preserve"> Το σύνολο των υπουργικών αποφάσεων που προβλέπονται ανωτέρω θα εκδοθούν το αργότερο μέχρι την 31.3.2013, σταδιακά και κατά προτεραιότητα αναγκαιότητας από δημοσιεύσεως του παρόντος.</w:t>
      </w:r>
    </w:p>
    <w:p>
      <w:pPr>
        <w:pStyle w:val="MainText"/>
        <w:spacing w:before="120" w:after="0"/>
        <w:rPr>
          <w:lang w:val="el" w:eastAsia="el"/>
        </w:rPr>
      </w:pPr>
      <w:r>
        <w:rPr>
          <w:b/>
          <w:bCs/>
          <w:lang w:val="el" w:eastAsia="el"/>
        </w:rPr>
        <w:t>8.</w:t>
      </w:r>
      <w:r>
        <w:rPr>
          <w:lang w:val="el" w:eastAsia="el"/>
        </w:rPr>
        <w:t xml:space="preserve"> Με απόφαση των Υπουργών Εργασίας, Κοινωνικής Ασφάλισης και Πρόνοιας και Ναυτιλίας και Αιγαίου δύναται να καθορίζονται τυχόν δικαιώματα, αμοιβές και αποζημιώσεις υπέρ τρίτων που επιβαρύνουν τα φορτία κατά τις φορτοεκφορτώσεις στους λιμένες.</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Κάθε άλλη γενική ή ειδική διάταξη που είναι αντίθετη με τις διατάξεις της παρούσας υποπαραγράφου καταργείται.</w:t>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181"/>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Οι παράγραφοι 1 και 3 του άρθρου 4 του Ν. 1666/1986 (Α΄ 200) αντικαθίστανται ως εξής:</w:t>
      </w:r>
    </w:p>
    <w:p>
      <w:pPr>
        <w:spacing w:before="240" w:after="240"/>
        <w:rPr>
          <w:lang w:val="el" w:eastAsia="el"/>
        </w:rPr>
      </w:pPr>
      <w:r>
        <w:rPr>
          <w:lang w:val="el" w:eastAsia="el"/>
        </w:rPr>
        <w:t>«Βεβαίωση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ο κάτοχος βεβαίωσης άσκησης επαγγέλματος οδοντοτεχνίτη.»</w:t>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μεταφορικό έργο του φορτηγού που μισθώνεται, όπως αυτό αναγράφεται στην άδεια κυκλοφορίας του, θα πρέπει να είναι το ίδιο με το μεταφορικό έργο του μισθωτή.</w:t>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Αφαίρεση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29" w:history="1">
        <w:r>
          <w:rPr>
            <w:rStyle w:val="Hyperlink"/>
            <w:color w:val="0000EE"/>
            <w:u w:color="0000EE"/>
            <w:lang w:val="el" w:eastAsia="el"/>
          </w:rPr>
          <w:t>Τροποποίηση 4109/2013 art_29</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3" w:history="1">
        <w:r>
          <w:rPr>
            <w:rStyle w:val="Hyperlink"/>
            <w:color w:val="0000EE"/>
            <w:u w:color="0000EE"/>
            <w:lang w:val="el" w:eastAsia="el"/>
          </w:rPr>
          <w:t>Τροποποίηση 4132/2013 art_3</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28" w:history="1">
        <w:r>
          <w:rPr>
            <w:rStyle w:val="Hyperlink"/>
            <w:color w:val="0000EE"/>
            <w:u w:color="0000EE"/>
            <w:lang w:val="el" w:eastAsia="el"/>
          </w:rPr>
          <w:t>Αφαίρεση 4223/2013 art_28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1" w:history="1">
        <w:r>
          <w:rPr>
            <w:rStyle w:val="Hyperlink"/>
            <w:color w:val="0000EE"/>
            <w:u w:color="0000EE"/>
            <w:lang w:val="el" w:eastAsia="el"/>
          </w:rPr>
          <w:t>Τροποποίηση 4254/2014 art_1</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3" w:history="1">
        <w:r>
          <w:rPr>
            <w:rStyle w:val="Hyperlink"/>
            <w:color w:val="0000EE"/>
            <w:u w:color="0000EE"/>
            <w:lang w:val="el" w:eastAsia="el"/>
          </w:rPr>
          <w:t>Αφαίρεση 4111/2013 art_3</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51" w:history="1">
        <w:r>
          <w:rPr>
            <w:rStyle w:val="Hyperlink"/>
            <w:color w:val="0000EE"/>
            <w:u w:color="0000EE"/>
            <w:lang w:val="el" w:eastAsia="el"/>
          </w:rPr>
          <w:t>Τροποποίηση 4223/2013, Άρθρο 51</w:t>
        </w:r>
      </w:hyperlink>
      <w:r>
        <w:rPr>
          <w:lang w:val="el" w:eastAsia="el"/>
        </w:rPr>
        <w:t xml:space="preserve">; </w:t>
      </w:r>
      <w:hyperlink r:id="rId40" w:anchor="art_23" w:history="1">
        <w:r>
          <w:rPr>
            <w:rStyle w:val="Hyperlink"/>
            <w:color w:val="0000EE"/>
            <w:u w:color="0000EE"/>
            <w:lang w:val="el" w:eastAsia="el"/>
          </w:rPr>
          <w:t>Τροποποίηση 4110/2013, Άρθρο 23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 art_51" w:history="1">
        <w:r>
          <w:rPr>
            <w:rStyle w:val="Hyperlink"/>
            <w:color w:val="0000EE"/>
            <w:u w:color="0000EE"/>
            <w:lang w:val="el" w:eastAsia="el"/>
          </w:rPr>
          <w:t>Τροποποίηση 4223/2013 art_51</w:t>
        </w:r>
      </w:hyperlink>
      <w:r>
        <w:rPr>
          <w:lang w:val="el" w:eastAsia="el"/>
        </w:rPr>
        <w:t xml:space="preserve">; </w:t>
      </w:r>
      <w:hyperlink r:id="rId44" w:anchor=" art_11" w:history="1">
        <w:r>
          <w:rPr>
            <w:rStyle w:val="Hyperlink"/>
            <w:color w:val="0000EE"/>
            <w:u w:color="0000EE"/>
            <w:lang w:val="el" w:eastAsia="el"/>
          </w:rPr>
          <w:t>Τροποποίηση 4111/2013 art_11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11" w:history="1">
        <w:r>
          <w:rPr>
            <w:rStyle w:val="Hyperlink"/>
            <w:color w:val="0000EE"/>
            <w:u w:color="0000EE"/>
            <w:lang w:val="el" w:eastAsia="el"/>
          </w:rPr>
          <w:t>Τροποποίηση 4111/2013 art_11</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 art_11" w:history="1">
        <w:r>
          <w:rPr>
            <w:rStyle w:val="Hyperlink"/>
            <w:color w:val="0000EE"/>
            <w:u w:color="0000EE"/>
            <w:lang w:val="el" w:eastAsia="el"/>
          </w:rPr>
          <w:t>Τροποποίηση 4111/2013 art_11</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51" w:history="1">
        <w:r>
          <w:rPr>
            <w:rStyle w:val="Hyperlink"/>
            <w:color w:val="0000EE"/>
            <w:u w:color="0000EE"/>
            <w:lang w:val="el" w:eastAsia="el"/>
          </w:rPr>
          <w:t>Τροποποίηση 4223/2013 art_51</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51" w:history="1">
        <w:r>
          <w:rPr>
            <w:rStyle w:val="Hyperlink"/>
            <w:color w:val="0000EE"/>
            <w:u w:color="0000EE"/>
            <w:lang w:val="el" w:eastAsia="el"/>
          </w:rPr>
          <w:t>Προσθήκη 4223/2013 art_51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35" w:history="1">
        <w:r>
          <w:rPr>
            <w:rStyle w:val="Hyperlink"/>
            <w:color w:val="0000EE"/>
            <w:u w:color="0000EE"/>
            <w:lang w:val="el" w:eastAsia="el"/>
          </w:rPr>
          <w:t>Τροποποίηση 4141/2013 art_35</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3" w:history="1">
        <w:r>
          <w:rPr>
            <w:rStyle w:val="Hyperlink"/>
            <w:color w:val="0000EE"/>
            <w:u w:color="0000EE"/>
            <w:lang w:val="el" w:eastAsia="el"/>
          </w:rPr>
          <w:t>Τροποποίηση 4281/2014 art_3</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Προσθήκη 4141/2013 art_35</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1" w:history="1">
        <w:r>
          <w:rPr>
            <w:rStyle w:val="Hyperlink"/>
            <w:color w:val="0000EE"/>
            <w:u w:color="0000EE"/>
            <w:lang w:val="el" w:eastAsia="el"/>
          </w:rPr>
          <w:t>Προσθήκη 4152/2013 art_1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1" w:history="1">
        <w:r>
          <w:rPr>
            <w:rStyle w:val="Hyperlink"/>
            <w:color w:val="0000EE"/>
            <w:u w:color="0000EE"/>
            <w:lang w:val="el" w:eastAsia="el"/>
          </w:rPr>
          <w:t>Προσθήκη 4152/2013 art_1</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68" w:history="1">
        <w:r>
          <w:rPr>
            <w:rStyle w:val="Hyperlink"/>
            <w:color w:val="0000EE"/>
            <w:u w:color="0000EE"/>
            <w:lang w:val="el" w:eastAsia="el"/>
          </w:rPr>
          <w:t>Τροποποίηση 4170/2013 art_68</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35" w:history="1">
        <w:r>
          <w:rPr>
            <w:rStyle w:val="Hyperlink"/>
            <w:color w:val="0000EE"/>
            <w:u w:color="0000EE"/>
            <w:lang w:val="el" w:eastAsia="el"/>
          </w:rPr>
          <w:t>Τροποποίηση 4141/2013 art_35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4303/2014 art_1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35" w:history="1">
        <w:r>
          <w:rPr>
            <w:rStyle w:val="Hyperlink"/>
            <w:color w:val="0000EE"/>
            <w:u w:color="0000EE"/>
            <w:lang w:val="el" w:eastAsia="el"/>
          </w:rPr>
          <w:t>Τροποποίηση 4141/2013 art_35</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35" w:history="1">
        <w:r>
          <w:rPr>
            <w:rStyle w:val="Hyperlink"/>
            <w:color w:val="0000EE"/>
            <w:u w:color="0000EE"/>
            <w:lang w:val="el" w:eastAsia="el"/>
          </w:rPr>
          <w:t>Προσθήκη 4141/2013 art_35</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3" w:history="1">
        <w:r>
          <w:rPr>
            <w:rStyle w:val="Hyperlink"/>
            <w:color w:val="0000EE"/>
            <w:u w:color="0000EE"/>
            <w:lang w:val="el" w:eastAsia="el"/>
          </w:rPr>
          <w:t>Τροποποίηση 4110/2013, Άρθρο 23</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76" w:history="1">
        <w:r>
          <w:rPr>
            <w:rStyle w:val="Hyperlink"/>
            <w:color w:val="0000EE"/>
            <w:u w:color="0000EE"/>
            <w:lang w:val="el" w:eastAsia="el"/>
          </w:rPr>
          <w:t>Τροποποίηση 4257/2014 art_76</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76" w:history="1">
        <w:r>
          <w:rPr>
            <w:rStyle w:val="Hyperlink"/>
            <w:color w:val="0000EE"/>
            <w:u w:color="0000EE"/>
            <w:lang w:val="el" w:eastAsia="el"/>
          </w:rPr>
          <w:t>Τροποποίηση 4257/2014 art_76</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 art_76" w:history="1">
        <w:r>
          <w:rPr>
            <w:rStyle w:val="Hyperlink"/>
            <w:color w:val="0000EE"/>
            <w:u w:color="0000EE"/>
            <w:lang w:val="el" w:eastAsia="el"/>
          </w:rPr>
          <w:t>Τροποποίηση 4257/2014 art_76</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27" w:history="1">
        <w:r>
          <w:rPr>
            <w:rStyle w:val="Hyperlink"/>
            <w:color w:val="0000EE"/>
            <w:u w:color="0000EE"/>
            <w:lang w:val="el" w:eastAsia="el"/>
          </w:rPr>
          <w:t>Προσθήκη 4325/2015 art_27</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76" w:history="1">
        <w:r>
          <w:rPr>
            <w:rStyle w:val="Hyperlink"/>
            <w:color w:val="0000EE"/>
            <w:u w:color="0000EE"/>
            <w:lang w:val="el" w:eastAsia="el"/>
          </w:rPr>
          <w:t>Τροποποίηση 4257/2014 art_76</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4" w:history="1">
        <w:r>
          <w:rPr>
            <w:rStyle w:val="Hyperlink"/>
            <w:color w:val="0000EE"/>
            <w:u w:color="0000EE"/>
            <w:lang w:val="el" w:eastAsia="el"/>
          </w:rPr>
          <w:t>Αφαίρεση 4111/2013, Άρθρο 4</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4" w:history="1">
        <w:r>
          <w:rPr>
            <w:rStyle w:val="Hyperlink"/>
            <w:color w:val="0000EE"/>
            <w:u w:color="0000EE"/>
            <w:lang w:val="el" w:eastAsia="el"/>
          </w:rPr>
          <w:t>Αφαίρεση 4111/2013, Άρθρο 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4" w:history="1">
        <w:r>
          <w:rPr>
            <w:rStyle w:val="Hyperlink"/>
            <w:color w:val="0000EE"/>
            <w:u w:color="0000EE"/>
            <w:lang w:val="el" w:eastAsia="el"/>
          </w:rPr>
          <w:t>Αφαίρεση 4111/2013, Άρθρο 4</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4" w:history="1">
        <w:r>
          <w:rPr>
            <w:rStyle w:val="Hyperlink"/>
            <w:color w:val="0000EE"/>
            <w:u w:color="0000EE"/>
            <w:lang w:val="el" w:eastAsia="el"/>
          </w:rPr>
          <w:t>Αφαίρεση 4111/2013, Άρθρο 4</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4" w:history="1">
        <w:r>
          <w:rPr>
            <w:rStyle w:val="Hyperlink"/>
            <w:color w:val="0000EE"/>
            <w:u w:color="0000EE"/>
            <w:lang w:val="el" w:eastAsia="el"/>
          </w:rPr>
          <w:t>Αφαίρεση 4111/2013, Άρθρο 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4" w:history="1">
        <w:r>
          <w:rPr>
            <w:rStyle w:val="Hyperlink"/>
            <w:color w:val="0000EE"/>
            <w:u w:color="0000EE"/>
            <w:lang w:val="el" w:eastAsia="el"/>
          </w:rPr>
          <w:t>Αφαίρεση 4111/2013, Άρθρο 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4" w:history="1">
        <w:r>
          <w:rPr>
            <w:rStyle w:val="Hyperlink"/>
            <w:color w:val="0000EE"/>
            <w:u w:color="0000EE"/>
            <w:lang w:val="el" w:eastAsia="el"/>
          </w:rPr>
          <w:t>Αφαίρεση 4111/2013, Άρθρο 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 art_1" w:history="1">
        <w:r>
          <w:rPr>
            <w:rStyle w:val="Hyperlink"/>
            <w:color w:val="0000EE"/>
            <w:u w:color="0000EE"/>
            <w:lang w:val="el" w:eastAsia="el"/>
          </w:rPr>
          <w:t>Τροποποίηση 4147/2013 art_1</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15" w:history="1">
        <w:r>
          <w:rPr>
            <w:rStyle w:val="Hyperlink"/>
            <w:color w:val="0000EE"/>
            <w:u w:color="0000EE"/>
            <w:lang w:val="el" w:eastAsia="el"/>
          </w:rPr>
          <w:t>Τροποποίηση 4111/2013 art_15</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144" w:history="1">
        <w:r>
          <w:rPr>
            <w:rStyle w:val="Hyperlink"/>
            <w:color w:val="0000EE"/>
            <w:u w:color="0000EE"/>
            <w:lang w:val="el" w:eastAsia="el"/>
          </w:rPr>
          <w:t>Τροποποίηση 4251/2014 art_144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12" w:history="1">
        <w:r>
          <w:rPr>
            <w:rStyle w:val="Hyperlink"/>
            <w:color w:val="0000EE"/>
            <w:u w:color="0000EE"/>
            <w:lang w:val="el" w:eastAsia="el"/>
          </w:rPr>
          <w:t>Τροποποίηση 4210/2013 art_12</w:t>
        </w:r>
      </w:hyperlink>
      <w:r>
        <w:rPr>
          <w:lang w:val="el" w:eastAsia="el"/>
        </w:rPr>
        <w:t xml:space="preserve">; </w:t>
      </w:r>
      <w:hyperlink r:id="rId116" w:anchor=" art_54" w:history="1">
        <w:r>
          <w:rPr>
            <w:rStyle w:val="Hyperlink"/>
            <w:color w:val="0000EE"/>
            <w:u w:color="0000EE"/>
            <w:lang w:val="el" w:eastAsia="el"/>
          </w:rPr>
          <w:t>Τροποποίηση 4178/2013 art_54</w:t>
        </w:r>
      </w:hyperlink>
      <w:r>
        <w:rPr>
          <w:lang w:val="el" w:eastAsia="el"/>
        </w:rPr>
        <w:t xml:space="preserve">; </w:t>
      </w:r>
      <w:hyperlink r:id="rId117" w:anchor=" art_15" w:history="1">
        <w:r>
          <w:rPr>
            <w:rStyle w:val="Hyperlink"/>
            <w:color w:val="0000EE"/>
            <w:u w:color="0000EE"/>
            <w:lang w:val="el" w:eastAsia="el"/>
          </w:rPr>
          <w:t>Τροποποίηση 4111/2013 art_15</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 art_44" w:history="1">
        <w:r>
          <w:rPr>
            <w:rStyle w:val="Hyperlink"/>
            <w:color w:val="0000EE"/>
            <w:u w:color="0000EE"/>
            <w:lang w:val="el" w:eastAsia="el"/>
          </w:rPr>
          <w:t>Προσθήκη 4238/2014 art_44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 art_13" w:history="1">
        <w:r>
          <w:rPr>
            <w:rStyle w:val="Hyperlink"/>
            <w:color w:val="0000EE"/>
            <w:u w:color="0000EE"/>
            <w:lang w:val="el" w:eastAsia="el"/>
          </w:rPr>
          <w:t>Προσθήκη 4275/2014 art_13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 art_15" w:history="1">
        <w:r>
          <w:rPr>
            <w:rStyle w:val="Hyperlink"/>
            <w:color w:val="0000EE"/>
            <w:u w:color="0000EE"/>
            <w:lang w:val="el" w:eastAsia="el"/>
          </w:rPr>
          <w:t>Τροποποίηση 4111/2013 art_15</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 art_21" w:history="1">
        <w:r>
          <w:rPr>
            <w:rStyle w:val="Hyperlink"/>
            <w:color w:val="0000EE"/>
            <w:u w:color="0000EE"/>
            <w:lang w:val="el" w:eastAsia="el"/>
          </w:rPr>
          <w:t>αdd4305/2014 art_21</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 art_26" w:history="1">
        <w:r>
          <w:rPr>
            <w:rStyle w:val="Hyperlink"/>
            <w:color w:val="0000EE"/>
            <w:u w:color="0000EE"/>
            <w:lang w:val="el" w:eastAsia="el"/>
          </w:rPr>
          <w:t>Τροποποίηση 4109/2013 art_26</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 art_90" w:history="1">
        <w:r>
          <w:rPr>
            <w:rStyle w:val="Hyperlink"/>
            <w:color w:val="0000EE"/>
            <w:u w:color="0000EE"/>
            <w:lang w:val="el" w:eastAsia="el"/>
          </w:rPr>
          <w:t>Τροποποίηση 4172/2013 art_90</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5" w:history="1">
        <w:r>
          <w:rPr>
            <w:rStyle w:val="Hyperlink"/>
            <w:color w:val="0000EE"/>
            <w:u w:color="0000EE"/>
            <w:lang w:val="el" w:eastAsia="el"/>
          </w:rPr>
          <w:t>Τροποποίηση 4111/2013 art_15</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9" w:history="1">
        <w:r>
          <w:rPr>
            <w:rStyle w:val="Hyperlink"/>
            <w:color w:val="0000EE"/>
            <w:u w:color="0000EE"/>
            <w:lang w:val="el" w:eastAsia="el"/>
          </w:rPr>
          <w:t>Αφαίρεση 4237/2014 art_9</w:t>
        </w:r>
      </w:hyperlink>
      <w:r>
        <w:rPr>
          <w:lang w:val="el" w:eastAsia="el"/>
        </w:rPr>
        <w:t xml:space="preserve">; </w:t>
      </w:r>
      <w:hyperlink r:id="rId126" w:anchor=" art_12" w:history="1">
        <w:r>
          <w:rPr>
            <w:rStyle w:val="Hyperlink"/>
            <w:color w:val="0000EE"/>
            <w:u w:color="0000EE"/>
            <w:lang w:val="el" w:eastAsia="el"/>
          </w:rPr>
          <w:t>Τροποποίηση 4208/2013 art_12</w:t>
        </w:r>
      </w:hyperlink>
      <w:r>
        <w:rPr>
          <w:lang w:val="el" w:eastAsia="el"/>
        </w:rPr>
        <w:t xml:space="preserve">; </w:t>
      </w:r>
      <w:hyperlink r:id="rId127" w:anchor=" art_4" w:history="1">
        <w:r>
          <w:rPr>
            <w:rStyle w:val="Hyperlink"/>
            <w:color w:val="0000EE"/>
            <w:u w:color="0000EE"/>
            <w:lang w:val="el" w:eastAsia="el"/>
          </w:rPr>
          <w:t>Τροποποίηση 4138/2013 art_4</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 art_19" w:history="1">
        <w:r>
          <w:rPr>
            <w:rStyle w:val="Hyperlink"/>
            <w:color w:val="0000EE"/>
            <w:u w:color="0000EE"/>
            <w:lang w:val="el" w:eastAsia="el"/>
          </w:rPr>
          <w:t>Τροποποίηση 4111/2013 art_19</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 art_30" w:history="1">
        <w:r>
          <w:rPr>
            <w:rStyle w:val="Hyperlink"/>
            <w:color w:val="0000EE"/>
            <w:u w:color="0000EE"/>
            <w:lang w:val="el" w:eastAsia="el"/>
          </w:rPr>
          <w:t>Τροποποίηση 4179/2013 art_30</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105" w:history="1">
        <w:r>
          <w:rPr>
            <w:rStyle w:val="Hyperlink"/>
            <w:color w:val="0000EE"/>
            <w:u w:color="0000EE"/>
            <w:lang w:val="el" w:eastAsia="el"/>
          </w:rPr>
          <w:t>Προσθήκη 4199/2013 art_105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05" w:history="1">
        <w:r>
          <w:rPr>
            <w:rStyle w:val="Hyperlink"/>
            <w:color w:val="0000EE"/>
            <w:u w:color="0000EE"/>
            <w:lang w:val="el" w:eastAsia="el"/>
          </w:rPr>
          <w:t>Προσθήκη 4199/2013 art_105</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05" w:history="1">
        <w:r>
          <w:rPr>
            <w:rStyle w:val="Hyperlink"/>
            <w:color w:val="0000EE"/>
            <w:u w:color="0000EE"/>
            <w:lang w:val="el" w:eastAsia="el"/>
          </w:rPr>
          <w:t>Προσθήκη 4199/2013 art_105</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105" w:history="1">
        <w:r>
          <w:rPr>
            <w:rStyle w:val="Hyperlink"/>
            <w:color w:val="0000EE"/>
            <w:u w:color="0000EE"/>
            <w:lang w:val="el" w:eastAsia="el"/>
          </w:rPr>
          <w:t>Τροποποίηση 4199/2013 art_105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19" w:history="1">
        <w:r>
          <w:rPr>
            <w:rStyle w:val="Hyperlink"/>
            <w:color w:val="0000EE"/>
            <w:u w:color="0000EE"/>
            <w:lang w:val="el" w:eastAsia="el"/>
          </w:rPr>
          <w:t>Τροποποίηση 4111/2013 art_19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11" w:history="1">
        <w:r>
          <w:rPr>
            <w:rStyle w:val="Hyperlink"/>
            <w:color w:val="0000EE"/>
            <w:u w:color="0000EE"/>
            <w:lang w:val="el" w:eastAsia="el"/>
          </w:rPr>
          <w:t>Τροποποίηση 4229/2014 art_11</w:t>
        </w:r>
      </w:hyperlink>
      <w:r>
        <w:rPr>
          <w:lang w:val="el" w:eastAsia="el"/>
        </w:rPr>
        <w:t xml:space="preserve">; </w:t>
      </w:r>
      <w:hyperlink r:id="rId136" w:anchor=" art_30" w:history="1">
        <w:r>
          <w:rPr>
            <w:rStyle w:val="Hyperlink"/>
            <w:color w:val="0000EE"/>
            <w:u w:color="0000EE"/>
            <w:lang w:val="el" w:eastAsia="el"/>
          </w:rPr>
          <w:t>Τροποποίηση 4111/2013 art_30</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0" w:history="1">
        <w:r>
          <w:rPr>
            <w:rStyle w:val="Hyperlink"/>
            <w:color w:val="0000EE"/>
            <w:u w:color="0000EE"/>
            <w:lang w:val="el" w:eastAsia="el"/>
          </w:rPr>
          <w:t>Τροποποίηση 4111/2013 art_30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0" w:history="1">
        <w:r>
          <w:rPr>
            <w:rStyle w:val="Hyperlink"/>
            <w:color w:val="0000EE"/>
            <w:u w:color="0000EE"/>
            <w:lang w:val="el" w:eastAsia="el"/>
          </w:rPr>
          <w:t>Τροποποίηση 4111/2013 art_30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48" w:history="1">
        <w:r>
          <w:rPr>
            <w:rStyle w:val="Hyperlink"/>
            <w:color w:val="0000EE"/>
            <w:u w:color="0000EE"/>
            <w:lang w:val="el" w:eastAsia="el"/>
          </w:rPr>
          <w:t>Προσθήκη 4264/2014 art_48</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0" w:history="1">
        <w:r>
          <w:rPr>
            <w:rStyle w:val="Hyperlink"/>
            <w:color w:val="0000EE"/>
            <w:u w:color="0000EE"/>
            <w:lang w:val="el" w:eastAsia="el"/>
          </w:rPr>
          <w:t>Τροποποίηση 4111/2013 art_30</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0" w:history="1">
        <w:r>
          <w:rPr>
            <w:rStyle w:val="Hyperlink"/>
            <w:color w:val="0000EE"/>
            <w:u w:color="0000EE"/>
            <w:lang w:val="el" w:eastAsia="el"/>
          </w:rPr>
          <w:t>Τροποποίηση 4111/2013 art_30</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0" w:history="1">
        <w:r>
          <w:rPr>
            <w:rStyle w:val="Hyperlink"/>
            <w:color w:val="0000EE"/>
            <w:u w:color="0000EE"/>
            <w:lang w:val="el" w:eastAsia="el"/>
          </w:rPr>
          <w:t>Τροποποίηση 4111/2013 art_30</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0" w:history="1">
        <w:r>
          <w:rPr>
            <w:rStyle w:val="Hyperlink"/>
            <w:color w:val="0000EE"/>
            <w:u w:color="0000EE"/>
            <w:lang w:val="el" w:eastAsia="el"/>
          </w:rPr>
          <w:t>Τροποποίηση 4111/2013 art_30</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0" w:history="1">
        <w:r>
          <w:rPr>
            <w:rStyle w:val="Hyperlink"/>
            <w:color w:val="0000EE"/>
            <w:u w:color="0000EE"/>
            <w:lang w:val="el" w:eastAsia="el"/>
          </w:rPr>
          <w:t>Τροποποίηση 4111/2013 art_30</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30" w:history="1">
        <w:r>
          <w:rPr>
            <w:rStyle w:val="Hyperlink"/>
            <w:color w:val="0000EE"/>
            <w:u w:color="0000EE"/>
            <w:lang w:val="el" w:eastAsia="el"/>
          </w:rPr>
          <w:t>Τροποποίηση 4111/2013 art_30</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30" w:history="1">
        <w:r>
          <w:rPr>
            <w:rStyle w:val="Hyperlink"/>
            <w:color w:val="0000EE"/>
            <w:u w:color="0000EE"/>
            <w:lang w:val="el" w:eastAsia="el"/>
          </w:rPr>
          <w:t>Τροποποίηση 4111/2013 art_30</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30" w:history="1">
        <w:r>
          <w:rPr>
            <w:rStyle w:val="Hyperlink"/>
            <w:color w:val="0000EE"/>
            <w:u w:color="0000EE"/>
            <w:lang w:val="el" w:eastAsia="el"/>
          </w:rPr>
          <w:t>Αφαίρεση 4111/2013 art_30</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30" w:history="1">
        <w:r>
          <w:rPr>
            <w:rStyle w:val="Hyperlink"/>
            <w:color w:val="0000EE"/>
            <w:u w:color="0000EE"/>
            <w:lang w:val="el" w:eastAsia="el"/>
          </w:rPr>
          <w:t>Τροποποίηση 4111/2013 art_30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 art_30" w:history="1">
        <w:r>
          <w:rPr>
            <w:rStyle w:val="Hyperlink"/>
            <w:color w:val="0000EE"/>
            <w:u w:color="0000EE"/>
            <w:lang w:val="el" w:eastAsia="el"/>
          </w:rPr>
          <w:t>Τροποποίηση 4111/2013 art_30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 art_30" w:history="1">
        <w:r>
          <w:rPr>
            <w:rStyle w:val="Hyperlink"/>
            <w:color w:val="0000EE"/>
            <w:u w:color="0000EE"/>
            <w:lang w:val="el" w:eastAsia="el"/>
          </w:rPr>
          <w:t>Τροποποίηση 4111/2013 art_30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30" w:history="1">
        <w:r>
          <w:rPr>
            <w:rStyle w:val="Hyperlink"/>
            <w:color w:val="0000EE"/>
            <w:u w:color="0000EE"/>
            <w:lang w:val="el" w:eastAsia="el"/>
          </w:rPr>
          <w:t>Τροποποίηση 4111/2013 art_30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30" w:history="1">
        <w:r>
          <w:rPr>
            <w:rStyle w:val="Hyperlink"/>
            <w:color w:val="0000EE"/>
            <w:u w:color="0000EE"/>
            <w:lang w:val="el" w:eastAsia="el"/>
          </w:rPr>
          <w:t>Τροποποίηση 4111/2013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 art_30" w:history="1">
        <w:r>
          <w:rPr>
            <w:rStyle w:val="Hyperlink"/>
            <w:color w:val="0000EE"/>
            <w:u w:color="0000EE"/>
            <w:lang w:val="el" w:eastAsia="el"/>
          </w:rPr>
          <w:t>Τροποποίηση 4111/2013 art_30</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30" w:history="1">
        <w:r>
          <w:rPr>
            <w:rStyle w:val="Hyperlink"/>
            <w:color w:val="0000EE"/>
            <w:u w:color="0000EE"/>
            <w:lang w:val="el" w:eastAsia="el"/>
          </w:rPr>
          <w:t>Τροποποίηση 4111/2013 art_30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30" w:history="1">
        <w:r>
          <w:rPr>
            <w:rStyle w:val="Hyperlink"/>
            <w:color w:val="0000EE"/>
            <w:u w:color="0000EE"/>
            <w:lang w:val="el" w:eastAsia="el"/>
          </w:rPr>
          <w:t>Τροποποίηση 4111/2013 art_30</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30" w:history="1">
        <w:r>
          <w:rPr>
            <w:rStyle w:val="Hyperlink"/>
            <w:color w:val="0000EE"/>
            <w:u w:color="0000EE"/>
            <w:lang w:val="el" w:eastAsia="el"/>
          </w:rPr>
          <w:t>Τροποποίηση 4111/2013 art_30</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4111/2013 art_30</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 art_30" w:history="1">
        <w:r>
          <w:rPr>
            <w:rStyle w:val="Hyperlink"/>
            <w:color w:val="0000EE"/>
            <w:u w:color="0000EE"/>
            <w:lang w:val="el" w:eastAsia="el"/>
          </w:rPr>
          <w:t>Τροποποίηση 4111/2013 art_30</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1" w:history="1">
        <w:r>
          <w:rPr>
            <w:rStyle w:val="Hyperlink"/>
            <w:color w:val="0000EE"/>
            <w:u w:color="0000EE"/>
            <w:lang w:val="el" w:eastAsia="el"/>
          </w:rPr>
          <w:t>Προσθήκη 4229/2014 art_11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30" w:history="1">
        <w:r>
          <w:rPr>
            <w:rStyle w:val="Hyperlink"/>
            <w:color w:val="0000EE"/>
            <w:u w:color="0000EE"/>
            <w:lang w:val="el" w:eastAsia="el"/>
          </w:rPr>
          <w:t>Τροποποίηση 4111/2013 art_30</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1" w:history="1">
        <w:r>
          <w:rPr>
            <w:rStyle w:val="Hyperlink"/>
            <w:color w:val="0000EE"/>
            <w:u w:color="0000EE"/>
            <w:lang w:val="el" w:eastAsia="el"/>
          </w:rPr>
          <w:t>Τροποποίηση 4152/2013 art_1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1" w:history="1">
        <w:r>
          <w:rPr>
            <w:rStyle w:val="Hyperlink"/>
            <w:color w:val="0000EE"/>
            <w:u w:color="0000EE"/>
            <w:lang w:val="el" w:eastAsia="el"/>
          </w:rPr>
          <w:t>Τροποποίηση 4152/2013 art_1</w:t>
        </w:r>
      </w:hyperlink>
      <w:r>
        <w:rPr>
          <w:lang w:val="el" w:eastAsia="el"/>
        </w:rPr>
        <w:t xml:space="preserve">; </w:t>
      </w:r>
      <w:hyperlink r:id="rId163" w:anchor=" art_30" w:history="1">
        <w:r>
          <w:rPr>
            <w:rStyle w:val="Hyperlink"/>
            <w:color w:val="0000EE"/>
            <w:u w:color="0000EE"/>
            <w:lang w:val="el" w:eastAsia="el"/>
          </w:rPr>
          <w:t>Τροποποίηση 4111/2013 art_30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33" w:history="1">
        <w:r>
          <w:rPr>
            <w:rStyle w:val="Hyperlink"/>
            <w:color w:val="0000EE"/>
            <w:u w:color="0000EE"/>
            <w:lang w:val="el" w:eastAsia="el"/>
          </w:rPr>
          <w:t>Προσθήκη 4186/2013 art_33</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30" w:history="1">
        <w:r>
          <w:rPr>
            <w:rStyle w:val="Hyperlink"/>
            <w:color w:val="0000EE"/>
            <w:u w:color="0000EE"/>
            <w:lang w:val="el" w:eastAsia="el"/>
          </w:rPr>
          <w:t>Τροποποίηση 4111/2013 art_30</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30" w:history="1">
        <w:r>
          <w:rPr>
            <w:rStyle w:val="Hyperlink"/>
            <w:color w:val="0000EE"/>
            <w:u w:color="0000EE"/>
            <w:lang w:val="el" w:eastAsia="el"/>
          </w:rPr>
          <w:t>Αφαίρεση 4111/2013 art_30</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82" w:history="1">
        <w:r>
          <w:rPr>
            <w:rStyle w:val="Hyperlink"/>
            <w:color w:val="0000EE"/>
            <w:u w:color="0000EE"/>
            <w:lang w:val="el" w:eastAsia="el"/>
          </w:rPr>
          <w:t>Τροποποίηση 4172/2013 art_82</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30" w:history="1">
        <w:r>
          <w:rPr>
            <w:rStyle w:val="Hyperlink"/>
            <w:color w:val="0000EE"/>
            <w:u w:color="0000EE"/>
            <w:lang w:val="el" w:eastAsia="el"/>
          </w:rPr>
          <w:t>Τροποποίηση 4111/2013 art_30</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30" w:history="1">
        <w:r>
          <w:rPr>
            <w:rStyle w:val="Hyperlink"/>
            <w:color w:val="0000EE"/>
            <w:u w:color="0000EE"/>
            <w:lang w:val="el" w:eastAsia="el"/>
          </w:rPr>
          <w:t>Τροποποίηση 4111/2013 art_30</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30" w:history="1">
        <w:r>
          <w:rPr>
            <w:rStyle w:val="Hyperlink"/>
            <w:color w:val="0000EE"/>
            <w:u w:color="0000EE"/>
            <w:lang w:val="el" w:eastAsia="el"/>
          </w:rPr>
          <w:t>Τροποποίηση 4111/2013 art_30</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30" w:history="1">
        <w:r>
          <w:rPr>
            <w:rStyle w:val="Hyperlink"/>
            <w:color w:val="0000EE"/>
            <w:u w:color="0000EE"/>
            <w:lang w:val="el" w:eastAsia="el"/>
          </w:rPr>
          <w:t>Τροποποίηση 4111/2013 art_30</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30" w:history="1">
        <w:r>
          <w:rPr>
            <w:rStyle w:val="Hyperlink"/>
            <w:color w:val="0000EE"/>
            <w:u w:color="0000EE"/>
            <w:lang w:val="el" w:eastAsia="el"/>
          </w:rPr>
          <w:t>Τροποποίηση 4111/2013 art_30</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6" w:history="1">
        <w:r>
          <w:rPr>
            <w:rStyle w:val="Hyperlink"/>
            <w:color w:val="0000EE"/>
            <w:u w:color="0000EE"/>
            <w:lang w:val="el" w:eastAsia="el"/>
          </w:rPr>
          <w:t>Προσθήκη 4132/2013 art_6</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49" w:history="1">
        <w:r>
          <w:rPr>
            <w:rStyle w:val="Hyperlink"/>
            <w:color w:val="0000EE"/>
            <w:u w:color="0000EE"/>
            <w:lang w:val="el" w:eastAsia="el"/>
          </w:rPr>
          <w:t>Τροποποίηση 4278/2014 art_49</w:t>
        </w:r>
      </w:hyperlink>
      <w:r>
        <w:rPr>
          <w:lang w:val="el" w:eastAsia="el"/>
        </w:rPr>
        <w:t xml:space="preserve">; </w:t>
      </w:r>
      <w:hyperlink r:id="rId175" w:anchor=" art_48" w:history="1">
        <w:r>
          <w:rPr>
            <w:rStyle w:val="Hyperlink"/>
            <w:color w:val="0000EE"/>
            <w:u w:color="0000EE"/>
            <w:lang w:val="el" w:eastAsia="el"/>
          </w:rPr>
          <w:t>Τροποποίηση 4264/2014 art_48</w:t>
        </w:r>
      </w:hyperlink>
      <w:r>
        <w:rPr>
          <w:lang w:val="el" w:eastAsia="el"/>
        </w:rPr>
        <w:t xml:space="preserve">; </w:t>
      </w:r>
      <w:hyperlink r:id="rId176" w:anchor=" art_11" w:history="1">
        <w:r>
          <w:rPr>
            <w:rStyle w:val="Hyperlink"/>
            <w:color w:val="0000EE"/>
            <w:u w:color="0000EE"/>
            <w:lang w:val="el" w:eastAsia="el"/>
          </w:rPr>
          <w:t>Τροποποίηση 4229/2014 art_11</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20" w:history="1">
        <w:r>
          <w:rPr>
            <w:rStyle w:val="Hyperlink"/>
            <w:color w:val="0000EE"/>
            <w:u w:color="0000EE"/>
            <w:lang w:val="el" w:eastAsia="el"/>
          </w:rPr>
          <w:t>Τροποποίηση 4203/2013 art_20</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19" w:history="1">
        <w:r>
          <w:rPr>
            <w:rStyle w:val="Hyperlink"/>
            <w:color w:val="0000EE"/>
            <w:u w:color="0000EE"/>
            <w:lang w:val="el" w:eastAsia="el"/>
          </w:rPr>
          <w:t>Τροποποίηση 4111/2013 art_19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19" w:history="1">
        <w:r>
          <w:rPr>
            <w:rStyle w:val="Hyperlink"/>
            <w:color w:val="0000EE"/>
            <w:u w:color="0000EE"/>
            <w:lang w:val="el" w:eastAsia="el"/>
          </w:rPr>
          <w:t>Τροποποίηση 4111/2013 art_19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 art_19" w:history="1">
        <w:r>
          <w:rPr>
            <w:rStyle w:val="Hyperlink"/>
            <w:color w:val="0000EE"/>
            <w:u w:color="0000EE"/>
            <w:lang w:val="el" w:eastAsia="el"/>
          </w:rPr>
          <w:t>Τροποποίηση 4111/2013 art_19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 art_65" w:history="1">
        <w:r>
          <w:rPr>
            <w:rStyle w:val="Hyperlink"/>
            <w:color w:val="0000EE"/>
            <w:u w:color="0000EE"/>
            <w:lang w:val="el" w:eastAsia="el"/>
          </w:rPr>
          <w:t>Τροποποίηση 4170/2013 art_65</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65" w:history="1">
        <w:r>
          <w:rPr>
            <w:rStyle w:val="Hyperlink"/>
            <w:color w:val="0000EE"/>
            <w:u w:color="0000EE"/>
            <w:lang w:val="el" w:eastAsia="el"/>
          </w:rPr>
          <w:t>Τροποποίηση 4170/2013 art_65</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 art_38" w:history="1">
        <w:r>
          <w:rPr>
            <w:rStyle w:val="Hyperlink"/>
            <w:color w:val="0000EE"/>
            <w:u w:color="0000EE"/>
            <w:lang w:val="el" w:eastAsia="el"/>
          </w:rPr>
          <w:t>Τροποποίηση 4144/2013 art_38</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8" w:history="1">
        <w:r>
          <w:rPr>
            <w:rStyle w:val="Hyperlink"/>
            <w:color w:val="0000EE"/>
            <w:u w:color="0000EE"/>
            <w:lang w:val="el" w:eastAsia="el"/>
          </w:rPr>
          <w:t>Προσθήκη 4144/2013 art_38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8" w:history="1">
        <w:r>
          <w:rPr>
            <w:rStyle w:val="Hyperlink"/>
            <w:color w:val="0000EE"/>
            <w:u w:color="0000EE"/>
            <w:lang w:val="el" w:eastAsia="el"/>
          </w:rPr>
          <w:t>Προσθήκη 4144/2013 art_38</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38" w:history="1">
        <w:r>
          <w:rPr>
            <w:rStyle w:val="Hyperlink"/>
            <w:color w:val="0000EE"/>
            <w:u w:color="0000EE"/>
            <w:lang w:val="el" w:eastAsia="el"/>
          </w:rPr>
          <w:t>Προσθήκη 4144/2013 art_38</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1" w:history="1">
        <w:r>
          <w:rPr>
            <w:rStyle w:val="Hyperlink"/>
            <w:color w:val="0000EE"/>
            <w:u w:color="0000EE"/>
            <w:lang w:val="el" w:eastAsia="el"/>
          </w:rPr>
          <w:t>Τροποποίηση 4147/2013 art_1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6" w:history="1">
        <w:r>
          <w:rPr>
            <w:rStyle w:val="Hyperlink"/>
            <w:color w:val="0000EE"/>
            <w:u w:color="0000EE"/>
            <w:lang w:val="el" w:eastAsia="el"/>
          </w:rPr>
          <w:t>Τροποποίηση 4111/2013 art_36</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63" w:history="1">
        <w:r>
          <w:rPr>
            <w:rStyle w:val="Hyperlink"/>
            <w:color w:val="0000EE"/>
            <w:u w:color="0000EE"/>
            <w:lang w:val="el" w:eastAsia="el"/>
          </w:rPr>
          <w:t>Τροποποίηση 4150/2013 art_63</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37" w:history="1">
        <w:r>
          <w:rPr>
            <w:rStyle w:val="Hyperlink"/>
            <w:color w:val="0000EE"/>
            <w:u w:color="0000EE"/>
            <w:lang w:val="el" w:eastAsia="el"/>
          </w:rPr>
          <w:t>Τροποποίηση 4111/2013 art_37</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69" w:history="1">
        <w:r>
          <w:rPr>
            <w:rStyle w:val="Hyperlink"/>
            <w:color w:val="0000EE"/>
            <w:u w:color="0000EE"/>
            <w:lang w:val="el" w:eastAsia="el"/>
          </w:rPr>
          <w:t>Τροποποίηση 4235/2014 art_69</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 art_40" w:history="1">
        <w:r>
          <w:rPr>
            <w:rStyle w:val="Hyperlink"/>
            <w:color w:val="0000EE"/>
            <w:u w:color="0000EE"/>
            <w:lang w:val="el" w:eastAsia="el"/>
          </w:rPr>
          <w:t>Τροποποίηση 4111/2013 art_40</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5/05/11/4325"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14/04/14/4257"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14/04/14/4257" TargetMode="External" /><Relationship Id="rId105" Type="http://schemas.openxmlformats.org/officeDocument/2006/relationships/hyperlink" Target="http://data.aade.gr/eli/pri/law/2013/01/25/4111" TargetMode="External" /><Relationship Id="rId106" Type="http://schemas.openxmlformats.org/officeDocument/2006/relationships/hyperlink" Target="http://data.aade.gr/eli/pri/law/2013/01/25/4111" TargetMode="External" /><Relationship Id="rId107" Type="http://schemas.openxmlformats.org/officeDocument/2006/relationships/hyperlink" Target="http://data.aade.gr/eli/pri/law/2013/01/25/4111" TargetMode="External" /><Relationship Id="rId108" Type="http://schemas.openxmlformats.org/officeDocument/2006/relationships/hyperlink" Target="http://data.aade.gr/eli/pri/law/2013/01/25/4111" TargetMode="External" /><Relationship Id="rId109" Type="http://schemas.openxmlformats.org/officeDocument/2006/relationships/hyperlink" Target="http://data.aade.gr/eli/pri/law/2013/01/25/4111"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13/01/25/4111" TargetMode="External" /><Relationship Id="rId111" Type="http://schemas.openxmlformats.org/officeDocument/2006/relationships/hyperlink" Target="http://data.aade.gr/eli/pri/law/2013/01/25/4111" TargetMode="External" /><Relationship Id="rId112" Type="http://schemas.openxmlformats.org/officeDocument/2006/relationships/hyperlink" Target="http://data.aade.gr/eli/pri/law/2013/04/26/4147" TargetMode="External" /><Relationship Id="rId113" Type="http://schemas.openxmlformats.org/officeDocument/2006/relationships/hyperlink" Target="http://data.aade.gr/eli/pri/law/2013/01/25/4111" TargetMode="External" /><Relationship Id="rId114" Type="http://schemas.openxmlformats.org/officeDocument/2006/relationships/hyperlink" Target="http://data.aade.gr/eli/pri/law/2014/04/01/4251" TargetMode="External" /><Relationship Id="rId115" Type="http://schemas.openxmlformats.org/officeDocument/2006/relationships/hyperlink" Target="http://data.aade.gr/eli/pri/law/2013/11/21/4210" TargetMode="External" /><Relationship Id="rId116" Type="http://schemas.openxmlformats.org/officeDocument/2006/relationships/hyperlink" Target="http://data.aade.gr/eli/pri/law/2013/08/08/4178"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4/02/17/4238" TargetMode="External" /><Relationship Id="rId119" Type="http://schemas.openxmlformats.org/officeDocument/2006/relationships/hyperlink" Target="http://data.aade.gr/eli/pri/law/2014/07/15/4275"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4/10/31/4305" TargetMode="External" /><Relationship Id="rId122" Type="http://schemas.openxmlformats.org/officeDocument/2006/relationships/hyperlink" Target="http://data.aade.gr/eli/pri/law/2013/01/23/4109" TargetMode="External" /><Relationship Id="rId123" Type="http://schemas.openxmlformats.org/officeDocument/2006/relationships/hyperlink" Target="http://data.aade.gr/eli/pri/law/2013/07/23/4172" TargetMode="External" /><Relationship Id="rId124" Type="http://schemas.openxmlformats.org/officeDocument/2006/relationships/hyperlink" Target="http://data.aade.gr/eli/pri/law/2013/01/25/4111" TargetMode="External" /><Relationship Id="rId125" Type="http://schemas.openxmlformats.org/officeDocument/2006/relationships/hyperlink" Target="http://data.aade.gr/eli/pri/law/2014/02/12/4237" TargetMode="External" /><Relationship Id="rId126" Type="http://schemas.openxmlformats.org/officeDocument/2006/relationships/hyperlink" Target="http://data.aade.gr/eli/pri/law/2013/11/18/4208" TargetMode="External" /><Relationship Id="rId127" Type="http://schemas.openxmlformats.org/officeDocument/2006/relationships/hyperlink" Target="http://data.aade.gr/eli/pri/law/2013/03/19/4138" TargetMode="External" /><Relationship Id="rId128" Type="http://schemas.openxmlformats.org/officeDocument/2006/relationships/hyperlink" Target="http://data.aade.gr/eli/pri/law/2013/01/25/4111" TargetMode="External" /><Relationship Id="rId129" Type="http://schemas.openxmlformats.org/officeDocument/2006/relationships/hyperlink" Target="http://data.aade.gr/eli/pri/law/2013/08/08/4179"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3/10/11/4199" TargetMode="External" /><Relationship Id="rId131" Type="http://schemas.openxmlformats.org/officeDocument/2006/relationships/hyperlink" Target="http://data.aade.gr/eli/pri/law/2013/10/11/4199" TargetMode="External" /><Relationship Id="rId132" Type="http://schemas.openxmlformats.org/officeDocument/2006/relationships/hyperlink" Target="http://data.aade.gr/eli/pri/law/2013/10/11/4199" TargetMode="External" /><Relationship Id="rId133" Type="http://schemas.openxmlformats.org/officeDocument/2006/relationships/hyperlink" Target="http://data.aade.gr/eli/pri/law/2013/10/11/4199" TargetMode="External" /><Relationship Id="rId134" Type="http://schemas.openxmlformats.org/officeDocument/2006/relationships/hyperlink" Target="http://data.aade.gr/eli/pri/law/2013/01/25/4111" TargetMode="External" /><Relationship Id="rId135" Type="http://schemas.openxmlformats.org/officeDocument/2006/relationships/hyperlink" Target="http://data.aade.gr/eli/pri/law/2014/01/10/4229" TargetMode="External" /><Relationship Id="rId136" Type="http://schemas.openxmlformats.org/officeDocument/2006/relationships/hyperlink" Target="http://data.aade.gr/eli/pri/law/2013/01/25/4111" TargetMode="External" /><Relationship Id="rId137" Type="http://schemas.openxmlformats.org/officeDocument/2006/relationships/hyperlink" Target="http://data.aade.gr/eli/pri/law/2013/01/25/4111" TargetMode="External" /><Relationship Id="rId138" Type="http://schemas.openxmlformats.org/officeDocument/2006/relationships/hyperlink" Target="http://data.aade.gr/eli/pri/law/2013/01/25/4111" TargetMode="External" /><Relationship Id="rId139" Type="http://schemas.openxmlformats.org/officeDocument/2006/relationships/hyperlink" Target="http://data.aade.gr/eli/pri/law/2014/05/15/4264"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3/01/25/4111" TargetMode="External" /><Relationship Id="rId141" Type="http://schemas.openxmlformats.org/officeDocument/2006/relationships/hyperlink" Target="http://data.aade.gr/eli/pri/law/2013/01/25/4111" TargetMode="External" /><Relationship Id="rId142" Type="http://schemas.openxmlformats.org/officeDocument/2006/relationships/hyperlink" Target="http://data.aade.gr/eli/pri/law/2013/01/25/4111" TargetMode="External" /><Relationship Id="rId143" Type="http://schemas.openxmlformats.org/officeDocument/2006/relationships/hyperlink" Target="http://data.aade.gr/eli/pri/law/2013/01/25/4111" TargetMode="External" /><Relationship Id="rId144" Type="http://schemas.openxmlformats.org/officeDocument/2006/relationships/hyperlink" Target="http://data.aade.gr/eli/pri/law/2013/01/25/4111"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3/01/25/4111" TargetMode="External" /><Relationship Id="rId147" Type="http://schemas.openxmlformats.org/officeDocument/2006/relationships/hyperlink" Target="http://data.aade.gr/eli/pri/law/2013/01/25/4111" TargetMode="External" /><Relationship Id="rId148" Type="http://schemas.openxmlformats.org/officeDocument/2006/relationships/hyperlink" Target="http://data.aade.gr/eli/pri/law/2013/01/25/4111" TargetMode="External" /><Relationship Id="rId149" Type="http://schemas.openxmlformats.org/officeDocument/2006/relationships/hyperlink" Target="http://data.aade.gr/eli/pri/law/2013/01/25/4111"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1/25/4111"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13/01/25/4111" TargetMode="External" /><Relationship Id="rId153" Type="http://schemas.openxmlformats.org/officeDocument/2006/relationships/hyperlink" Target="http://data.aade.gr/eli/pri/law/2013/01/25/4111" TargetMode="External" /><Relationship Id="rId154" Type="http://schemas.openxmlformats.org/officeDocument/2006/relationships/hyperlink" Target="http://data.aade.gr/eli/pri/law/2013/01/25/4111" TargetMode="External" /><Relationship Id="rId155" Type="http://schemas.openxmlformats.org/officeDocument/2006/relationships/hyperlink" Target="http://data.aade.gr/eli/pri/law/2013/01/25/4111" TargetMode="External" /><Relationship Id="rId156" Type="http://schemas.openxmlformats.org/officeDocument/2006/relationships/hyperlink" Target="http://data.aade.gr/eli/pri/law/2013/01/25/4111" TargetMode="External" /><Relationship Id="rId157" Type="http://schemas.openxmlformats.org/officeDocument/2006/relationships/hyperlink" Target="http://data.aade.gr/eli/pri/law/2013/01/25/4111" TargetMode="External" /><Relationship Id="rId158" Type="http://schemas.openxmlformats.org/officeDocument/2006/relationships/hyperlink" Target="http://data.aade.gr/eli/pri/law/2013/01/25/4111" TargetMode="External" /><Relationship Id="rId159" Type="http://schemas.openxmlformats.org/officeDocument/2006/relationships/hyperlink" Target="http://data.aade.gr/eli/pri/law/2014/01/10/4229"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3/01/25/4111" TargetMode="External" /><Relationship Id="rId161" Type="http://schemas.openxmlformats.org/officeDocument/2006/relationships/hyperlink" Target="http://data.aade.gr/eli/pri/law/2013/05/09/4152" TargetMode="External" /><Relationship Id="rId162" Type="http://schemas.openxmlformats.org/officeDocument/2006/relationships/hyperlink" Target="http://data.aade.gr/eli/pri/law/2013/05/09/4152" TargetMode="External" /><Relationship Id="rId163" Type="http://schemas.openxmlformats.org/officeDocument/2006/relationships/hyperlink" Target="http://data.aade.gr/eli/pri/law/2013/01/25/4111" TargetMode="External" /><Relationship Id="rId164" Type="http://schemas.openxmlformats.org/officeDocument/2006/relationships/hyperlink" Target="http://data.aade.gr/eli/pri/law/2013/09/17/4186" TargetMode="External" /><Relationship Id="rId165" Type="http://schemas.openxmlformats.org/officeDocument/2006/relationships/hyperlink" Target="http://data.aade.gr/eli/pri/law/2013/01/25/4111" TargetMode="External" /><Relationship Id="rId166" Type="http://schemas.openxmlformats.org/officeDocument/2006/relationships/hyperlink" Target="http://data.aade.gr/eli/pri/law/2013/01/25/4111" TargetMode="External" /><Relationship Id="rId167" Type="http://schemas.openxmlformats.org/officeDocument/2006/relationships/hyperlink" Target="http://data.aade.gr/eli/pri/law/2013/07/23/4172" TargetMode="External" /><Relationship Id="rId168" Type="http://schemas.openxmlformats.org/officeDocument/2006/relationships/hyperlink" Target="http://data.aade.gr/eli/pri/law/2013/01/25/4111" TargetMode="External" /><Relationship Id="rId169" Type="http://schemas.openxmlformats.org/officeDocument/2006/relationships/hyperlink" Target="http://data.aade.gr/eli/pri/law/2013/01/25/4111"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3/01/25/4111" TargetMode="External" /><Relationship Id="rId171" Type="http://schemas.openxmlformats.org/officeDocument/2006/relationships/hyperlink" Target="http://data.aade.gr/eli/pri/law/2013/01/25/4111" TargetMode="External" /><Relationship Id="rId172" Type="http://schemas.openxmlformats.org/officeDocument/2006/relationships/hyperlink" Target="http://data.aade.gr/eli/pri/law/2013/01/25/4111" TargetMode="External" /><Relationship Id="rId173" Type="http://schemas.openxmlformats.org/officeDocument/2006/relationships/hyperlink" Target="http://data.aade.gr/eli/pri/law/2013/03/07/4132" TargetMode="External" /><Relationship Id="rId174" Type="http://schemas.openxmlformats.org/officeDocument/2006/relationships/hyperlink" Target="http://data.aade.gr/eli/pri/law/2014/08/04/4278" TargetMode="External" /><Relationship Id="rId175" Type="http://schemas.openxmlformats.org/officeDocument/2006/relationships/hyperlink" Target="http://data.aade.gr/eli/pri/law/2014/05/15/4264" TargetMode="External" /><Relationship Id="rId176" Type="http://schemas.openxmlformats.org/officeDocument/2006/relationships/hyperlink" Target="http://data.aade.gr/eli/pri/law/2014/01/10/4229" TargetMode="External" /><Relationship Id="rId177" Type="http://schemas.openxmlformats.org/officeDocument/2006/relationships/hyperlink" Target="http://data.aade.gr/eli/pri/law/2013/11/01/4203" TargetMode="External" /><Relationship Id="rId178" Type="http://schemas.openxmlformats.org/officeDocument/2006/relationships/hyperlink" Target="http://data.aade.gr/eli/pri/law/2013/01/25/4111" TargetMode="External" /><Relationship Id="rId179" Type="http://schemas.openxmlformats.org/officeDocument/2006/relationships/hyperlink" Target="http://data.aade.gr/eli/pri/law/2013/01/25/4111"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3/01/25/4111" TargetMode="External" /><Relationship Id="rId181" Type="http://schemas.openxmlformats.org/officeDocument/2006/relationships/hyperlink" Target="http://data.aade.gr/eli/pri/law/2013/07/12/4170" TargetMode="External" /><Relationship Id="rId182" Type="http://schemas.openxmlformats.org/officeDocument/2006/relationships/hyperlink" Target="http://data.aade.gr/eli/pri/law/2013/07/12/4170" TargetMode="External" /><Relationship Id="rId183" Type="http://schemas.openxmlformats.org/officeDocument/2006/relationships/hyperlink" Target="http://data.aade.gr/eli/pri/law/2013/04/18/4144" TargetMode="External" /><Relationship Id="rId184" Type="http://schemas.openxmlformats.org/officeDocument/2006/relationships/hyperlink" Target="http://data.aade.gr/eli/pri/law/2013/04/18/4144" TargetMode="External" /><Relationship Id="rId185" Type="http://schemas.openxmlformats.org/officeDocument/2006/relationships/hyperlink" Target="http://data.aade.gr/eli/pri/law/2013/04/18/4144" TargetMode="External" /><Relationship Id="rId186" Type="http://schemas.openxmlformats.org/officeDocument/2006/relationships/hyperlink" Target="http://data.aade.gr/eli/pri/law/2013/04/18/4144" TargetMode="External" /><Relationship Id="rId187" Type="http://schemas.openxmlformats.org/officeDocument/2006/relationships/hyperlink" Target="http://data.aade.gr/eli/pri/law/2013/04/26/4147"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4/29/4150"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13/01/25/4111" TargetMode="External" /><Relationship Id="rId191" Type="http://schemas.openxmlformats.org/officeDocument/2006/relationships/hyperlink" Target="http://data.aade.gr/eli/pri/law/2014/02/11/4235" TargetMode="External" /><Relationship Id="rId192"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4" Type="http://schemas.openxmlformats.org/officeDocument/2006/relationships/hyperlink" Target="http://data.aade.gr/eli/pri/law/2013/01/25/4111" TargetMode="External" /><Relationship Id="rId25" Type="http://schemas.openxmlformats.org/officeDocument/2006/relationships/hyperlink" Target="http://data.aade.gr/eli/pri/law/2013/01/25/4111"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3/01/23/4109" TargetMode="External" /><Relationship Id="rId35" Type="http://schemas.openxmlformats.org/officeDocument/2006/relationships/hyperlink" Target="http://data.aade.gr/eli/pri/law/2013/03/07/4132" TargetMode="External" /><Relationship Id="rId36" Type="http://schemas.openxmlformats.org/officeDocument/2006/relationships/hyperlink" Target="http://data.aade.gr/eli/pri/law/2013/12/31/4223" TargetMode="External" /><Relationship Id="rId37" Type="http://schemas.openxmlformats.org/officeDocument/2006/relationships/hyperlink" Target="http://data.aade.gr/eli/pri/law/2014/04/07/4254" TargetMode="External" /><Relationship Id="rId38" Type="http://schemas.openxmlformats.org/officeDocument/2006/relationships/hyperlink" Target="http://data.aade.gr/eli/pri/law/2013/01/25/4111" TargetMode="External" /><Relationship Id="rId39" Type="http://schemas.openxmlformats.org/officeDocument/2006/relationships/hyperlink" Target="http://data.aade.gr/eli/pri/law/2013/12/31/4223"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3/4110"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5/4111" TargetMode="External" /><Relationship Id="rId45" Type="http://schemas.openxmlformats.org/officeDocument/2006/relationships/hyperlink" Target="http://data.aade.gr/eli/pri/law/2013/01/25/4111"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12/31/4223"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01/25/4111"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12/31/4223" TargetMode="External" /><Relationship Id="rId51" Type="http://schemas.openxmlformats.org/officeDocument/2006/relationships/hyperlink" Target="http://data.aade.gr/eli/pri/law/2013/12/31/4223" TargetMode="External" /><Relationship Id="rId52" Type="http://schemas.openxmlformats.org/officeDocument/2006/relationships/hyperlink" Target="http://data.aade.gr/eli/pri/law/2013/04/05/4141" TargetMode="External" /><Relationship Id="rId53" Type="http://schemas.openxmlformats.org/officeDocument/2006/relationships/hyperlink" Target="http://data.aade.gr/eli/pri/law/2014/08/08/4281"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3/05/09/4152" TargetMode="External" /><Relationship Id="rId56" Type="http://schemas.openxmlformats.org/officeDocument/2006/relationships/hyperlink" Target="http://data.aade.gr/eli/pri/law/2013/05/09/4152"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7/12/4170" TargetMode="External" /><Relationship Id="rId63" Type="http://schemas.openxmlformats.org/officeDocument/2006/relationships/hyperlink" Target="http://data.aade.gr/eli/pri/law/2013/04/05/4141" TargetMode="External" /><Relationship Id="rId64" Type="http://schemas.openxmlformats.org/officeDocument/2006/relationships/hyperlink" Target="http://data.aade.gr/eli/pri/law/2013/05/09/4152" TargetMode="External" /><Relationship Id="rId65" Type="http://schemas.openxmlformats.org/officeDocument/2006/relationships/hyperlink" Target="http://data.aade.gr/eli/pri/law/2013/05/09/4152" TargetMode="External" /><Relationship Id="rId66" Type="http://schemas.openxmlformats.org/officeDocument/2006/relationships/hyperlink" Target="http://data.aade.gr/eli/pri/law/2014/10/17/4303"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3/05/09/4152"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1/23/4110" TargetMode="External" /><Relationship Id="rId79" Type="http://schemas.openxmlformats.org/officeDocument/2006/relationships/hyperlink" Target="http://data.aade.gr/eli/pri/law/2014/04/14/4257"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4/04/14/4257" TargetMode="External" /><Relationship Id="rId81" Type="http://schemas.openxmlformats.org/officeDocument/2006/relationships/hyperlink" Target="http://data.aade.gr/eli/pri/law/2014/04/14/4257"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