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47"/>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4"/>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10.</w:t>
      </w:r>
      <w:r>
        <w:rPr>
          <w:lang w:val="el" w:eastAsia="el"/>
        </w:rPr>
        <w:t xml:space="preserve"> Υφιστάμενες διοικητικές άδειες διατηρούνται σε ισχύ. Περαιτέρω μεταβίβαση αυτών επιτρέπεται μόνον άπαξ και για χρονικό διάστημα 10 ετών: </w:t>
      </w:r>
    </w:p>
    <w:p>
      <w:pPr>
        <w:pStyle w:val="StructureList1"/>
        <w:spacing w:before="120" w:after="0"/>
        <w:rPr>
          <w:lang w:val="el" w:eastAsia="el"/>
        </w:rPr>
      </w:pPr>
      <w:r>
        <w:rPr>
          <w:lang w:val="el" w:eastAsia="el"/>
        </w:rPr>
        <w:t>α)</w:t>
      </w:r>
      <w:r>
        <w:rPr>
          <w:lang w:val="en" w:eastAsia="en"/>
        </w:rPr>
        <w:tab/>
      </w:r>
      <w:r>
        <w:rPr>
          <w:lang w:val="el" w:eastAsia="el"/>
        </w:rPr>
        <w:t xml:space="preserve">στον/η σύζυγο του αποθανόντος δικαιούχου ή </w:t>
      </w:r>
    </w:p>
    <w:p>
      <w:pPr>
        <w:pStyle w:val="StructureList1"/>
        <w:spacing w:before="120" w:after="0"/>
        <w:rPr>
          <w:lang w:val="el" w:eastAsia="el"/>
        </w:rPr>
      </w:pPr>
      <w:r>
        <w:rPr>
          <w:lang w:val="el" w:eastAsia="el"/>
        </w:rPr>
        <w:t>β)</w:t>
      </w:r>
      <w:r>
        <w:rPr>
          <w:lang w:val="en" w:eastAsia="en"/>
        </w:rPr>
        <w:tab/>
      </w:r>
      <w:r>
        <w:rPr>
          <w:lang w:val="el" w:eastAsia="el"/>
        </w:rPr>
        <w:t>στα ενήλικα τέκνα αυτού, εφόσον ανήκουν στην κατηγορία των Α.με.Α με ποσοστό αναπηρίας 67% και άνω.</w:t>
      </w:r>
    </w:p>
    <w:p>
      <w:pPr>
        <w:spacing w:before="240" w:after="240"/>
        <w:rPr>
          <w:lang w:val="el" w:eastAsia="el"/>
        </w:rPr>
      </w:pP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Για τη χρήση κοινόχρηστου χώρου, πέραν του προαναφερθέντος, εφαρμόζονται οι ίδιες ως άνω διατάξεις από την έναρξη ισχύος του νόμου αυτού.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απο τον ασφαλιστικό φορέα ΙΚΑ.</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w:t>
      </w:r>
      <w:r>
        <w:rPr>
          <w:rStyle w:val="link"/>
          <w:lang w:val="el" w:eastAsia="el"/>
        </w:rPr>
        <w:t>3919/2011</w:t>
      </w:r>
      <w:r>
        <w:rPr>
          <w:lang w:val="el" w:eastAsia="el"/>
        </w:rPr>
        <w:t> (Α' 32), με την προσκόμιση των κάτωθι:</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60"/>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62"/>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68"/>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176"/>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ΑΕΙ Οδοντικής Τεχνολογίας (Οδοντοτεχνίτης ΑΤΕΙ).</w:t>
      </w:r>
    </w:p>
    <w:p>
      <w:pPr>
        <w:spacing w:before="240" w:after="240"/>
        <w:rPr>
          <w:lang w:val="el" w:eastAsia="el"/>
        </w:rPr>
      </w:pPr>
      <w:r>
        <w:rPr>
          <w:lang w:val="el" w:eastAsia="el"/>
        </w:rPr>
        <w:t>Τα νομίμως λειτουργούντα μέχρι σήμερα οδοντοτεχνικά εργαστήρια εξακολουθούν να λειτουργούν με τις μέχρι σήμερα εκδοθείσες άδειές τους.</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29" w:history="1">
        <w:r>
          <w:rPr>
            <w:rStyle w:val="Hyperlink"/>
            <w:color w:val="0000EE"/>
            <w:u w:color="0000EE"/>
            <w:lang w:val="el" w:eastAsia="el"/>
          </w:rPr>
          <w:t>Τροποποίηση 4109/2013 art_29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3" w:history="1">
        <w:r>
          <w:rPr>
            <w:rStyle w:val="Hyperlink"/>
            <w:color w:val="0000EE"/>
            <w:u w:color="0000EE"/>
            <w:lang w:val="el" w:eastAsia="el"/>
          </w:rPr>
          <w:t>Τροποποίηση 4132/2013 art_3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28" w:history="1">
        <w:r>
          <w:rPr>
            <w:rStyle w:val="Hyperlink"/>
            <w:color w:val="0000EE"/>
            <w:u w:color="0000EE"/>
            <w:lang w:val="el" w:eastAsia="el"/>
          </w:rPr>
          <w:t>Αφαίρεση 4223/2013 art_28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1" w:history="1">
        <w:r>
          <w:rPr>
            <w:rStyle w:val="Hyperlink"/>
            <w:color w:val="0000EE"/>
            <w:u w:color="0000EE"/>
            <w:lang w:val="el" w:eastAsia="el"/>
          </w:rPr>
          <w:t>Τροποποίηση 4254/2014 art_1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3" w:history="1">
        <w:r>
          <w:rPr>
            <w:rStyle w:val="Hyperlink"/>
            <w:color w:val="0000EE"/>
            <w:u w:color="0000EE"/>
            <w:lang w:val="el" w:eastAsia="el"/>
          </w:rPr>
          <w:t>Αφαίρεση 4111/2013 art_3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1" w:history="1">
        <w:r>
          <w:rPr>
            <w:rStyle w:val="Hyperlink"/>
            <w:color w:val="0000EE"/>
            <w:u w:color="0000EE"/>
            <w:lang w:val="el" w:eastAsia="el"/>
          </w:rPr>
          <w:t>Τροποποίηση 4223/2013, Άρθρο 51</w:t>
        </w:r>
      </w:hyperlink>
      <w:r>
        <w:rPr>
          <w:lang w:val="el" w:eastAsia="el"/>
        </w:rPr>
        <w:t xml:space="preserve">; </w:t>
      </w:r>
      <w:hyperlink r:id="rId40" w:anchor="art_23" w:history="1">
        <w:r>
          <w:rPr>
            <w:rStyle w:val="Hyperlink"/>
            <w:color w:val="0000EE"/>
            <w:u w:color="0000EE"/>
            <w:lang w:val="el" w:eastAsia="el"/>
          </w:rPr>
          <w:t>Τροποποίηση 4110/2013, Άρθρο 23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51" w:history="1">
        <w:r>
          <w:rPr>
            <w:rStyle w:val="Hyperlink"/>
            <w:color w:val="0000EE"/>
            <w:u w:color="0000EE"/>
            <w:lang w:val="el" w:eastAsia="el"/>
          </w:rPr>
          <w:t>Τροποποίηση 4223/2013 art_51</w:t>
        </w:r>
      </w:hyperlink>
      <w:r>
        <w:rPr>
          <w:lang w:val="el" w:eastAsia="el"/>
        </w:rPr>
        <w:t xml:space="preserve">; </w:t>
      </w:r>
      <w:hyperlink r:id="rId44" w:anchor=" art_11" w:history="1">
        <w:r>
          <w:rPr>
            <w:rStyle w:val="Hyperlink"/>
            <w:color w:val="0000EE"/>
            <w:u w:color="0000EE"/>
            <w:lang w:val="el" w:eastAsia="el"/>
          </w:rPr>
          <w:t>Τροποποίηση 4111/2013 art_11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51" w:history="1">
        <w:r>
          <w:rPr>
            <w:rStyle w:val="Hyperlink"/>
            <w:color w:val="0000EE"/>
            <w:u w:color="0000EE"/>
            <w:lang w:val="el" w:eastAsia="el"/>
          </w:rPr>
          <w:t>Τροποποίηση 4223/2013 art_51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51" w:history="1">
        <w:r>
          <w:rPr>
            <w:rStyle w:val="Hyperlink"/>
            <w:color w:val="0000EE"/>
            <w:u w:color="0000EE"/>
            <w:lang w:val="el" w:eastAsia="el"/>
          </w:rPr>
          <w:t>Προσθήκη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51" w:history="1">
        <w:r>
          <w:rPr>
            <w:rStyle w:val="Hyperlink"/>
            <w:color w:val="0000EE"/>
            <w:u w:color="0000EE"/>
            <w:lang w:val="el" w:eastAsia="el"/>
          </w:rPr>
          <w:t>Τροποποίηση 4223/2013 art_51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35" w:history="1">
        <w:r>
          <w:rPr>
            <w:rStyle w:val="Hyperlink"/>
            <w:color w:val="0000EE"/>
            <w:u w:color="0000EE"/>
            <w:lang w:val="el" w:eastAsia="el"/>
          </w:rPr>
          <w:t>Τροποποίηση 4141/2013 art_35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3" w:history="1">
        <w:r>
          <w:rPr>
            <w:rStyle w:val="Hyperlink"/>
            <w:color w:val="0000EE"/>
            <w:u w:color="0000EE"/>
            <w:lang w:val="el" w:eastAsia="el"/>
          </w:rPr>
          <w:t>Τροποποίηση 4281/2014 art_3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Προσθήκη 4141/2013 art_35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68" w:history="1">
        <w:r>
          <w:rPr>
            <w:rStyle w:val="Hyperlink"/>
            <w:color w:val="0000EE"/>
            <w:u w:color="0000EE"/>
            <w:lang w:val="el" w:eastAsia="el"/>
          </w:rPr>
          <w:t>Τροποποίηση 4170/2013 art_68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35" w:history="1">
        <w:r>
          <w:rPr>
            <w:rStyle w:val="Hyperlink"/>
            <w:color w:val="0000EE"/>
            <w:u w:color="0000EE"/>
            <w:lang w:val="el" w:eastAsia="el"/>
          </w:rPr>
          <w:t>Τροποποίηση 4141/2013 art_35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4303/2014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35" w:history="1">
        <w:r>
          <w:rPr>
            <w:rStyle w:val="Hyperlink"/>
            <w:color w:val="0000EE"/>
            <w:u w:color="0000EE"/>
            <w:lang w:val="el" w:eastAsia="el"/>
          </w:rPr>
          <w:t>Τροποποίηση 4141/2013 art_35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35" w:history="1">
        <w:r>
          <w:rPr>
            <w:rStyle w:val="Hyperlink"/>
            <w:color w:val="0000EE"/>
            <w:u w:color="0000EE"/>
            <w:lang w:val="el" w:eastAsia="el"/>
          </w:rPr>
          <w:t>Προσθήκη 4141/2013 art_35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3" w:history="1">
        <w:r>
          <w:rPr>
            <w:rStyle w:val="Hyperlink"/>
            <w:color w:val="0000EE"/>
            <w:u w:color="0000EE"/>
            <w:lang w:val="el" w:eastAsia="el"/>
          </w:rPr>
          <w:t>Τροποποίηση 4110/2013, Άρθρο 23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76" w:history="1">
        <w:r>
          <w:rPr>
            <w:rStyle w:val="Hyperlink"/>
            <w:color w:val="0000EE"/>
            <w:u w:color="0000EE"/>
            <w:lang w:val="el" w:eastAsia="el"/>
          </w:rPr>
          <w:t>Τροποποίηση 4257/2014 art_76</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76" w:history="1">
        <w:r>
          <w:rPr>
            <w:rStyle w:val="Hyperlink"/>
            <w:color w:val="0000EE"/>
            <w:u w:color="0000EE"/>
            <w:lang w:val="el" w:eastAsia="el"/>
          </w:rPr>
          <w:t>Τροποποίηση 4257/2014 art_76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76" w:history="1">
        <w:r>
          <w:rPr>
            <w:rStyle w:val="Hyperlink"/>
            <w:color w:val="0000EE"/>
            <w:u w:color="0000EE"/>
            <w:lang w:val="el" w:eastAsia="el"/>
          </w:rPr>
          <w:t>Τροποποίηση 4257/2014 art_76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27" w:history="1">
        <w:r>
          <w:rPr>
            <w:rStyle w:val="Hyperlink"/>
            <w:color w:val="0000EE"/>
            <w:u w:color="0000EE"/>
            <w:lang w:val="el" w:eastAsia="el"/>
          </w:rPr>
          <w:t>Προσθήκη 4325/2015 art_27</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76" w:history="1">
        <w:r>
          <w:rPr>
            <w:rStyle w:val="Hyperlink"/>
            <w:color w:val="0000EE"/>
            <w:u w:color="0000EE"/>
            <w:lang w:val="el" w:eastAsia="el"/>
          </w:rPr>
          <w:t>Τροποποίηση 4257/2014 art_76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 w:history="1">
        <w:r>
          <w:rPr>
            <w:rStyle w:val="Hyperlink"/>
            <w:color w:val="0000EE"/>
            <w:u w:color="0000EE"/>
            <w:lang w:val="el" w:eastAsia="el"/>
          </w:rPr>
          <w:t>Αφαίρεση 4111/2013, Άρθρο 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 w:history="1">
        <w:r>
          <w:rPr>
            <w:rStyle w:val="Hyperlink"/>
            <w:color w:val="0000EE"/>
            <w:u w:color="0000EE"/>
            <w:lang w:val="el" w:eastAsia="el"/>
          </w:rPr>
          <w:t>Αφαίρεση 4111/2013, Άρθρο 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 w:history="1">
        <w:r>
          <w:rPr>
            <w:rStyle w:val="Hyperlink"/>
            <w:color w:val="0000EE"/>
            <w:u w:color="0000EE"/>
            <w:lang w:val="el" w:eastAsia="el"/>
          </w:rPr>
          <w:t>Αφαίρεση 4111/2013, Άρθρο 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 w:history="1">
        <w:r>
          <w:rPr>
            <w:rStyle w:val="Hyperlink"/>
            <w:color w:val="0000EE"/>
            <w:u w:color="0000EE"/>
            <w:lang w:val="el" w:eastAsia="el"/>
          </w:rPr>
          <w:t>Αφαίρεση 4111/2013, Άρθρο 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 w:history="1">
        <w:r>
          <w:rPr>
            <w:rStyle w:val="Hyperlink"/>
            <w:color w:val="0000EE"/>
            <w:u w:color="0000EE"/>
            <w:lang w:val="el" w:eastAsia="el"/>
          </w:rPr>
          <w:t>Αφαίρεση 4111/2013, Άρθρο 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 w:history="1">
        <w:r>
          <w:rPr>
            <w:rStyle w:val="Hyperlink"/>
            <w:color w:val="0000EE"/>
            <w:u w:color="0000EE"/>
            <w:lang w:val="el" w:eastAsia="el"/>
          </w:rPr>
          <w:t>Αφαίρεση 4111/2013, Άρθρο 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 w:history="1">
        <w:r>
          <w:rPr>
            <w:rStyle w:val="Hyperlink"/>
            <w:color w:val="0000EE"/>
            <w:u w:color="0000EE"/>
            <w:lang w:val="el" w:eastAsia="el"/>
          </w:rPr>
          <w:t>Αφαίρεση 4111/2013, Άρθρο 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 art_1" w:history="1">
        <w:r>
          <w:rPr>
            <w:rStyle w:val="Hyperlink"/>
            <w:color w:val="0000EE"/>
            <w:u w:color="0000EE"/>
            <w:lang w:val="el" w:eastAsia="el"/>
          </w:rPr>
          <w:t>Τροποποίηση 4147/2013 art_1</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15" w:history="1">
        <w:r>
          <w:rPr>
            <w:rStyle w:val="Hyperlink"/>
            <w:color w:val="0000EE"/>
            <w:u w:color="0000EE"/>
            <w:lang w:val="el" w:eastAsia="el"/>
          </w:rPr>
          <w:t>Τροποποίηση 4111/2013 art_15</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144" w:history="1">
        <w:r>
          <w:rPr>
            <w:rStyle w:val="Hyperlink"/>
            <w:color w:val="0000EE"/>
            <w:u w:color="0000EE"/>
            <w:lang w:val="el" w:eastAsia="el"/>
          </w:rPr>
          <w:t>Τροποποίηση 4251/2014 art_144</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12" w:history="1">
        <w:r>
          <w:rPr>
            <w:rStyle w:val="Hyperlink"/>
            <w:color w:val="0000EE"/>
            <w:u w:color="0000EE"/>
            <w:lang w:val="el" w:eastAsia="el"/>
          </w:rPr>
          <w:t>Τροποποίηση 4210/2013 art_12</w:t>
        </w:r>
      </w:hyperlink>
      <w:r>
        <w:rPr>
          <w:lang w:val="el" w:eastAsia="el"/>
        </w:rPr>
        <w:t xml:space="preserve">; </w:t>
      </w:r>
      <w:hyperlink r:id="rId116" w:anchor=" art_54" w:history="1">
        <w:r>
          <w:rPr>
            <w:rStyle w:val="Hyperlink"/>
            <w:color w:val="0000EE"/>
            <w:u w:color="0000EE"/>
            <w:lang w:val="el" w:eastAsia="el"/>
          </w:rPr>
          <w:t>Τροποποίηση 4178/2013 art_54</w:t>
        </w:r>
      </w:hyperlink>
      <w:r>
        <w:rPr>
          <w:lang w:val="el" w:eastAsia="el"/>
        </w:rPr>
        <w:t xml:space="preserve">; </w:t>
      </w:r>
      <w:hyperlink r:id="rId117" w:anchor=" art_15" w:history="1">
        <w:r>
          <w:rPr>
            <w:rStyle w:val="Hyperlink"/>
            <w:color w:val="0000EE"/>
            <w:u w:color="0000EE"/>
            <w:lang w:val="el" w:eastAsia="el"/>
          </w:rPr>
          <w:t>Τροποποίηση 4111/2013 art_15</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 art_44" w:history="1">
        <w:r>
          <w:rPr>
            <w:rStyle w:val="Hyperlink"/>
            <w:color w:val="0000EE"/>
            <w:u w:color="0000EE"/>
            <w:lang w:val="el" w:eastAsia="el"/>
          </w:rPr>
          <w:t>Προσθήκη 4238/2014 art_44</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13" w:history="1">
        <w:r>
          <w:rPr>
            <w:rStyle w:val="Hyperlink"/>
            <w:color w:val="0000EE"/>
            <w:u w:color="0000EE"/>
            <w:lang w:val="el" w:eastAsia="el"/>
          </w:rPr>
          <w:t>Προσθήκη 4275/2014 art_13</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15" w:history="1">
        <w:r>
          <w:rPr>
            <w:rStyle w:val="Hyperlink"/>
            <w:color w:val="0000EE"/>
            <w:u w:color="0000EE"/>
            <w:lang w:val="el" w:eastAsia="el"/>
          </w:rPr>
          <w:t>Τροποποίηση 4111/2013 art_15</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21" w:history="1">
        <w:r>
          <w:rPr>
            <w:rStyle w:val="Hyperlink"/>
            <w:color w:val="0000EE"/>
            <w:u w:color="0000EE"/>
            <w:lang w:val="el" w:eastAsia="el"/>
          </w:rPr>
          <w:t>αdd4305/2014 art_21</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26" w:history="1">
        <w:r>
          <w:rPr>
            <w:rStyle w:val="Hyperlink"/>
            <w:color w:val="0000EE"/>
            <w:u w:color="0000EE"/>
            <w:lang w:val="el" w:eastAsia="el"/>
          </w:rPr>
          <w:t>Τροποποίηση 4109/2013 art_26</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90" w:history="1">
        <w:r>
          <w:rPr>
            <w:rStyle w:val="Hyperlink"/>
            <w:color w:val="0000EE"/>
            <w:u w:color="0000EE"/>
            <w:lang w:val="el" w:eastAsia="el"/>
          </w:rPr>
          <w:t>Τροποποίηση 4172/2013 art_90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3" w:history="1">
        <w:r>
          <w:rPr>
            <w:rStyle w:val="Hyperlink"/>
            <w:color w:val="0000EE"/>
            <w:u w:color="0000EE"/>
            <w:lang w:val="el" w:eastAsia="el"/>
          </w:rPr>
          <w:t>Αφαίρεση 4325/2015 art_3</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3" w:history="1">
        <w:r>
          <w:rPr>
            <w:rStyle w:val="Hyperlink"/>
            <w:color w:val="0000EE"/>
            <w:u w:color="0000EE"/>
            <w:lang w:val="el" w:eastAsia="el"/>
          </w:rPr>
          <w:t>Αφαίρεση 4325/2015 art_3</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3" w:history="1">
        <w:r>
          <w:rPr>
            <w:rStyle w:val="Hyperlink"/>
            <w:color w:val="0000EE"/>
            <w:u w:color="0000EE"/>
            <w:lang w:val="el" w:eastAsia="el"/>
          </w:rPr>
          <w:t>Αφαίρεση 4325/2015 art_3</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3" w:history="1">
        <w:r>
          <w:rPr>
            <w:rStyle w:val="Hyperlink"/>
            <w:color w:val="0000EE"/>
            <w:u w:color="0000EE"/>
            <w:lang w:val="el" w:eastAsia="el"/>
          </w:rPr>
          <w:t>Αφαίρεση 4325/2015 art_3</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 w:history="1">
        <w:r>
          <w:rPr>
            <w:rStyle w:val="Hyperlink"/>
            <w:color w:val="0000EE"/>
            <w:u w:color="0000EE"/>
            <w:lang w:val="el" w:eastAsia="el"/>
          </w:rPr>
          <w:t>Αφαίρεση 4325/2015 art_3</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 w:history="1">
        <w:r>
          <w:rPr>
            <w:rStyle w:val="Hyperlink"/>
            <w:color w:val="0000EE"/>
            <w:u w:color="0000EE"/>
            <w:lang w:val="el" w:eastAsia="el"/>
          </w:rPr>
          <w:t>Αφαίρεση 4325/2015 art_3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 w:history="1">
        <w:r>
          <w:rPr>
            <w:rStyle w:val="Hyperlink"/>
            <w:color w:val="0000EE"/>
            <w:u w:color="0000EE"/>
            <w:lang w:val="el" w:eastAsia="el"/>
          </w:rPr>
          <w:t>Αφαίρεση 4325/2015 art_3</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3" w:history="1">
        <w:r>
          <w:rPr>
            <w:rStyle w:val="Hyperlink"/>
            <w:color w:val="0000EE"/>
            <w:u w:color="0000EE"/>
            <w:lang w:val="el" w:eastAsia="el"/>
          </w:rPr>
          <w:t>Αφαίρεση 4325/2015 art_3</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3" w:history="1">
        <w:r>
          <w:rPr>
            <w:rStyle w:val="Hyperlink"/>
            <w:color w:val="0000EE"/>
            <w:u w:color="0000EE"/>
            <w:lang w:val="el" w:eastAsia="el"/>
          </w:rPr>
          <w:t>Αφαίρεση 4325/2015 art_3</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15" w:history="1">
        <w:r>
          <w:rPr>
            <w:rStyle w:val="Hyperlink"/>
            <w:color w:val="0000EE"/>
            <w:u w:color="0000EE"/>
            <w:lang w:val="el" w:eastAsia="el"/>
          </w:rPr>
          <w:t>Τροποποίηση 4111/2013 art_15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9" w:history="1">
        <w:r>
          <w:rPr>
            <w:rStyle w:val="Hyperlink"/>
            <w:color w:val="0000EE"/>
            <w:u w:color="0000EE"/>
            <w:lang w:val="el" w:eastAsia="el"/>
          </w:rPr>
          <w:t>Αφαίρεση 4237/2014 art_9</w:t>
        </w:r>
      </w:hyperlink>
      <w:r>
        <w:rPr>
          <w:lang w:val="el" w:eastAsia="el"/>
        </w:rPr>
        <w:t xml:space="preserve">; </w:t>
      </w:r>
      <w:hyperlink r:id="rId135" w:anchor=" art_12" w:history="1">
        <w:r>
          <w:rPr>
            <w:rStyle w:val="Hyperlink"/>
            <w:color w:val="0000EE"/>
            <w:u w:color="0000EE"/>
            <w:lang w:val="el" w:eastAsia="el"/>
          </w:rPr>
          <w:t>Τροποποίηση 4208/2013 art_12</w:t>
        </w:r>
      </w:hyperlink>
      <w:r>
        <w:rPr>
          <w:lang w:val="el" w:eastAsia="el"/>
        </w:rPr>
        <w:t xml:space="preserve">; </w:t>
      </w:r>
      <w:hyperlink r:id="rId136" w:anchor=" art_4" w:history="1">
        <w:r>
          <w:rPr>
            <w:rStyle w:val="Hyperlink"/>
            <w:color w:val="0000EE"/>
            <w:u w:color="0000EE"/>
            <w:lang w:val="el" w:eastAsia="el"/>
          </w:rPr>
          <w:t>Τροποποίηση 4138/2013 art_4</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19" w:history="1">
        <w:r>
          <w:rPr>
            <w:rStyle w:val="Hyperlink"/>
            <w:color w:val="0000EE"/>
            <w:u w:color="0000EE"/>
            <w:lang w:val="el" w:eastAsia="el"/>
          </w:rPr>
          <w:t>Τροποποίηση 4111/2013 art_19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0" w:history="1">
        <w:r>
          <w:rPr>
            <w:rStyle w:val="Hyperlink"/>
            <w:color w:val="0000EE"/>
            <w:u w:color="0000EE"/>
            <w:lang w:val="el" w:eastAsia="el"/>
          </w:rPr>
          <w:t>Τροποποίηση 4179/2013 art_30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105" w:history="1">
        <w:r>
          <w:rPr>
            <w:rStyle w:val="Hyperlink"/>
            <w:color w:val="0000EE"/>
            <w:u w:color="0000EE"/>
            <w:lang w:val="el" w:eastAsia="el"/>
          </w:rPr>
          <w:t>Προσθήκη 4199/2013 art_105</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105" w:history="1">
        <w:r>
          <w:rPr>
            <w:rStyle w:val="Hyperlink"/>
            <w:color w:val="0000EE"/>
            <w:u w:color="0000EE"/>
            <w:lang w:val="el" w:eastAsia="el"/>
          </w:rPr>
          <w:t>Προσθήκη 4199/2013 art_105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105" w:history="1">
        <w:r>
          <w:rPr>
            <w:rStyle w:val="Hyperlink"/>
            <w:color w:val="0000EE"/>
            <w:u w:color="0000EE"/>
            <w:lang w:val="el" w:eastAsia="el"/>
          </w:rPr>
          <w:t>Προσθήκη 4199/2013 art_105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105" w:history="1">
        <w:r>
          <w:rPr>
            <w:rStyle w:val="Hyperlink"/>
            <w:color w:val="0000EE"/>
            <w:u w:color="0000EE"/>
            <w:lang w:val="el" w:eastAsia="el"/>
          </w:rPr>
          <w:t>Τροποποίηση 4199/2013 art_105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19" w:history="1">
        <w:r>
          <w:rPr>
            <w:rStyle w:val="Hyperlink"/>
            <w:color w:val="0000EE"/>
            <w:u w:color="0000EE"/>
            <w:lang w:val="el" w:eastAsia="el"/>
          </w:rPr>
          <w:t>Τροποποίηση 4111/2013 art_19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11" w:history="1">
        <w:r>
          <w:rPr>
            <w:rStyle w:val="Hyperlink"/>
            <w:color w:val="0000EE"/>
            <w:u w:color="0000EE"/>
            <w:lang w:val="el" w:eastAsia="el"/>
          </w:rPr>
          <w:t>Τροποποίηση 4229/2014 art_11</w:t>
        </w:r>
      </w:hyperlink>
      <w:r>
        <w:rPr>
          <w:lang w:val="el" w:eastAsia="el"/>
        </w:rPr>
        <w:t xml:space="preserve">; </w:t>
      </w:r>
      <w:hyperlink r:id="rId145" w:anchor=" art_30" w:history="1">
        <w:r>
          <w:rPr>
            <w:rStyle w:val="Hyperlink"/>
            <w:color w:val="0000EE"/>
            <w:u w:color="0000EE"/>
            <w:lang w:val="el" w:eastAsia="el"/>
          </w:rPr>
          <w:t>Τροποποίηση 4111/2013 art_30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30" w:history="1">
        <w:r>
          <w:rPr>
            <w:rStyle w:val="Hyperlink"/>
            <w:color w:val="0000EE"/>
            <w:u w:color="0000EE"/>
            <w:lang w:val="el" w:eastAsia="el"/>
          </w:rPr>
          <w:t>Τροποποίηση 4111/2013 art_30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30" w:history="1">
        <w:r>
          <w:rPr>
            <w:rStyle w:val="Hyperlink"/>
            <w:color w:val="0000EE"/>
            <w:u w:color="0000EE"/>
            <w:lang w:val="el" w:eastAsia="el"/>
          </w:rPr>
          <w:t>Τροποποίηση 4111/2013 art_30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48" w:history="1">
        <w:r>
          <w:rPr>
            <w:rStyle w:val="Hyperlink"/>
            <w:color w:val="0000EE"/>
            <w:u w:color="0000EE"/>
            <w:lang w:val="el" w:eastAsia="el"/>
          </w:rPr>
          <w:t>Προσθήκη 4264/2014 art_48</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30" w:history="1">
        <w:r>
          <w:rPr>
            <w:rStyle w:val="Hyperlink"/>
            <w:color w:val="0000EE"/>
            <w:u w:color="0000EE"/>
            <w:lang w:val="el" w:eastAsia="el"/>
          </w:rPr>
          <w:t>Τροποποίηση 4111/2013 art_30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30" w:history="1">
        <w:r>
          <w:rPr>
            <w:rStyle w:val="Hyperlink"/>
            <w:color w:val="0000EE"/>
            <w:u w:color="0000EE"/>
            <w:lang w:val="el" w:eastAsia="el"/>
          </w:rPr>
          <w:t>Τροποποίηση 4111/2013 art_30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30" w:history="1">
        <w:r>
          <w:rPr>
            <w:rStyle w:val="Hyperlink"/>
            <w:color w:val="0000EE"/>
            <w:u w:color="0000EE"/>
            <w:lang w:val="el" w:eastAsia="el"/>
          </w:rPr>
          <w:t>Τροποποίηση 4111/2013 art_30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0" w:history="1">
        <w:r>
          <w:rPr>
            <w:rStyle w:val="Hyperlink"/>
            <w:color w:val="0000EE"/>
            <w:u w:color="0000EE"/>
            <w:lang w:val="el" w:eastAsia="el"/>
          </w:rPr>
          <w:t>Τροποποίηση 4111/2013 art_30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30" w:history="1">
        <w:r>
          <w:rPr>
            <w:rStyle w:val="Hyperlink"/>
            <w:color w:val="0000EE"/>
            <w:u w:color="0000EE"/>
            <w:lang w:val="el" w:eastAsia="el"/>
          </w:rPr>
          <w:t>Τροποποίηση 4111/2013 art_30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30" w:history="1">
        <w:r>
          <w:rPr>
            <w:rStyle w:val="Hyperlink"/>
            <w:color w:val="0000EE"/>
            <w:u w:color="0000EE"/>
            <w:lang w:val="el" w:eastAsia="el"/>
          </w:rPr>
          <w:t>Τροποποίηση 4111/2013 art_30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30" w:history="1">
        <w:r>
          <w:rPr>
            <w:rStyle w:val="Hyperlink"/>
            <w:color w:val="0000EE"/>
            <w:u w:color="0000EE"/>
            <w:lang w:val="el" w:eastAsia="el"/>
          </w:rPr>
          <w:t>Τροποποίηση 4111/2013 art_30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30" w:history="1">
        <w:r>
          <w:rPr>
            <w:rStyle w:val="Hyperlink"/>
            <w:color w:val="0000EE"/>
            <w:u w:color="0000EE"/>
            <w:lang w:val="el" w:eastAsia="el"/>
          </w:rPr>
          <w:t>Αφαίρεση 4111/2013 art_30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30" w:history="1">
        <w:r>
          <w:rPr>
            <w:rStyle w:val="Hyperlink"/>
            <w:color w:val="0000EE"/>
            <w:u w:color="0000EE"/>
            <w:lang w:val="el" w:eastAsia="el"/>
          </w:rPr>
          <w:t>Τροποποίηση 4111/2013 art_30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42" w:history="1">
        <w:r>
          <w:rPr>
            <w:rStyle w:val="Hyperlink"/>
            <w:color w:val="0000EE"/>
            <w:u w:color="0000EE"/>
            <w:lang w:val="el" w:eastAsia="el"/>
          </w:rPr>
          <w:t>Τροποποίηση 4386/2016 art_42</w:t>
        </w:r>
      </w:hyperlink>
      <w:r>
        <w:rPr>
          <w:lang w:val="el" w:eastAsia="el"/>
        </w:rPr>
        <w:t xml:space="preserve">; </w:t>
      </w:r>
      <w:hyperlink r:id="rId159" w:anchor=" art_30" w:history="1">
        <w:r>
          <w:rPr>
            <w:rStyle w:val="Hyperlink"/>
            <w:color w:val="0000EE"/>
            <w:u w:color="0000EE"/>
            <w:lang w:val="el" w:eastAsia="el"/>
          </w:rPr>
          <w:t>Τροποποίηση 4111/2013 art_30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42" w:history="1">
        <w:r>
          <w:rPr>
            <w:rStyle w:val="Hyperlink"/>
            <w:color w:val="0000EE"/>
            <w:u w:color="0000EE"/>
            <w:lang w:val="el" w:eastAsia="el"/>
          </w:rPr>
          <w:t>Τροποποίηση 4386/2016 art_42</w:t>
        </w:r>
      </w:hyperlink>
      <w:r>
        <w:rPr>
          <w:lang w:val="el" w:eastAsia="el"/>
        </w:rPr>
        <w:t xml:space="preserve">; </w:t>
      </w:r>
      <w:hyperlink r:id="rId161" w:anchor=" art_30" w:history="1">
        <w:r>
          <w:rPr>
            <w:rStyle w:val="Hyperlink"/>
            <w:color w:val="0000EE"/>
            <w:u w:color="0000EE"/>
            <w:lang w:val="el" w:eastAsia="el"/>
          </w:rPr>
          <w:t>Τροποποίηση 4111/2013 art_30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42" w:history="1">
        <w:r>
          <w:rPr>
            <w:rStyle w:val="Hyperlink"/>
            <w:color w:val="0000EE"/>
            <w:u w:color="0000EE"/>
            <w:lang w:val="el" w:eastAsia="el"/>
          </w:rPr>
          <w:t>Τροποποίηση 4386/2016 art_42</w:t>
        </w:r>
      </w:hyperlink>
      <w:r>
        <w:rPr>
          <w:lang w:val="el" w:eastAsia="el"/>
        </w:rPr>
        <w:t xml:space="preserve">; </w:t>
      </w:r>
      <w:hyperlink r:id="rId163" w:anchor=" art_30" w:history="1">
        <w:r>
          <w:rPr>
            <w:rStyle w:val="Hyperlink"/>
            <w:color w:val="0000EE"/>
            <w:u w:color="0000EE"/>
            <w:lang w:val="el" w:eastAsia="el"/>
          </w:rPr>
          <w:t>Τροποποίηση 4111/2013 art_30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42" w:history="1">
        <w:r>
          <w:rPr>
            <w:rStyle w:val="Hyperlink"/>
            <w:color w:val="0000EE"/>
            <w:u w:color="0000EE"/>
            <w:lang w:val="el" w:eastAsia="el"/>
          </w:rPr>
          <w:t>Τροποποίηση 4386/2016 art_42</w:t>
        </w:r>
      </w:hyperlink>
      <w:r>
        <w:rPr>
          <w:lang w:val="el" w:eastAsia="el"/>
        </w:rPr>
        <w:t xml:space="preserve">; </w:t>
      </w:r>
      <w:hyperlink r:id="rId165" w:anchor=" art_30" w:history="1">
        <w:r>
          <w:rPr>
            <w:rStyle w:val="Hyperlink"/>
            <w:color w:val="0000EE"/>
            <w:u w:color="0000EE"/>
            <w:lang w:val="el" w:eastAsia="el"/>
          </w:rPr>
          <w:t>Τροποποίηση 4111/2013 art_30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42" w:history="1">
        <w:r>
          <w:rPr>
            <w:rStyle w:val="Hyperlink"/>
            <w:color w:val="0000EE"/>
            <w:u w:color="0000EE"/>
            <w:lang w:val="el" w:eastAsia="el"/>
          </w:rPr>
          <w:t>Τροποποίηση 4386/2016 art_42</w:t>
        </w:r>
      </w:hyperlink>
      <w:r>
        <w:rPr>
          <w:lang w:val="el" w:eastAsia="el"/>
        </w:rPr>
        <w:t xml:space="preserve">; </w:t>
      </w:r>
      <w:hyperlink r:id="rId167" w:anchor=" art_30" w:history="1">
        <w:r>
          <w:rPr>
            <w:rStyle w:val="Hyperlink"/>
            <w:color w:val="0000EE"/>
            <w:u w:color="0000EE"/>
            <w:lang w:val="el" w:eastAsia="el"/>
          </w:rPr>
          <w:t>Τροποποίηση 4111/2013 art_30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 art_42" w:history="1">
        <w:r>
          <w:rPr>
            <w:rStyle w:val="Hyperlink"/>
            <w:color w:val="0000EE"/>
            <w:u w:color="0000EE"/>
            <w:lang w:val="el" w:eastAsia="el"/>
          </w:rPr>
          <w:t>Τροποποίηση 4386/2016 art_42</w:t>
        </w:r>
      </w:hyperlink>
      <w:r>
        <w:rPr>
          <w:lang w:val="el" w:eastAsia="el"/>
        </w:rPr>
        <w:t xml:space="preserve">; </w:t>
      </w:r>
      <w:hyperlink r:id="rId169" w:anchor=" art_30" w:history="1">
        <w:r>
          <w:rPr>
            <w:rStyle w:val="Hyperlink"/>
            <w:color w:val="0000EE"/>
            <w:u w:color="0000EE"/>
            <w:lang w:val="el" w:eastAsia="el"/>
          </w:rPr>
          <w:t>Τροποποίηση 4111/2013 art_30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42" w:history="1">
        <w:r>
          <w:rPr>
            <w:rStyle w:val="Hyperlink"/>
            <w:color w:val="0000EE"/>
            <w:u w:color="0000EE"/>
            <w:lang w:val="el" w:eastAsia="el"/>
          </w:rPr>
          <w:t>Προσθήκη 4386/2016 art_42</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30" w:history="1">
        <w:r>
          <w:rPr>
            <w:rStyle w:val="Hyperlink"/>
            <w:color w:val="0000EE"/>
            <w:u w:color="0000EE"/>
            <w:lang w:val="el" w:eastAsia="el"/>
          </w:rPr>
          <w:t>Τροποποίηση 4111/2013 art_30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30" w:history="1">
        <w:r>
          <w:rPr>
            <w:rStyle w:val="Hyperlink"/>
            <w:color w:val="0000EE"/>
            <w:u w:color="0000EE"/>
            <w:lang w:val="el" w:eastAsia="el"/>
          </w:rPr>
          <w:t>Τροποποίηση 4111/2013 art_30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30" w:history="1">
        <w:r>
          <w:rPr>
            <w:rStyle w:val="Hyperlink"/>
            <w:color w:val="0000EE"/>
            <w:u w:color="0000EE"/>
            <w:lang w:val="el" w:eastAsia="el"/>
          </w:rPr>
          <w:t>Τροποποίηση 4111/2013 art_30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30" w:history="1">
        <w:r>
          <w:rPr>
            <w:rStyle w:val="Hyperlink"/>
            <w:color w:val="0000EE"/>
            <w:u w:color="0000EE"/>
            <w:lang w:val="el" w:eastAsia="el"/>
          </w:rPr>
          <w:t>Τροποποίηση 4111/2013 art_30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11" w:history="1">
        <w:r>
          <w:rPr>
            <w:rStyle w:val="Hyperlink"/>
            <w:color w:val="0000EE"/>
            <w:u w:color="0000EE"/>
            <w:lang w:val="el" w:eastAsia="el"/>
          </w:rPr>
          <w:t>Προσθήκη 4229/2014 art_11</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30" w:history="1">
        <w:r>
          <w:rPr>
            <w:rStyle w:val="Hyperlink"/>
            <w:color w:val="0000EE"/>
            <w:u w:color="0000EE"/>
            <w:lang w:val="el" w:eastAsia="el"/>
          </w:rPr>
          <w:t>Τροποποίηση 4111/2013 art_30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1" w:history="1">
        <w:r>
          <w:rPr>
            <w:rStyle w:val="Hyperlink"/>
            <w:color w:val="0000EE"/>
            <w:u w:color="0000EE"/>
            <w:lang w:val="el" w:eastAsia="el"/>
          </w:rPr>
          <w:t>Τροποποίηση 4152/2013 art_1</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1" w:history="1">
        <w:r>
          <w:rPr>
            <w:rStyle w:val="Hyperlink"/>
            <w:color w:val="0000EE"/>
            <w:u w:color="0000EE"/>
            <w:lang w:val="el" w:eastAsia="el"/>
          </w:rPr>
          <w:t>Τροποποίηση 4152/2013 art_1</w:t>
        </w:r>
      </w:hyperlink>
      <w:r>
        <w:rPr>
          <w:lang w:val="el" w:eastAsia="el"/>
        </w:rPr>
        <w:t xml:space="preserve">; </w:t>
      </w:r>
      <w:hyperlink r:id="rId179" w:anchor=" art_30" w:history="1">
        <w:r>
          <w:rPr>
            <w:rStyle w:val="Hyperlink"/>
            <w:color w:val="0000EE"/>
            <w:u w:color="0000EE"/>
            <w:lang w:val="el" w:eastAsia="el"/>
          </w:rPr>
          <w:t>Τροποποίηση 4111/2013 art_30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33" w:history="1">
        <w:r>
          <w:rPr>
            <w:rStyle w:val="Hyperlink"/>
            <w:color w:val="0000EE"/>
            <w:u w:color="0000EE"/>
            <w:lang w:val="el" w:eastAsia="el"/>
          </w:rPr>
          <w:t>Προσθήκη 4186/2013 art_33</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30" w:history="1">
        <w:r>
          <w:rPr>
            <w:rStyle w:val="Hyperlink"/>
            <w:color w:val="0000EE"/>
            <w:u w:color="0000EE"/>
            <w:lang w:val="el" w:eastAsia="el"/>
          </w:rPr>
          <w:t>Τροποποίηση 4111/2013 art_30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30" w:history="1">
        <w:r>
          <w:rPr>
            <w:rStyle w:val="Hyperlink"/>
            <w:color w:val="0000EE"/>
            <w:u w:color="0000EE"/>
            <w:lang w:val="el" w:eastAsia="el"/>
          </w:rPr>
          <w:t>Αφαίρεση 4111/2013 art_30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82" w:history="1">
        <w:r>
          <w:rPr>
            <w:rStyle w:val="Hyperlink"/>
            <w:color w:val="0000EE"/>
            <w:u w:color="0000EE"/>
            <w:lang w:val="el" w:eastAsia="el"/>
          </w:rPr>
          <w:t>Τροποποίηση 4172/2013 art_82</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30" w:history="1">
        <w:r>
          <w:rPr>
            <w:rStyle w:val="Hyperlink"/>
            <w:color w:val="0000EE"/>
            <w:u w:color="0000EE"/>
            <w:lang w:val="el" w:eastAsia="el"/>
          </w:rPr>
          <w:t>Τροποποίηση 4111/2013 art_30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30" w:history="1">
        <w:r>
          <w:rPr>
            <w:rStyle w:val="Hyperlink"/>
            <w:color w:val="0000EE"/>
            <w:u w:color="0000EE"/>
            <w:lang w:val="el" w:eastAsia="el"/>
          </w:rPr>
          <w:t>Τροποποίηση 4111/2013 art_30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30" w:history="1">
        <w:r>
          <w:rPr>
            <w:rStyle w:val="Hyperlink"/>
            <w:color w:val="0000EE"/>
            <w:u w:color="0000EE"/>
            <w:lang w:val="el" w:eastAsia="el"/>
          </w:rPr>
          <w:t>Τροποποίηση 4111/2013 art_30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30" w:history="1">
        <w:r>
          <w:rPr>
            <w:rStyle w:val="Hyperlink"/>
            <w:color w:val="0000EE"/>
            <w:u w:color="0000EE"/>
            <w:lang w:val="el" w:eastAsia="el"/>
          </w:rPr>
          <w:t>Τροποποίηση 4111/2013 art_30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30" w:history="1">
        <w:r>
          <w:rPr>
            <w:rStyle w:val="Hyperlink"/>
            <w:color w:val="0000EE"/>
            <w:u w:color="0000EE"/>
            <w:lang w:val="el" w:eastAsia="el"/>
          </w:rPr>
          <w:t>Τροποποίηση 4111/2013 art_30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6" w:history="1">
        <w:r>
          <w:rPr>
            <w:rStyle w:val="Hyperlink"/>
            <w:color w:val="0000EE"/>
            <w:u w:color="0000EE"/>
            <w:lang w:val="el" w:eastAsia="el"/>
          </w:rPr>
          <w:t>Προσθήκη 4132/2013 art_6</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49" w:history="1">
        <w:r>
          <w:rPr>
            <w:rStyle w:val="Hyperlink"/>
            <w:color w:val="0000EE"/>
            <w:u w:color="0000EE"/>
            <w:lang w:val="el" w:eastAsia="el"/>
          </w:rPr>
          <w:t>Τροποποίηση 4278/2014 art_49</w:t>
        </w:r>
      </w:hyperlink>
      <w:r>
        <w:rPr>
          <w:lang w:val="el" w:eastAsia="el"/>
        </w:rPr>
        <w:t xml:space="preserve">; </w:t>
      </w:r>
      <w:hyperlink r:id="rId191" w:anchor=" art_48" w:history="1">
        <w:r>
          <w:rPr>
            <w:rStyle w:val="Hyperlink"/>
            <w:color w:val="0000EE"/>
            <w:u w:color="0000EE"/>
            <w:lang w:val="el" w:eastAsia="el"/>
          </w:rPr>
          <w:t>Τροποποίηση 4264/2014 art_48</w:t>
        </w:r>
      </w:hyperlink>
      <w:r>
        <w:rPr>
          <w:lang w:val="el" w:eastAsia="el"/>
        </w:rPr>
        <w:t xml:space="preserve">; </w:t>
      </w:r>
      <w:hyperlink r:id="rId192" w:anchor=" art_11" w:history="1">
        <w:r>
          <w:rPr>
            <w:rStyle w:val="Hyperlink"/>
            <w:color w:val="0000EE"/>
            <w:u w:color="0000EE"/>
            <w:lang w:val="el" w:eastAsia="el"/>
          </w:rPr>
          <w:t>Τροποποίηση 4229/2014 art_11</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 art_20" w:history="1">
        <w:r>
          <w:rPr>
            <w:rStyle w:val="Hyperlink"/>
            <w:color w:val="0000EE"/>
            <w:u w:color="0000EE"/>
            <w:lang w:val="el" w:eastAsia="el"/>
          </w:rPr>
          <w:t>Τροποποίηση 4203/2013 art_20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 art_19" w:history="1">
        <w:r>
          <w:rPr>
            <w:rStyle w:val="Hyperlink"/>
            <w:color w:val="0000EE"/>
            <w:u w:color="0000EE"/>
            <w:lang w:val="el" w:eastAsia="el"/>
          </w:rPr>
          <w:t>Τροποποίηση 4111/2013 art_19</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 art_19" w:history="1">
        <w:r>
          <w:rPr>
            <w:rStyle w:val="Hyperlink"/>
            <w:color w:val="0000EE"/>
            <w:u w:color="0000EE"/>
            <w:lang w:val="el" w:eastAsia="el"/>
          </w:rPr>
          <w:t>Τροποποίηση 4111/2013 art_19</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 art_19" w:history="1">
        <w:r>
          <w:rPr>
            <w:rStyle w:val="Hyperlink"/>
            <w:color w:val="0000EE"/>
            <w:u w:color="0000EE"/>
            <w:lang w:val="el" w:eastAsia="el"/>
          </w:rPr>
          <w:t>Τροποποίηση 4111/2013 art_19</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 art_65" w:history="1">
        <w:r>
          <w:rPr>
            <w:rStyle w:val="Hyperlink"/>
            <w:color w:val="0000EE"/>
            <w:u w:color="0000EE"/>
            <w:lang w:val="el" w:eastAsia="el"/>
          </w:rPr>
          <w:t>Τροποποίηση 4170/2013 art_65</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 art_65" w:history="1">
        <w:r>
          <w:rPr>
            <w:rStyle w:val="Hyperlink"/>
            <w:color w:val="0000EE"/>
            <w:u w:color="0000EE"/>
            <w:lang w:val="el" w:eastAsia="el"/>
          </w:rPr>
          <w:t>Τροποποίηση 4170/2013 art_65</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 art_38" w:history="1">
        <w:r>
          <w:rPr>
            <w:rStyle w:val="Hyperlink"/>
            <w:color w:val="0000EE"/>
            <w:u w:color="0000EE"/>
            <w:lang w:val="el" w:eastAsia="el"/>
          </w:rPr>
          <w:t>Τροποποίηση 4144/2013 art_38</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 art_38" w:history="1">
        <w:r>
          <w:rPr>
            <w:rStyle w:val="Hyperlink"/>
            <w:color w:val="0000EE"/>
            <w:u w:color="0000EE"/>
            <w:lang w:val="el" w:eastAsia="el"/>
          </w:rPr>
          <w:t>Προσθήκη 4144/2013 art_38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 art_38" w:history="1">
        <w:r>
          <w:rPr>
            <w:rStyle w:val="Hyperlink"/>
            <w:color w:val="0000EE"/>
            <w:u w:color="0000EE"/>
            <w:lang w:val="el" w:eastAsia="el"/>
          </w:rPr>
          <w:t>Προσθήκη 4144/2013 art_38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 art_38" w:history="1">
        <w:r>
          <w:rPr>
            <w:rStyle w:val="Hyperlink"/>
            <w:color w:val="0000EE"/>
            <w:u w:color="0000EE"/>
            <w:lang w:val="el" w:eastAsia="el"/>
          </w:rPr>
          <w:t>Προσθήκη 4144/2013 art_38</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 art_1" w:history="1">
        <w:r>
          <w:rPr>
            <w:rStyle w:val="Hyperlink"/>
            <w:color w:val="0000EE"/>
            <w:u w:color="0000EE"/>
            <w:lang w:val="el" w:eastAsia="el"/>
          </w:rPr>
          <w:t>Τροποποίηση 4147/2013 art_1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 art_40" w:history="1">
        <w:r>
          <w:rPr>
            <w:rStyle w:val="Hyperlink"/>
            <w:color w:val="0000EE"/>
            <w:u w:color="0000EE"/>
            <w:lang w:val="el" w:eastAsia="el"/>
          </w:rPr>
          <w:t>Αφαίρεση 4387/2016 art_40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 art_36" w:history="1">
        <w:r>
          <w:rPr>
            <w:rStyle w:val="Hyperlink"/>
            <w:color w:val="0000EE"/>
            <w:u w:color="0000EE"/>
            <w:lang w:val="el" w:eastAsia="el"/>
          </w:rPr>
          <w:t>Τροποποίηση 4111/2013 art_36</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 art_63" w:history="1">
        <w:r>
          <w:rPr>
            <w:rStyle w:val="Hyperlink"/>
            <w:color w:val="0000EE"/>
            <w:u w:color="0000EE"/>
            <w:lang w:val="el" w:eastAsia="el"/>
          </w:rPr>
          <w:t>Τροποποίηση 4150/2013 art_63</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 art_37" w:history="1">
        <w:r>
          <w:rPr>
            <w:rStyle w:val="Hyperlink"/>
            <w:color w:val="0000EE"/>
            <w:u w:color="0000EE"/>
            <w:lang w:val="el" w:eastAsia="el"/>
          </w:rPr>
          <w:t>Τροποποίηση 4111/2013 art_37</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 art_69" w:history="1">
        <w:r>
          <w:rPr>
            <w:rStyle w:val="Hyperlink"/>
            <w:color w:val="0000EE"/>
            <w:u w:color="0000EE"/>
            <w:lang w:val="el" w:eastAsia="el"/>
          </w:rPr>
          <w:t>Τροποποίηση 4235/2014 art_69</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 art_32" w:history="1">
        <w:r>
          <w:rPr>
            <w:rStyle w:val="Hyperlink"/>
            <w:color w:val="0000EE"/>
            <w:u w:color="0000EE"/>
            <w:lang w:val="el" w:eastAsia="el"/>
          </w:rPr>
          <w:t>Τροποποίηση 4316/2014 art_32</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5/05/11/4325" TargetMode="External" /><Relationship Id="rId101" Type="http://schemas.openxmlformats.org/officeDocument/2006/relationships/hyperlink" Target="http://data.aade.gr/eli/pri/law/2014/04/14/4257" TargetMode="External" /><Relationship Id="rId102" Type="http://schemas.openxmlformats.org/officeDocument/2006/relationships/hyperlink" Target="http://data.aade.gr/eli/pri/law/2014/04/14/4257"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14/04/14/4257" TargetMode="External" /><Relationship Id="rId105" Type="http://schemas.openxmlformats.org/officeDocument/2006/relationships/hyperlink" Target="http://data.aade.gr/eli/pri/law/2013/01/25/4111"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4/26/4147" TargetMode="External" /><Relationship Id="rId113" Type="http://schemas.openxmlformats.org/officeDocument/2006/relationships/hyperlink" Target="http://data.aade.gr/eli/pri/law/2013/01/25/4111" TargetMode="External" /><Relationship Id="rId114" Type="http://schemas.openxmlformats.org/officeDocument/2006/relationships/hyperlink" Target="http://data.aade.gr/eli/pri/law/2014/04/01/4251" TargetMode="External" /><Relationship Id="rId115" Type="http://schemas.openxmlformats.org/officeDocument/2006/relationships/hyperlink" Target="http://data.aade.gr/eli/pri/law/2013/11/21/4210" TargetMode="External" /><Relationship Id="rId116" Type="http://schemas.openxmlformats.org/officeDocument/2006/relationships/hyperlink" Target="http://data.aade.gr/eli/pri/law/2013/08/08/4178"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4/02/17/4238" TargetMode="External" /><Relationship Id="rId119" Type="http://schemas.openxmlformats.org/officeDocument/2006/relationships/hyperlink" Target="http://data.aade.gr/eli/pri/law/2014/07/15/4275"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4/10/31/4305" TargetMode="External" /><Relationship Id="rId122" Type="http://schemas.openxmlformats.org/officeDocument/2006/relationships/hyperlink" Target="http://data.aade.gr/eli/pri/law/2013/01/23/4109" TargetMode="External" /><Relationship Id="rId123" Type="http://schemas.openxmlformats.org/officeDocument/2006/relationships/hyperlink" Target="http://data.aade.gr/eli/pri/law/2013/07/23/4172" TargetMode="External" /><Relationship Id="rId124" Type="http://schemas.openxmlformats.org/officeDocument/2006/relationships/hyperlink" Target="http://data.aade.gr/eli/pri/law/2015/05/11/4325" TargetMode="External" /><Relationship Id="rId125" Type="http://schemas.openxmlformats.org/officeDocument/2006/relationships/hyperlink" Target="http://data.aade.gr/eli/pri/law/2015/05/11/4325" TargetMode="External" /><Relationship Id="rId126" Type="http://schemas.openxmlformats.org/officeDocument/2006/relationships/hyperlink" Target="http://data.aade.gr/eli/pri/law/2015/05/11/4325" TargetMode="External" /><Relationship Id="rId127" Type="http://schemas.openxmlformats.org/officeDocument/2006/relationships/hyperlink" Target="http://data.aade.gr/eli/pri/law/2015/05/11/4325" TargetMode="External" /><Relationship Id="rId128" Type="http://schemas.openxmlformats.org/officeDocument/2006/relationships/hyperlink" Target="http://data.aade.gr/eli/pri/law/2015/05/11/4325" TargetMode="External" /><Relationship Id="rId129" Type="http://schemas.openxmlformats.org/officeDocument/2006/relationships/hyperlink" Target="http://data.aade.gr/eli/pri/law/2015/05/11/4325"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5/05/11/4325" TargetMode="External" /><Relationship Id="rId131" Type="http://schemas.openxmlformats.org/officeDocument/2006/relationships/hyperlink" Target="http://data.aade.gr/eli/pri/law/2015/05/11/4325" TargetMode="External" /><Relationship Id="rId132" Type="http://schemas.openxmlformats.org/officeDocument/2006/relationships/hyperlink" Target="http://data.aade.gr/eli/pri/law/2015/05/11/4325" TargetMode="External" /><Relationship Id="rId133" Type="http://schemas.openxmlformats.org/officeDocument/2006/relationships/hyperlink" Target="http://data.aade.gr/eli/pri/law/2013/01/25/4111" TargetMode="External" /><Relationship Id="rId134" Type="http://schemas.openxmlformats.org/officeDocument/2006/relationships/hyperlink" Target="http://data.aade.gr/eli/pri/law/2014/02/12/4237" TargetMode="External" /><Relationship Id="rId135" Type="http://schemas.openxmlformats.org/officeDocument/2006/relationships/hyperlink" Target="http://data.aade.gr/eli/pri/law/2013/11/18/4208" TargetMode="External" /><Relationship Id="rId136" Type="http://schemas.openxmlformats.org/officeDocument/2006/relationships/hyperlink" Target="http://data.aade.gr/eli/pri/law/2013/03/19/4138" TargetMode="External" /><Relationship Id="rId137" Type="http://schemas.openxmlformats.org/officeDocument/2006/relationships/hyperlink" Target="http://data.aade.gr/eli/pri/law/2013/01/25/4111" TargetMode="External" /><Relationship Id="rId138" Type="http://schemas.openxmlformats.org/officeDocument/2006/relationships/hyperlink" Target="http://data.aade.gr/eli/pri/law/2013/08/08/4179" TargetMode="External" /><Relationship Id="rId139" Type="http://schemas.openxmlformats.org/officeDocument/2006/relationships/hyperlink" Target="http://data.aade.gr/eli/pri/law/2013/10/11/4199"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3/10/11/4199" TargetMode="External" /><Relationship Id="rId141" Type="http://schemas.openxmlformats.org/officeDocument/2006/relationships/hyperlink" Target="http://data.aade.gr/eli/pri/law/2013/10/11/4199" TargetMode="External" /><Relationship Id="rId142" Type="http://schemas.openxmlformats.org/officeDocument/2006/relationships/hyperlink" Target="http://data.aade.gr/eli/pri/law/2013/10/11/4199" TargetMode="External" /><Relationship Id="rId143" Type="http://schemas.openxmlformats.org/officeDocument/2006/relationships/hyperlink" Target="http://data.aade.gr/eli/pri/law/2013/01/25/4111" TargetMode="External" /><Relationship Id="rId144" Type="http://schemas.openxmlformats.org/officeDocument/2006/relationships/hyperlink" Target="http://data.aade.gr/eli/pri/law/2014/01/10/4229"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3/01/25/4111" TargetMode="External" /><Relationship Id="rId147" Type="http://schemas.openxmlformats.org/officeDocument/2006/relationships/hyperlink" Target="http://data.aade.gr/eli/pri/law/2013/01/25/4111" TargetMode="External" /><Relationship Id="rId148" Type="http://schemas.openxmlformats.org/officeDocument/2006/relationships/hyperlink" Target="http://data.aade.gr/eli/pri/law/2014/05/15/4264" TargetMode="External" /><Relationship Id="rId149"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1/25/4111"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13/01/25/4111" TargetMode="External" /><Relationship Id="rId153" Type="http://schemas.openxmlformats.org/officeDocument/2006/relationships/hyperlink" Target="http://data.aade.gr/eli/pri/law/2013/01/25/4111" TargetMode="External" /><Relationship Id="rId154" Type="http://schemas.openxmlformats.org/officeDocument/2006/relationships/hyperlink" Target="http://data.aade.gr/eli/pri/law/2013/01/25/4111" TargetMode="External" /><Relationship Id="rId155" Type="http://schemas.openxmlformats.org/officeDocument/2006/relationships/hyperlink" Target="http://data.aade.gr/eli/pri/law/2013/01/25/4111" TargetMode="External" /><Relationship Id="rId156" Type="http://schemas.openxmlformats.org/officeDocument/2006/relationships/hyperlink" Target="http://data.aade.gr/eli/pri/law/2013/01/25/4111" TargetMode="External" /><Relationship Id="rId157" Type="http://schemas.openxmlformats.org/officeDocument/2006/relationships/hyperlink" Target="http://data.aade.gr/eli/pri/law/2013/01/25/4111" TargetMode="External" /><Relationship Id="rId158" Type="http://schemas.openxmlformats.org/officeDocument/2006/relationships/hyperlink" Target="http://data.aade.gr/eli/pri/law/2016/05/11/4386" TargetMode="External" /><Relationship Id="rId159"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6/05/11/4386" TargetMode="External" /><Relationship Id="rId161" Type="http://schemas.openxmlformats.org/officeDocument/2006/relationships/hyperlink" Target="http://data.aade.gr/eli/pri/law/2013/01/25/4111" TargetMode="External" /><Relationship Id="rId162" Type="http://schemas.openxmlformats.org/officeDocument/2006/relationships/hyperlink" Target="http://data.aade.gr/eli/pri/law/2016/05/11/4386" TargetMode="External" /><Relationship Id="rId163" Type="http://schemas.openxmlformats.org/officeDocument/2006/relationships/hyperlink" Target="http://data.aade.gr/eli/pri/law/2013/01/25/4111" TargetMode="External" /><Relationship Id="rId164" Type="http://schemas.openxmlformats.org/officeDocument/2006/relationships/hyperlink" Target="http://data.aade.gr/eli/pri/law/2016/05/11/4386" TargetMode="External" /><Relationship Id="rId165" Type="http://schemas.openxmlformats.org/officeDocument/2006/relationships/hyperlink" Target="http://data.aade.gr/eli/pri/law/2013/01/25/4111" TargetMode="External" /><Relationship Id="rId166" Type="http://schemas.openxmlformats.org/officeDocument/2006/relationships/hyperlink" Target="http://data.aade.gr/eli/pri/law/2016/05/11/4386" TargetMode="External" /><Relationship Id="rId167" Type="http://schemas.openxmlformats.org/officeDocument/2006/relationships/hyperlink" Target="http://data.aade.gr/eli/pri/law/2013/01/25/4111" TargetMode="External" /><Relationship Id="rId168" Type="http://schemas.openxmlformats.org/officeDocument/2006/relationships/hyperlink" Target="http://data.aade.gr/eli/pri/law/2016/05/11/4386" TargetMode="External" /><Relationship Id="rId169"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6/05/11/4386" TargetMode="External" /><Relationship Id="rId171" Type="http://schemas.openxmlformats.org/officeDocument/2006/relationships/hyperlink" Target="http://data.aade.gr/eli/pri/law/2013/01/25/4111" TargetMode="External" /><Relationship Id="rId172" Type="http://schemas.openxmlformats.org/officeDocument/2006/relationships/hyperlink" Target="http://data.aade.gr/eli/pri/law/2013/01/25/4111" TargetMode="External" /><Relationship Id="rId173" Type="http://schemas.openxmlformats.org/officeDocument/2006/relationships/hyperlink" Target="http://data.aade.gr/eli/pri/law/2013/01/25/4111" TargetMode="External" /><Relationship Id="rId174" Type="http://schemas.openxmlformats.org/officeDocument/2006/relationships/hyperlink" Target="http://data.aade.gr/eli/pri/law/2013/01/25/4111" TargetMode="External" /><Relationship Id="rId175" Type="http://schemas.openxmlformats.org/officeDocument/2006/relationships/hyperlink" Target="http://data.aade.gr/eli/pri/law/2014/01/10/4229" TargetMode="External" /><Relationship Id="rId176" Type="http://schemas.openxmlformats.org/officeDocument/2006/relationships/hyperlink" Target="http://data.aade.gr/eli/pri/law/2013/01/25/4111" TargetMode="External" /><Relationship Id="rId177" Type="http://schemas.openxmlformats.org/officeDocument/2006/relationships/hyperlink" Target="http://data.aade.gr/eli/pri/law/2013/05/09/4152" TargetMode="External" /><Relationship Id="rId178" Type="http://schemas.openxmlformats.org/officeDocument/2006/relationships/hyperlink" Target="http://data.aade.gr/eli/pri/law/2013/05/09/4152" TargetMode="External" /><Relationship Id="rId179"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9/17/4186" TargetMode="External" /><Relationship Id="rId181" Type="http://schemas.openxmlformats.org/officeDocument/2006/relationships/hyperlink" Target="http://data.aade.gr/eli/pri/law/2013/01/25/4111" TargetMode="External" /><Relationship Id="rId182" Type="http://schemas.openxmlformats.org/officeDocument/2006/relationships/hyperlink" Target="http://data.aade.gr/eli/pri/law/2013/01/25/4111" TargetMode="External" /><Relationship Id="rId183" Type="http://schemas.openxmlformats.org/officeDocument/2006/relationships/hyperlink" Target="http://data.aade.gr/eli/pri/law/2013/07/23/4172" TargetMode="External" /><Relationship Id="rId184" Type="http://schemas.openxmlformats.org/officeDocument/2006/relationships/hyperlink" Target="http://data.aade.gr/eli/pri/law/2013/01/25/4111" TargetMode="External" /><Relationship Id="rId185" Type="http://schemas.openxmlformats.org/officeDocument/2006/relationships/hyperlink" Target="http://data.aade.gr/eli/pri/law/2013/01/25/4111" TargetMode="External" /><Relationship Id="rId186" Type="http://schemas.openxmlformats.org/officeDocument/2006/relationships/hyperlink" Target="http://data.aade.gr/eli/pri/law/2013/01/25/4111" TargetMode="External" /><Relationship Id="rId187" Type="http://schemas.openxmlformats.org/officeDocument/2006/relationships/hyperlink" Target="http://data.aade.gr/eli/pri/law/2013/01/25/4111"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13/03/07/4132"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4/08/04/4278" TargetMode="External" /><Relationship Id="rId191" Type="http://schemas.openxmlformats.org/officeDocument/2006/relationships/hyperlink" Target="http://data.aade.gr/eli/pri/law/2014/05/15/4264" TargetMode="External" /><Relationship Id="rId192" Type="http://schemas.openxmlformats.org/officeDocument/2006/relationships/hyperlink" Target="http://data.aade.gr/eli/pri/law/2014/01/10/4229" TargetMode="External" /><Relationship Id="rId193" Type="http://schemas.openxmlformats.org/officeDocument/2006/relationships/hyperlink" Target="http://data.aade.gr/eli/pri/law/2013/11/01/4203" TargetMode="External" /><Relationship Id="rId194" Type="http://schemas.openxmlformats.org/officeDocument/2006/relationships/hyperlink" Target="http://data.aade.gr/eli/pri/law/2013/01/25/4111" TargetMode="External" /><Relationship Id="rId195" Type="http://schemas.openxmlformats.org/officeDocument/2006/relationships/hyperlink" Target="http://data.aade.gr/eli/pri/law/2013/01/25/4111" TargetMode="External" /><Relationship Id="rId196" Type="http://schemas.openxmlformats.org/officeDocument/2006/relationships/hyperlink" Target="http://data.aade.gr/eli/pri/law/2013/01/25/4111" TargetMode="External" /><Relationship Id="rId197" Type="http://schemas.openxmlformats.org/officeDocument/2006/relationships/hyperlink" Target="http://data.aade.gr/eli/pri/law/2013/07/12/4170" TargetMode="External" /><Relationship Id="rId198" Type="http://schemas.openxmlformats.org/officeDocument/2006/relationships/hyperlink" Target="http://data.aade.gr/eli/pri/law/2013/07/12/4170" TargetMode="External" /><Relationship Id="rId199" Type="http://schemas.openxmlformats.org/officeDocument/2006/relationships/hyperlink" Target="http://data.aade.gr/eli/pri/law/2013/04/18/4144"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13/04/18/4144" TargetMode="External" /><Relationship Id="rId201" Type="http://schemas.openxmlformats.org/officeDocument/2006/relationships/hyperlink" Target="http://data.aade.gr/eli/pri/law/2013/04/18/4144" TargetMode="External" /><Relationship Id="rId202" Type="http://schemas.openxmlformats.org/officeDocument/2006/relationships/hyperlink" Target="http://data.aade.gr/eli/pri/law/2013/04/18/4144" TargetMode="External" /><Relationship Id="rId203" Type="http://schemas.openxmlformats.org/officeDocument/2006/relationships/hyperlink" Target="http://data.aade.gr/eli/pri/law/2013/04/26/4147" TargetMode="External" /><Relationship Id="rId204" Type="http://schemas.openxmlformats.org/officeDocument/2006/relationships/hyperlink" Target="http://data.aade.gr/eli/pri/law/2016/05/12/4387" TargetMode="External" /><Relationship Id="rId205" Type="http://schemas.openxmlformats.org/officeDocument/2006/relationships/hyperlink" Target="http://data.aade.gr/eli/pri/law/2013/01/25/4111" TargetMode="External" /><Relationship Id="rId206" Type="http://schemas.openxmlformats.org/officeDocument/2006/relationships/hyperlink" Target="http://data.aade.gr/eli/pri/law/2013/04/29/4150" TargetMode="External" /><Relationship Id="rId207" Type="http://schemas.openxmlformats.org/officeDocument/2006/relationships/hyperlink" Target="http://data.aade.gr/eli/pri/law/2013/01/25/4111" TargetMode="External" /><Relationship Id="rId208" Type="http://schemas.openxmlformats.org/officeDocument/2006/relationships/hyperlink" Target="http://data.aade.gr/eli/pri/law/2014/02/11/4235" TargetMode="External" /><Relationship Id="rId209" Type="http://schemas.openxmlformats.org/officeDocument/2006/relationships/hyperlink" Target="http://data.aade.gr/eli/pri/law/2014/12/24/4316"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3/01/23/4109" TargetMode="External" /><Relationship Id="rId35" Type="http://schemas.openxmlformats.org/officeDocument/2006/relationships/hyperlink" Target="http://data.aade.gr/eli/pri/law/2013/03/07/4132"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4/04/07/4254" TargetMode="External" /><Relationship Id="rId38" Type="http://schemas.openxmlformats.org/officeDocument/2006/relationships/hyperlink" Target="http://data.aade.gr/eli/pri/law/2013/01/25/4111"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3/4110"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04/05/4141" TargetMode="External" /><Relationship Id="rId53" Type="http://schemas.openxmlformats.org/officeDocument/2006/relationships/hyperlink" Target="http://data.aade.gr/eli/pri/law/2014/08/08/4281"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7/12/4170" TargetMode="External" /><Relationship Id="rId63" Type="http://schemas.openxmlformats.org/officeDocument/2006/relationships/hyperlink" Target="http://data.aade.gr/eli/pri/law/2013/04/05/4141"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4/10/17/4303"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4/05/4141"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1/23/4110" TargetMode="External" /><Relationship Id="rId79" Type="http://schemas.openxmlformats.org/officeDocument/2006/relationships/hyperlink" Target="http://data.aade.gr/eli/pri/law/2014/04/14/4257"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4/04/14/4257" TargetMode="External" /><Relationship Id="rId81" Type="http://schemas.openxmlformats.org/officeDocument/2006/relationships/hyperlink" Target="http://data.aade.gr/eli/pri/law/2014/04/14/4257"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