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5671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ΤΕΥΧΟΣ ΠΡΩΤΟ Αρ. Φύλλου 226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15 Νοεμβρίου 2012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ΝΟΜΟΣ ΥΠ’ ΑΡΙΘ. 4095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ΚύρωσητουΚρατικούΠροϋπολογισμούκαιτωνπροϋ- πολογισμώνορισμένωνειδικώνταμείωνκαιυπηρε- σιώνοικονομικούέτους2013.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ο Κρατικός Προϋπολογισμός του οικονομικού έτους 2013 ο οποίος είναι εναρμονισμένος με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Μεσοπρόθεσμο Πλαίσιο Δημοσιονομικής Στρατηγικής 2013-2016.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έσοδα και τα έξοδα του Κρατικού Προϋπολογισμού οικονομικού έτους 2013 ορίζονται στους επισυναπτόμε-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νους πίνακες και κατανέμονται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81"/>
        <w:gridCol w:w="945"/>
        <w:gridCol w:w="2350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 ΕΣΟΔΑ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114.378.000.000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49.685.000.000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236.000.000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Πιστωτικά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64.457.000.000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6.850.000.000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Ίδια 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4.936.000.000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pStyle w:val="StructureList1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Πιστωτικά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1.714.000.000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121.228.000.000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β. ΕΞΟΔΑ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114.378.000.000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6.850.000.000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121.228.000.000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 (ΤΕΥΧΟΣ ΠΡΩΤΟ)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έσοδα και τα έξοδα των παρακάτω ταμείων και υπηρεσιών για το οικονομικό έτος 2013, ορίζονται στους επισυναπτόμενους πίνακες και έχουν κατά ταμείο και υπηρεσία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2"/>
        <w:gridCol w:w="944"/>
        <w:gridCol w:w="2042"/>
        <w:gridCol w:w="204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Έξοδα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1) Ταμείο Εθνικής Άμυνας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1.437.000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1.437.000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2) Ταμείο Εθνικού Στόλου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3) Ταμείο Αεροπορικής Άμυνας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4) Εθνικά Κληροδοτήματα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35.908.820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35.908.820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5) Υπηρεσία Κρατικών Λαχείων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389.520.000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389.520.000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6) Ταμείο Γεωργίας και Κτηνοτροφίας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7) Κεφάλαια Σποροπαραγωγής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4.490.000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4.490.000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8) Υπηρεσία Εγγείων Βελτιώσεων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9) Ειδικός Λογαριασμός Εγγυήσεων Γεωργικών Προϊόντων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4.021.257.469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4.021.257.469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10) Επιτροπή Ανταγωνισμού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28.112.097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28.112.097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11) Ρυθμιστική Αρχή Ενέργειας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9.345.000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9.176.000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12) Επιτροπή Εποπτείας και Ελέγχου Παιγνίων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6.400.000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6.400.000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4.516.770.386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4.516.601.386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Νοεμβρίου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ΟΙΚΟΝΟΜΙΚΩΝΙΩΑΝΝΗΣ ΣΤΟΥΡΝΑΡΑΣ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ΘεωρήθηκεκαιτέθηκεηΜεγάληΣφραγίδατουΚράτους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15 Νοεμβρίου 2012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  <w:r>
        <w:rPr>
          <w:b/>
          <w:bCs/>
          <w:lang w:val="el" w:eastAsia="el"/>
        </w:rPr>
        <w:t>ΑΝΤΩΝΙΟΣ ΡΟΥΠΑΚΙΩΤΗΣ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