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Εισφορά σε εταιρίες του άρθρου 25 του ν. 27/1975 (Α΄77)</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Στα γραφεία ή υποκαταστήματα αλλοδαπών επιχειρήσεων οποιουδήποτε τύπου ή μορφής,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οκτώ (8) έτη επί του ετήσιου ποσού του συνολικού εισαγομένου και μετατρεπομένου σε ευρώ συναλλάγματος σύμφωνα με τις διατάξεις του άρθρου 25 του Ν. 27/1975 (Α 77), η οποία υπολογίζεται με τις παρακάτω κλίμακες:</w:t>
      </w:r>
    </w:p>
    <w:p>
      <w:pPr>
        <w:pStyle w:val="StructureList1"/>
        <w:spacing w:before="120" w:after="0"/>
        <w:rPr>
          <w:lang w:val="el" w:eastAsia="el"/>
        </w:rPr>
      </w:pPr>
      <w:r>
        <w:rPr>
          <w:lang w:val="el" w:eastAsia="el"/>
        </w:rPr>
        <w:t>α)</w:t>
      </w:r>
      <w:r>
        <w:rPr>
          <w:lang w:val="en" w:eastAsia="en"/>
        </w:rPr>
        <w:tab/>
      </w:r>
      <w:r>
        <w:rPr>
          <w:lang w:val="el" w:eastAsia="el"/>
        </w:rPr>
        <w:t>Για τα ετήσια ποσά συνολικού εισαγομένου και μετατρεπόμενου σε ευρώ συναλλάγματος της τετραετίας 2012-2015: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8"/>
        <w:gridCol w:w="1865"/>
        <w:gridCol w:w="1562"/>
        <w:gridCol w:w="2318"/>
        <w:gridCol w:w="128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β)</w:t>
      </w:r>
      <w:r>
        <w:rPr>
          <w:lang w:val="en" w:eastAsia="en"/>
        </w:rPr>
        <w:tab/>
      </w:r>
      <w:r>
        <w:rPr>
          <w:lang w:val="el" w:eastAsia="el"/>
        </w:rPr>
        <w:t>Για τα ετήσια ποσά συνολικού εισαγομένου και μετατρεπόμενου σε ευρώ συναλλάγματος της τετραετίας 2016-2019: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1"/>
        <w:gridCol w:w="1843"/>
        <w:gridCol w:w="1544"/>
        <w:gridCol w:w="2291"/>
        <w:gridCol w:w="126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και "μετατρεπομένου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περίπτωση που το συνολικό ετήσιο εισαγόμενο και μετατρεπόμενο σε ευρώ συνάλλαγμα μίας επιχείρησης είναι μικρότερο από το προβλεπόμενο ελάχιστο όριο των πενήντα χιλιάδων (50.000) δολαρίων Η.Π.Α., η εισφορά θα υπολογιστεί για πενήντα χιλιάδες (50.000) δολάρια Η.Π.Α., μετατρεπόμενου σε ευρώ του ποσού των 50.000 δολαρίων Η.Π.Α..</w:t>
      </w:r>
    </w:p>
    <w:p>
      <w:pPr>
        <w:spacing w:before="240" w:after="240"/>
        <w:rPr>
          <w:lang w:val="el" w:eastAsia="el"/>
        </w:rPr>
      </w:pPr>
      <w:r>
        <w:rPr>
          <w:lang w:val="el" w:eastAsia="el"/>
        </w:rPr>
        <w:t>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εγκατάστασής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κατά την παράγραφο 1 υπόχρεες σε καταβολή της ως άνω εισφοράς επιχειρήσεις για το συνολικό ετήσιο εισαγόμενο και μετατρεπόμενο σε ευρώ συνάλλαγμα της οκταετίας 2012-2019, υποβάλλουν στον προϊστάμενο της αρμόδιας Δημόσιας Οικονομικής Υπηρεσίας (Δ.Ο.Υ.) για τη φορολογία τους ειδική δήλωση υπολογισμού της εισφοράς επί του συνολικού εισαγόμενου και μετατρεπόμενου σε ευρώ συναλλάγματος μέχρι το τέλος Μαρτίου του επόμενου κάθε φορά έτους. Με τη δήλωση αυτή συνυποβάλλονται επικυρωμένα αντίγραφα των βεβαιώσεων εισαγωγής συναλλάγματος, καθώς και σχετική υπεύθυνη δήλωση των νομίμων εκπροσώπων των υπόχρεων εταιρειών στον προϊστάμενο της αρμόδιας Δημόσιας Οικονομικής Υπηρεσίας (Δ.Ο.Υ.) για τη φορολογία των εταιρειών αυτών. Κατ' εξαίρεση η δήλωση της εισφοράς επί του συνολικού εισαγόμενου και μετατρεπόμενου σε ευρώ συναλλάγματος για το έτος 2016 υποβάλλεται μέχρι το τέλος Ιουνίου του έτους 2017.</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εισφορά του παρόντος άρθρου βεβαιώνεται από τον προϊστάμενο της αρμόδιας Δ.Ο.Υ. με βάση την ειδική δήλωση υπολογισμού της ετήσιας εισφοράς. Για την καταβολή της εισφοράς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του φόρου: οι διευθυντές, διαχειριστές και γενικά οι εκπρόσωποι των κάθε είδους επιχειρήσεων ή εταιριών της παραγράφου1 του παρόντος άρθρου, ο καθένας χωριστά για ολόκληρο το ποσό της εισφοράς.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Η εισφορά υπολογίζεται σε δολάρια Η.Π.Α. και μαζί με την ειδική ετήσια δήλωση καταβάλλεται και το ένα τέταρτο (1/4) της οφειλόμενης εισφοράς σε ευρώ με βάση την επίσημη ισοτιμία μεταξύ των νομισμάτων αυτών κατά το χρόνο υποβολής της δήλωσης. Τα άλλα τρία τέταρτα (3/4) της εισφοράς καταβάλλονται σε τρεις (3) ισόποσες δόσεις στους μήνες Ιούνιο, Σεπτέμβριο και Δεκέμβριο του έτους υποβολής της δήλωσης. Σε περίπτωση παράλειψης επίδοσης από τον υπόχρεο της δήλωσης που προβλέπεται από το νόμο ή υποβολής από αυτόν εκπρόθεσμης ή ανακριβούς δήλωσης επιβάλλεται πρόσθετη εισφορά και πρόστιμο, σύμφωνα με τις διατάξεις του ν. </w:t>
      </w:r>
      <w:r>
        <w:rPr>
          <w:rStyle w:val="link"/>
          <w:lang w:val="el" w:eastAsia="el"/>
        </w:rPr>
        <w:t>2523/1997</w:t>
      </w:r>
      <w:r>
        <w:rPr>
          <w:lang w:val="el" w:eastAsia="el"/>
        </w:rPr>
        <w:t> όπως ισχύουν.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η ειδικότερη διαδικασία για την υποβολή της εισφοράς, τα απαιτούμενα δικαιολογητικά που υποβάλλονται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Στα μερίσματα που εισπράττει φυσικό πρόσωπο φορολογικός κάτοικος Ελλάδας, από αλλοδαπή επιχείρηση οποιουδήποτε τύπου ή μορφής, που διατηρεί γραφεία ή υποκαταστήματα εγκατεστημένα σύμφωνα με τις διατάξεις του άρθρου 25 του ν. </w:t>
      </w:r>
      <w:r>
        <w:rPr>
          <w:rStyle w:val="link"/>
          <w:lang w:val="el" w:eastAsia="el"/>
        </w:rPr>
        <w:t>27/1975</w:t>
      </w:r>
      <w:r>
        <w:rPr>
          <w:lang w:val="el" w:eastAsia="el"/>
        </w:rPr>
        <w:t> (Α΄ 77) και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φόρος με συντελεστή δέκα τοις εκατό (10%), ο οποίος καταβάλλεται από το δικαιούχο του μερίσματος. Ο δικαιούχος του εισοδήματος αυτού αποδίδει ο ίδιος τον οφειλόμενο φόρο της παρούσας παραγράφου εφάπαξ με την υποβολή δήλωσης, μέσα στον επόμενο μήνα από αυτόν εντός του οποίου έγινε στην αλλοδαπή η καταβολή ή η πίστωση. Η διάταξη αυτή δεν ισχύει για τις επιχειρήσεις που σύμφωνα με την εγκριτική πράξη εγκατάστασής τους, ασχολούνται και με τη διαχείριση πλοίων με ελληνική ή ξένη σημαία. Ο φόρος αυτός επιβάλλεται στα μερίσματα που καταβάλλονται ή πιστώνονται από τη διαχειριστική χρήση 2012 και μετά (οικονομικό έτος 2013).</w:t>
      </w:r>
    </w:p>
    <w:p>
      <w:pPr>
        <w:spacing w:before="240" w:after="240"/>
        <w:rPr>
          <w:lang w:val="el" w:eastAsia="el"/>
        </w:rPr>
      </w:pPr>
      <w:r>
        <w:rPr>
          <w:lang w:val="el" w:eastAsia="el"/>
        </w:rPr>
        <w:t>Με την παρακράτηση αυτή εξαντλείται κάθε φορολογική υποχρέωση του δικαιούχου, μετόχου ή εταίρου των ως άνω επιχειρήσεων, φυσικού προσώπου, για το εισόδημα που αποκτά με τη μορφή διανομής καθαρών κερδών ή μερισμάτων, εξαιρουμένου από οποιονδήποτε άλλο φόρο, τέλος, εισφορά ή κράτηση, είτε απευθείας είτε από εταιρίες χαρτοφυλακίου, ανεξαρτήτως του αριθμού των εταιριών χαρτοφυλακίου που παρεμβάλλονται μεταξύ της επιχείρησης και του τελικού μετόχου ή εταίρου.</w:t>
      </w:r>
    </w:p>
    <w:p>
      <w:pPr>
        <w:spacing w:before="240" w:after="240"/>
        <w:rPr>
          <w:lang w:val="el" w:eastAsia="el"/>
        </w:rPr>
      </w:pPr>
      <w:r>
        <w:rPr>
          <w:lang w:val="el" w:eastAsia="el"/>
        </w:rPr>
        <w:t>Τα οριζόμενα στα προηγούμενα εδάφια της παραγράφου αυτής, ισχύουν και για τα κέρδη που διανέμουν οι ως άνω εταιρίες, με τη μορφή εκτάκτων αμοιβών και ποσοστών (bonus) σε μέλη του Δ.Σ., σε διευθυντές και σε στελέχη, επιπλέον των μισθών. Με την ανωτέρω παρακράτηση εξαντλείται η όποια φορολογική υποχρέωση των δικαιούχων για τα πιο πάνω εισοδήματα. Με απόφαση του Υπουργού Οικονομικών καθορίζεται η ειδικότερη διαδικασία για την καταβολή του φόρου, τα απαιτούμενα δικαιολογητικά που υποβάλλονται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5" w:history="1">
        <w:r>
          <w:rPr>
            <w:rStyle w:val="Hyperlink"/>
            <w:color w:val="0000EE"/>
            <w:u w:color="0000EE"/>
            <w:lang w:val="el" w:eastAsia="el"/>
          </w:rPr>
          <w:t>Τροποποίηση 4141/2013, Άρθρο 45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r>
        <w:rPr>
          <w:lang w:val="el" w:eastAsia="el"/>
        </w:rPr>
        <w:t xml:space="preserve">; </w:t>
      </w:r>
      <w:hyperlink r:id="rId3" w:anchor="art_1" w:history="1">
        <w:r>
          <w:rPr>
            <w:rStyle w:val="Hyperlink"/>
            <w:color w:val="0000EE"/>
            <w:u w:color="0000EE"/>
            <w:lang w:val="el" w:eastAsia="el"/>
          </w:rPr>
          <w:t>Προσθήκη 4152/2013, Άρθρο 1</w:t>
        </w:r>
      </w:hyperlink>
      <w:r>
        <w:rPr>
          <w:lang w:val="el" w:eastAsia="el"/>
        </w:rPr>
        <w:t xml:space="preserve">; </w:t>
      </w:r>
      <w:hyperlink r:id="rId4" w:anchor="art_45" w:history="1">
        <w:r>
          <w:rPr>
            <w:rStyle w:val="Hyperlink"/>
            <w:color w:val="0000EE"/>
            <w:u w:color="0000EE"/>
            <w:lang w:val="el" w:eastAsia="el"/>
          </w:rPr>
          <w:t>Τροποποίηση 4141/2013, Άρθρο 45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5" w:history="1">
        <w:r>
          <w:rPr>
            <w:rStyle w:val="Hyperlink"/>
            <w:color w:val="0000EE"/>
            <w:u w:color="0000EE"/>
            <w:lang w:val="el" w:eastAsia="el"/>
          </w:rPr>
          <w:t>Τροποποίηση 4474/2017, Άρθρο 15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5" w:history="1">
        <w:r>
          <w:rPr>
            <w:rStyle w:val="Hyperlink"/>
            <w:color w:val="0000EE"/>
            <w:u w:color="0000EE"/>
            <w:lang w:val="el" w:eastAsia="el"/>
          </w:rPr>
          <w:t>Τροποποίηση 4141/2013, Άρθρο 45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5" w:history="1">
        <w:r>
          <w:rPr>
            <w:rStyle w:val="Hyperlink"/>
            <w:color w:val="0000EE"/>
            <w:u w:color="0000EE"/>
            <w:lang w:val="el" w:eastAsia="el"/>
          </w:rPr>
          <w:t>Τροποποίηση 4141/2013, Άρθρο 45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5" w:history="1">
        <w:r>
          <w:rPr>
            <w:rStyle w:val="Hyperlink"/>
            <w:color w:val="0000EE"/>
            <w:u w:color="0000EE"/>
            <w:lang w:val="el" w:eastAsia="el"/>
          </w:rPr>
          <w:t>Τροποποίηση 4141/2013, Άρθρο 45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5" w:history="1">
        <w:r>
          <w:rPr>
            <w:rStyle w:val="Hyperlink"/>
            <w:color w:val="0000EE"/>
            <w:u w:color="0000EE"/>
            <w:lang w:val="el" w:eastAsia="el"/>
          </w:rPr>
          <w:t>Προσθήκη 4141/2013,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05/4141" TargetMode="External" /><Relationship Id="rId2" Type="http://schemas.openxmlformats.org/officeDocument/2006/relationships/hyperlink" Target="http://data.aade.gr/eli/pri/law/2015/08/14/4336" TargetMode="External" /><Relationship Id="rId3" Type="http://schemas.openxmlformats.org/officeDocument/2006/relationships/hyperlink" Target="http://data.aade.gr/eli/pri/law/2013/05/09/4152" TargetMode="External" /><Relationship Id="rId4" Type="http://schemas.openxmlformats.org/officeDocument/2006/relationships/hyperlink" Target="http://data.aade.gr/eli/pri/law/2013/04/05/4141" TargetMode="External" /><Relationship Id="rId5" Type="http://schemas.openxmlformats.org/officeDocument/2006/relationships/hyperlink" Target="http://data.aade.gr/eli/pri/law/2017/06/07/4474" TargetMode="External" /><Relationship Id="rId6" Type="http://schemas.openxmlformats.org/officeDocument/2006/relationships/hyperlink" Target="http://data.aade.gr/eli/pri/law/2013/04/05/4141" TargetMode="External" /><Relationship Id="rId7" Type="http://schemas.openxmlformats.org/officeDocument/2006/relationships/hyperlink" Target="http://data.aade.gr/eli/pri/law/2013/04/05/4141" TargetMode="External" /><Relationship Id="rId8" Type="http://schemas.openxmlformats.org/officeDocument/2006/relationships/hyperlink" Target="http://data.aade.gr/eli/pri/law/2013/04/05/4141" TargetMode="External" /><Relationship Id="rId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