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Εισφορά σε ναυτιλιακές επιχειρήσεις του άρθρου 25 του ν. 27/1975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Επιβάλλεται εισφορά επί του ετήσιου ποσού του συνολικού εισαγόμενου και μετατρεπόμενου σε ευρώ συναλλάγματος και συνολικού εισαγόμενου ποσού σε ευρώ, σύμφωνα με τις παραγράφους 1 και 2 του άρθρου 25 του Ν. 27/1975 (Α΄ 77), για τις παρακάτω επιχειρήσεις:</w:t>
      </w:r>
    </w:p>
    <w:p>
      <w:pPr>
        <w:pStyle w:val="StructureList1"/>
        <w:spacing w:before="120" w:after="0"/>
        <w:rPr>
          <w:lang w:val="el" w:eastAsia="el"/>
        </w:rPr>
      </w:pPr>
      <w:r>
        <w:rPr>
          <w:lang w:val="el" w:eastAsia="el"/>
        </w:rPr>
        <w:t>α)</w:t>
      </w:r>
      <w:r>
        <w:rPr>
          <w:lang w:val="en" w:eastAsia="en"/>
        </w:rPr>
        <w:tab/>
      </w:r>
      <w:r>
        <w:rPr>
          <w:lang w:val="el" w:eastAsia="el"/>
        </w:rPr>
        <w:t>γραφεία ή υποκαταστήματα αλλοδαπών επιχειρή</w:t>
      </w:r>
      <w:r>
        <w:rPr>
          <w:lang w:val="el" w:eastAsia="el"/>
        </w:rPr>
        <w:softHyphen/>
        <w:t>σεων οποιουδήποτε τύπου ή μορφής, με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το εισαγόμενο και μετατρεπόμενο σε ευρώ συνάλλαγμα και το συνολικό εισαγόμενο ποσό σε ευρώ κατά τα έτη 2012 και μετά και</w:t>
      </w:r>
    </w:p>
    <w:p>
      <w:pPr>
        <w:pStyle w:val="StructureList1"/>
        <w:spacing w:before="120" w:after="0"/>
        <w:rPr>
          <w:lang w:val="el" w:eastAsia="el"/>
        </w:rPr>
      </w:pPr>
      <w:r>
        <w:rPr>
          <w:lang w:val="el" w:eastAsia="el"/>
        </w:rPr>
        <w:t>β)</w:t>
      </w:r>
      <w:r>
        <w:rPr>
          <w:lang w:val="en" w:eastAsia="en"/>
        </w:rPr>
        <w:tab/>
      </w:r>
      <w:r>
        <w:rPr>
          <w:lang w:val="el" w:eastAsia="el"/>
        </w:rPr>
        <w:t>ημεδαπές επιχειρήσεις που έχουν υπαχθεί στο άρθρο 25 του Ν. 27/1975, σύμφωνα με την παράγραφο 5 του άρθρου αυτού, και έχουν σαν αντικείμενο εργασιών τις αναφερόμενες στην περίπτωση α΄ υπηρεσίες ή εργασίες για το εισαγόμενο και μετατρεπόμενο σε ευρώ συνάλλαγμα και το συνολικό εισαγόμενο ποσό σε ευρώ κατά τα έτη 2019 και μετά.</w:t>
      </w:r>
    </w:p>
    <w:p>
      <w:pPr>
        <w:spacing w:before="240" w:after="240"/>
        <w:rPr>
          <w:lang w:val="el" w:eastAsia="el"/>
        </w:rPr>
      </w:pPr>
      <w:r>
        <w:rPr>
          <w:lang w:val="el" w:eastAsia="el"/>
        </w:rPr>
        <w:t>Η εισφορά υπολογίζεται με τις εξής κλίμακες:</w:t>
      </w:r>
    </w:p>
    <w:p>
      <w:pPr>
        <w:spacing w:before="240" w:after="240"/>
        <w:rPr>
          <w:lang w:val="el" w:eastAsia="el"/>
        </w:rPr>
      </w:pPr>
      <w:r>
        <w:rPr>
          <w:lang w:val="el" w:eastAsia="el"/>
        </w:rPr>
        <w:t>Αν το συνολικό ετήσιο εισαγόμενο και μετατρεπόμενο σε ευρώ συνάλλαγμα και συνολικό εισαγόμενο ποσό σε ευρώ μίας επιχείρησης κατά τα έτη 2012-2018 είναι μικρότερο του ποσού των πενήντα χιλιάδων (50.000) δολαρίων Η.Π.Α., η εισφορά του παρόντος υπολογίζεται για πενήντα χιλιάδες (50.000) δολάρια Η.Π.Α. Το ίδιο ισχύει και για τα έτη έναρξης ή λήξης της δραστηριότητας της επιχείρησης, κατά τα έτη 2012-2018, ανεξάρτητα από τη χρονική διάρκεια αυτών, όταν το εισαγόμενο και μετατρεπόμενο σε ευρώ συνάλλαγμα και το συνολικό εισαγόμενο ποσό σε ευρώ είναι μικρότερο του ποσού των πενήντα χιλιάδων (50.000) δολαρίων Η.Π.Α.</w:t>
      </w:r>
    </w:p>
    <w:p>
      <w:pPr>
        <w:spacing w:before="240" w:after="240"/>
        <w:rPr>
          <w:lang w:val="el" w:eastAsia="el"/>
        </w:rPr>
      </w:pPr>
      <w:r>
        <w:rPr>
          <w:lang w:val="el" w:eastAsia="el"/>
        </w:rPr>
        <w:t>Αν το ποσό της ετήσιας εισφοράς υπολογιζόμενο με την κλίμακα της περίπτωσης ii για το συνολικό εισαγόμενο και μετατρεπόμενο σε ευρώ συνάλλαγμα και το συνολικό εισαγόμενο ποσό σε ευρώ κατά τη διετία 2019-2020, είναι μικρότερο των πέντε χιλιάδων (5.000) δολαρίων Η.Π.Α., βεβαιώνεται ελάχιστο ποσό εισφοράς ίσο με πέντε χιλιάδες (5.000) δολάρια Η.Π.Α. ετησίως.</w:t>
      </w:r>
    </w:p>
    <w:p>
      <w:pPr>
        <w:spacing w:before="240" w:after="240"/>
        <w:rPr>
          <w:lang w:val="el" w:eastAsia="el"/>
        </w:rPr>
      </w:pPr>
      <w:r>
        <w:rPr>
          <w:lang w:val="el" w:eastAsia="el"/>
        </w:rPr>
        <w:t>Το ποσό εισφοράς που βεβαιώνεται ως ελάχιστο ποσό για το συνολικό εισαγόμενο συνάλλαγμα κατά τα έτη 2021 και μετά, είναι ίσο με έξι χιλιάδες (6.000) δολάρια Η.Π.Α. ετησίως.</w:t>
      </w:r>
    </w:p>
    <w:p>
      <w:pPr>
        <w:spacing w:before="240" w:after="240"/>
        <w:rPr>
          <w:lang w:val="el" w:eastAsia="el"/>
        </w:rPr>
      </w:pPr>
      <w:r>
        <w:rPr>
          <w:lang w:val="el" w:eastAsia="el"/>
        </w:rPr>
        <w:t>Τα ανωτέρω ελάχιστα ετήσια ποσά εισφοράς βεβαιώνονται και για το εισαγόμενο συνάλλαγμα στα έτη έναρξης ή λήξης της δραστηριότητας των επιχειρήσεων κατά τα έτη 2019 και μετά κατά περίπτωση, ανεξάρτητα από τη χρονική διάρκεια αυτών.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2. Η εισφορά του παρόντος δεν επιβάλλεται σε ημεδαπές, καθώς και σε αλλοδαπές επιχειρήσεις που έχουν εγκαταστήσει γραφείο ή υποκατάστημα του άρθρου 25 του ν. 27/1975 και ασχολούνται με τη διαχείριση ή εκμετάλλευση πλοίων υπό ελληνική ή ξένη σημαία παράλληλα με τις λοιπές υπαγόμενες εργασίες, όπως αυτές ορίζονται με την άδεια εγκατάστασής τους. Στις επιχειρήσεις του άρθρου 25 του ν. 27/1975 που, εκτός της κύριας δραστηριότητας των ναυλομεσιτικών και λοιπών ναυτιλιακών εργασιών, δηλώνουν με την άδεια εγκατάστασής τους και τη διαχείριση ή εκμετάλλευση πλοίων ως δευτερεύουσα δραστηριότητα, για τη μη επιβολή της εισφοράς, απαιτείται η απόδειξη της πραγματικής άσκησης της διαχείρισης ή εκμετάλλευσης πλοίων εντός της πενταετούς διάρκειας της ισχύος της άδειάς τους, που ορίζεται με την παρ. 1 του άρθρου 25 του ν. 27/1975. Εφόσον στην πενταετία αυτή δεν αποδεικνύεται η άσκηση της δραστηριότητας της διαχείρισης πλοίου, επιβάλλεται η εισφορά του παρόντος για το εισαγόμενο συνάλλαγμα στο επόμενο της πενταετίας έτος. Η πρώτη εφαρμογή των διατάξεων του προηγούμενου εδαφίου αφορά τις επιχειρήσεις που η πενταετία ισχύος της άδειας εγκατάστασής τους συμπληρώνεται το έτος 2018 και εφόσον προκύψει υποχρέωση για επιβολή εισφοράς, υπολογίζεται με βάση το εισαγόμενο συνάλλαγμα του έτους 2019 και καταβάλλεται κατά το έτος 2020.</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Οι υπόχρεες στην εισφορά επιχειρήσεις της περίπτωσης α΄ της παραγράφου 1 υποβάλλουν στη Φορολογική Διοίκηση δήλωση υπολογισμού αυτής μέχρι το τέλος Μαρτίου κάθε έτους, με βάση το συνολικό εισαγόμενο και μετατρεπόμενο σε ευρώ συνάλλαγμα και το συνολικό εισαγόμενο ποσό σε ευρώ του προηγούμενου αντίστοιχα έτους, για το εισαγόμενο συνάλλαγμα κατά τα έτη 2012-2018. Κατ’ εξαίρεση, η δήλωση εισφοράς των παραπάνω υπόχρεων επιχειρήσεων για το συνολικό εισαγόμενο και μετατρεπόμενο σε ευρώ συνάλλαγμα και το συνολικό εισαγόμενο ποσό σε ευρώ κατά το έτος 2016 υποβάλλεται μέχρι τέλος Ιουνίου 2017. Οι υπόχρεες επιχειρήσεις της παραγράφου 1 για το εισαγόμενο συνάλλαγμα κατά τα έτη 2019 και μετά, υποβάλλουν στη Φορολογική Διοίκηση δήλωση εισφοράς μέχρι την τελευταία εργάσιμη ημέρα του μηνός Μαρτίου κάθε έτους, με βάση το συνολικό εισαγόμενο και μετατρεπόμενο σε ευρώ συνάλλαγμα και το συνολικό εισαγόμενο ποσό σε ευρώ του προηγούμενου αντίστοιχα έτους. Με την υποβολή της δήλωσης της παρούσας παραγράφου γίνεται άμεσος προσδιορισμός της εισφοράς, σύμφωνα με τις διατάξεις του ν. 4174/2013 (Α΄ 170).</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Η εισφορά για το συνολικό εισαγόμενο και μετατρεπόμενο σε ευρώ συνάλλαγμα και το συνολικό εισαγόμενο ποσό σε ευρώ κατά τα έτη 2012 έως και 2018 υπολογίζεται σε δολάρια Η.Π.Α., με βάση την επίσημη ισοτιμία μεταξύ των νομισμάτων αυτών κατά το χρόνο υποβολής της δήλωσης. Με την υποβολή της δήλωσης καταβάλλεται το ένα τέταρτο (1/4) της εισφοράς σε ευρώ και τα υπόλοιπα τρία τέταρτα (3/4) σε τρεις (3) ισόποσες δόσεις κατά τους μήνες Ιούνιο, Σεπτέμβριο και Δεκέμβριο του έτους υποβολής της δήλωσης. Η εισφορά για το συνολικό εισαγόμενο και μετατρεπόμενο σε ευρώ συνάλλαγμα και το συνολικό εισαγόμενο ποσό σε ευρώ κατά τα έτη 2019 και μετά καταβάλλεται σε δύο (2) ισόποσες δόσεις μέχρι την τελευταία εργάσιμη ημέρα των μηνών Απριλίου και Σεπτεμβρίου του έτους υποβολής της δήλωσης. Το ποσό της εισφοράς στα έτη αυτά υπολογίζεται σε δολάρια Η.Π.Α. και μετατρέπεται σε ευρώ με βάση την τιμή αναφοράς του δολαρίου Η.Π.Α. έναντι του ευρώ της Ευρωπαϊκής Κεντρικής Τράπεζας (Ε.Κ.Τ.) κατά το χρόνο υποβολής της δήλωσης. Σε περίπτωση εκπρόθεσμης υποβολής αρχικής δήλωσης, για τον υπολογισμό της εισφοράς, λαμβάνεται η τιμή αναφοράς των παραπάνω νομισμάτων κατά την καταληκτική ημερομηνία υποβολής της αρχικής δήλωσης. Σε περίπτωση υποβολής τροποποιητικής δήλωσης, για τον υπολογισμό της εισφοράς, λαμβάνεται η τιμή αναφοράς των νομισμάτων αυτών που έχει ληφθεί με την αρχική δήλωση, σύμφωνα με τα αναφερόμενα στα δύο προηγούμενα εδάφια. Για την καταβολή της εισφοράς ευθύνονται αλληλέγγυα και εις ολόκληρον οι διευθυντές, διαχειριστές και γενικά οι εκπρόσωποι των επιχειρήσεων της παραγράφου 1,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της εισφοράς.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Επιβάλλεται φόρος με συντελεστή δέκα τοις εκατό (10%) στα μερίσματα που εισπράττει φυσικό πρόσωπο φορολογικός κάτοικος Ελλάδας από: α) αλλοδαπές επιχειρήσεις οποιουδήποτε τύπου ή μορφής, που διατηρούν γραφεία ή υποκαταστήματα εγκατεστημένα, σύμφωνα με το άρθρο 25 του ν. 27/1975 και έχουν σαν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μερίσματα που καταβάλλονται ή πιστώνονται κατά τα έτη 2012 έως και 2022, β) ημεδαπές επιχειρήσεις που έχουν υπαχθεί στο άρθρο 25 του ν. 27/1975 και έχουν σαν αντικείμενο εργασιών τις αναφερόμενες στην περ. α’ υπηρεσίες ή εργασίες, για μερίσματα που καταβάλλονται ή πιστώνονται κατά τα έτη 2019 έως και 2022. Στα μερίσματα που εισπράττει φυσικό πρόσωπο φορολογικός κάτοικος Ελλάδος από επιχειρήσεις των περ. α’ και β’, τα οποία καταβάλλονται ή πιστώνονται στα έτη 2023 και επόμενα, επιβάλλεται φόρος με συντελεστή πέντε τοις εκατό (5%). Η διάταξη αυτή δεν εφαρμόζεται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 Ο φόρος της παρούσας βαρύνει τον δικαιούχο των μερισμάτων και αποδίδεται από αυτόν. Για τα μερίσματα που λαμβάνονται κατά τα έτη 2012-2019 ο φόρος αποδίδεται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 Για τα μερίσματα που λαμβάνονται από το έτος 2020 και μετά, ο φόρος αποδίδεται με την υποβολή σχετικής δήλωσης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 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 (Α’ 167). Η παρούσα εφαρμόζεται και στις έκτακτες αμοιβές και ποσοστά (bonus) που διανέμουν οι επιχειρήσεις της περ. α’, επιπλέον των μισθών, σε μέλη του Δ.Σ. ή σε διευθυντές και στελέχη αυτών, καθώς και στις έκτακτες αμοιβές και ποσοστά (bonus), επιπλέον των μισθών, που διανέμονται από το έτος 2019 και μετά και σε υπαλλήλους αυτών. Επίσης, εφαρμόζεται και στις έκτακτες αμοιβές και ποσοστά (bonus) που διανέμουν, επιπλέον των μισθών, σε μέλη του Δ.Σ. ή σε διευθυντές, στελέχη και υπαλλήλους αυτών από το έτος 2019 και μετά οι επιχειρήσεις της περ. β’, καθώς και οι διαχειρίστριες εταιρείες ή επιχειρήσεις που είναι εγκατεστημένες στην Ελλάδα σύμφωνα με το άρθρο 25 του ν. 27/1975. Στις αμοιβές των δύο προηγούμενων εδαφίων επιβάλλεται φόρος με συντελεστή δέκα τοις εκατό (10%).</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Σε περίπτωση παράλειψης υποβολής από τον υπόχρεο των δηλώσεων του παρόντος ή υποβολής από αυτόν εκπρόθεσμης ή ανακριβούς δήλωσης επιβάλλονται οι προσαυξήσεις και τα πρόστιμα του ν. 2523/1997 (Α΄ 179) για φορολογικές υποχρεώσεις μέχρι την 31.12.2013, καθώς και οι τόκοι και τα πρόστιμα του ν. 4174/2013 για φορολογικές υποχρεώσεις από τις 1.1.2014 και μετά.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καθορίζεται ο τύπος και το περιεχόμενο της δήλωσης εισφοράς της παραγράφου 1, της δήλωσης φόρου της παραγράφου 5, η διαδικασία υποβολής τους, τα αρμόδια για την παραλαβή των δηλώσεων και τη βεβαίωση του φόρου όργανα, τα απαιτούμενα δικαιολογητικά που συνυποβάλλονται και κάθε άλλο αναγκαίο θέμα για την εφαρμογή του παρόντος.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lang w:val="el" w:eastAsia="el"/>
        </w:rPr>
        <w:t xml:space="preserve"> Από την εισφορά της παραγράφου 1 του παρόντος άρθρου, ποσό ενός εκατομμυρίου (1.000.000) ευρώ, ετησίως, αποδίδεται ως πόρος του Κεφαλαίου Ναυτικής Εκπαίδευσης (ν.δ. 99/1973, Α΄ 173). Με κοινή απόφαση των Υπουργών Οικονομικών και Ναυτιλίας και Νησιωτικής Πολιτικής καθορίζονται οι αναγκαίες λεπτομέρειες και κάθε άλλο σχετικό θέμα για την εφαρμογή της παρούσας παραγράφου αναφορικά με την απόδοση του ως άνω ποσού.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Τροποποίηση 4607/2019, Άρθρο 53</w:t>
        </w:r>
      </w:hyperlink>
      <w:r>
        <w:rPr>
          <w:lang w:val="el" w:eastAsia="el"/>
        </w:rPr>
        <w:t xml:space="preserve">; </w:t>
      </w:r>
      <w:hyperlink r:id="rId2" w:anchor="art_45" w:history="1">
        <w:r>
          <w:rPr>
            <w:rStyle w:val="Hyperlink"/>
            <w:color w:val="0000EE"/>
            <w:u w:color="0000EE"/>
            <w:lang w:val="el" w:eastAsia="el"/>
          </w:rPr>
          <w:t>Τροποποίηση 4141/2013, Άρθρο 45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3" w:history="1">
        <w:r>
          <w:rPr>
            <w:rStyle w:val="Hyperlink"/>
            <w:color w:val="0000EE"/>
            <w:u w:color="0000EE"/>
            <w:lang w:val="el" w:eastAsia="el"/>
          </w:rPr>
          <w:t>Τροποποίηση 4607/2019, Άρθρο 53</w:t>
        </w:r>
      </w:hyperlink>
      <w:r>
        <w:rPr>
          <w:lang w:val="el" w:eastAsia="el"/>
        </w:rPr>
        <w:t xml:space="preserve">; </w:t>
      </w:r>
      <w:hyperlink r:id="rId4" w:anchor="art_2" w:history="1">
        <w:r>
          <w:rPr>
            <w:rStyle w:val="Hyperlink"/>
            <w:color w:val="0000EE"/>
            <w:u w:color="0000EE"/>
            <w:lang w:val="el" w:eastAsia="el"/>
          </w:rPr>
          <w:t>Τροποποίηση 4336/2015, Άρθρο 2</w:t>
        </w:r>
      </w:hyperlink>
      <w:r>
        <w:rPr>
          <w:lang w:val="el" w:eastAsia="el"/>
        </w:rPr>
        <w:t xml:space="preserve">; </w:t>
      </w:r>
      <w:hyperlink r:id="rId5" w:anchor="art_1" w:history="1">
        <w:r>
          <w:rPr>
            <w:rStyle w:val="Hyperlink"/>
            <w:color w:val="0000EE"/>
            <w:u w:color="0000EE"/>
            <w:lang w:val="el" w:eastAsia="el"/>
          </w:rPr>
          <w:t>Προσθήκη 4152/2013, Άρθρο 1</w:t>
        </w:r>
      </w:hyperlink>
      <w:r>
        <w:rPr>
          <w:lang w:val="el" w:eastAsia="el"/>
        </w:rPr>
        <w:t xml:space="preserve">; </w:t>
      </w:r>
      <w:hyperlink r:id="rId6" w:anchor="art_45" w:history="1">
        <w:r>
          <w:rPr>
            <w:rStyle w:val="Hyperlink"/>
            <w:color w:val="0000EE"/>
            <w:u w:color="0000EE"/>
            <w:lang w:val="el" w:eastAsia="el"/>
          </w:rPr>
          <w:t>Τροποποίηση 4141/2013, Άρθρο 45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3" w:history="1">
        <w:r>
          <w:rPr>
            <w:rStyle w:val="Hyperlink"/>
            <w:color w:val="0000EE"/>
            <w:u w:color="0000EE"/>
            <w:lang w:val="el" w:eastAsia="el"/>
          </w:rPr>
          <w:t>Τροποποίηση 4607/2019, Άρθρο 53</w:t>
        </w:r>
      </w:hyperlink>
      <w:r>
        <w:rPr>
          <w:lang w:val="el" w:eastAsia="el"/>
        </w:rPr>
        <w:t xml:space="preserve">; </w:t>
      </w:r>
      <w:hyperlink r:id="rId8" w:anchor="art_15" w:history="1">
        <w:r>
          <w:rPr>
            <w:rStyle w:val="Hyperlink"/>
            <w:color w:val="0000EE"/>
            <w:u w:color="0000EE"/>
            <w:lang w:val="el" w:eastAsia="el"/>
          </w:rPr>
          <w:t>Τροποποίηση 4474/2017, Άρθρο 15</w:t>
        </w:r>
      </w:hyperlink>
      <w:r>
        <w:rPr>
          <w:lang w:val="el" w:eastAsia="el"/>
        </w:rPr>
        <w:t xml:space="preserve">; </w:t>
      </w:r>
      <w:hyperlink r:id="rId9" w:anchor="art_45" w:history="1">
        <w:r>
          <w:rPr>
            <w:rStyle w:val="Hyperlink"/>
            <w:color w:val="0000EE"/>
            <w:u w:color="0000EE"/>
            <w:lang w:val="el" w:eastAsia="el"/>
          </w:rPr>
          <w:t>Τροποποίηση 4141/2013, Άρθρο 45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3" w:history="1">
        <w:r>
          <w:rPr>
            <w:rStyle w:val="Hyperlink"/>
            <w:color w:val="0000EE"/>
            <w:u w:color="0000EE"/>
            <w:lang w:val="el" w:eastAsia="el"/>
          </w:rPr>
          <w:t>Τροποποίηση 4607/2019, Άρθρο 53</w:t>
        </w:r>
      </w:hyperlink>
      <w:r>
        <w:rPr>
          <w:lang w:val="el" w:eastAsia="el"/>
        </w:rPr>
        <w:t xml:space="preserve">; </w:t>
      </w:r>
      <w:hyperlink r:id="rId11" w:anchor="art_45" w:history="1">
        <w:r>
          <w:rPr>
            <w:rStyle w:val="Hyperlink"/>
            <w:color w:val="0000EE"/>
            <w:u w:color="0000EE"/>
            <w:lang w:val="el" w:eastAsia="el"/>
          </w:rPr>
          <w:t>Τροποποίηση 4141/2013, Άρθρο 45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3" w:history="1">
        <w:r>
          <w:rPr>
            <w:rStyle w:val="Hyperlink"/>
            <w:color w:val="0000EE"/>
            <w:u w:color="0000EE"/>
            <w:lang w:val="el" w:eastAsia="el"/>
          </w:rPr>
          <w:t>Τροποποίηση 4607/2019, Άρθρο 53</w:t>
        </w:r>
      </w:hyperlink>
      <w:r>
        <w:rPr>
          <w:lang w:val="el" w:eastAsia="el"/>
        </w:rPr>
        <w:t xml:space="preserve">; </w:t>
      </w:r>
      <w:hyperlink r:id="rId13" w:anchor="art_45" w:history="1">
        <w:r>
          <w:rPr>
            <w:rStyle w:val="Hyperlink"/>
            <w:color w:val="0000EE"/>
            <w:u w:color="0000EE"/>
            <w:lang w:val="el" w:eastAsia="el"/>
          </w:rPr>
          <w:t>Τροποποίηση 4141/2013, Άρθρο 45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0" w:history="1">
        <w:r>
          <w:rPr>
            <w:rStyle w:val="Hyperlink"/>
            <w:color w:val="0000EE"/>
            <w:u w:color="0000EE"/>
            <w:lang w:val="el" w:eastAsia="el"/>
          </w:rPr>
          <w:t>Τροποποίηση 5036/2023, Άρθρο 50</w:t>
        </w:r>
      </w:hyperlink>
      <w:r>
        <w:rPr>
          <w:lang w:val="el" w:eastAsia="el"/>
        </w:rPr>
        <w:t xml:space="preserve">; </w:t>
      </w:r>
      <w:hyperlink r:id="rId15" w:anchor="art_53" w:history="1">
        <w:r>
          <w:rPr>
            <w:rStyle w:val="Hyperlink"/>
            <w:color w:val="0000EE"/>
            <w:u w:color="0000EE"/>
            <w:lang w:val="el" w:eastAsia="el"/>
          </w:rPr>
          <w:t>Τροποποίηση 4607/2019, Άρθρο 53</w:t>
        </w:r>
      </w:hyperlink>
      <w:r>
        <w:rPr>
          <w:lang w:val="el" w:eastAsia="el"/>
        </w:rPr>
        <w:t xml:space="preserve">; </w:t>
      </w:r>
      <w:hyperlink r:id="rId16" w:anchor="art_45" w:history="1">
        <w:r>
          <w:rPr>
            <w:rStyle w:val="Hyperlink"/>
            <w:color w:val="0000EE"/>
            <w:u w:color="0000EE"/>
            <w:lang w:val="el" w:eastAsia="el"/>
          </w:rPr>
          <w:t>Προσθήκη 4141/2013, Άρθρο 45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3" w:history="1">
        <w:r>
          <w:rPr>
            <w:rStyle w:val="Hyperlink"/>
            <w:color w:val="0000EE"/>
            <w:u w:color="0000EE"/>
            <w:lang w:val="el" w:eastAsia="el"/>
          </w:rPr>
          <w:t>Προσθήκη 4607/2019, Άρθρο 53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3" w:history="1">
        <w:r>
          <w:rPr>
            <w:rStyle w:val="Hyperlink"/>
            <w:color w:val="0000EE"/>
            <w:u w:color="0000EE"/>
            <w:lang w:val="el" w:eastAsia="el"/>
          </w:rPr>
          <w:t>Προσθήκη 4607/2019, Άρθρο 53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3" w:history="1">
        <w:r>
          <w:rPr>
            <w:rStyle w:val="Hyperlink"/>
            <w:color w:val="0000EE"/>
            <w:u w:color="0000EE"/>
            <w:lang w:val="el" w:eastAsia="el"/>
          </w:rPr>
          <w:t>Προσθήκη 4607/2019, Άρθρο 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4/24/4607" TargetMode="External" /><Relationship Id="rId10" Type="http://schemas.openxmlformats.org/officeDocument/2006/relationships/hyperlink" Target="http://data.aade.gr/eli/pri/law/2019/04/24/4607" TargetMode="External" /><Relationship Id="rId11" Type="http://schemas.openxmlformats.org/officeDocument/2006/relationships/hyperlink" Target="http://data.aade.gr/eli/pri/law/2013/04/05/4141" TargetMode="External" /><Relationship Id="rId12" Type="http://schemas.openxmlformats.org/officeDocument/2006/relationships/hyperlink" Target="http://data.aade.gr/eli/pri/law/2019/04/24/4607" TargetMode="External" /><Relationship Id="rId13" Type="http://schemas.openxmlformats.org/officeDocument/2006/relationships/hyperlink" Target="http://data.aade.gr/eli/pri/law/2013/04/05/4141"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19/04/24/4607" TargetMode="External" /><Relationship Id="rId16" Type="http://schemas.openxmlformats.org/officeDocument/2006/relationships/hyperlink" Target="http://data.aade.gr/eli/pri/law/2013/04/05/4141" TargetMode="External" /><Relationship Id="rId17" Type="http://schemas.openxmlformats.org/officeDocument/2006/relationships/hyperlink" Target="http://data.aade.gr/eli/pri/law/2019/04/24/4607" TargetMode="External" /><Relationship Id="rId18" Type="http://schemas.openxmlformats.org/officeDocument/2006/relationships/hyperlink" Target="http://data.aade.gr/eli/pri/law/2019/04/24/4607" TargetMode="External" /><Relationship Id="rId19" Type="http://schemas.openxmlformats.org/officeDocument/2006/relationships/hyperlink" Target="http://data.aade.gr/eli/pri/law/2019/04/24/4607" TargetMode="External" /><Relationship Id="rId2" Type="http://schemas.openxmlformats.org/officeDocument/2006/relationships/hyperlink" Target="http://data.aade.gr/eli/pri/law/2013/04/05/4141"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15/08/14/4336" TargetMode="External" /><Relationship Id="rId5" Type="http://schemas.openxmlformats.org/officeDocument/2006/relationships/hyperlink" Target="http://data.aade.gr/eli/pri/law/2013/05/09/4152" TargetMode="External" /><Relationship Id="rId6" Type="http://schemas.openxmlformats.org/officeDocument/2006/relationships/hyperlink" Target="http://data.aade.gr/eli/pri/law/2013/04/05/4141" TargetMode="External" /><Relationship Id="rId7" Type="http://schemas.openxmlformats.org/officeDocument/2006/relationships/hyperlink" Target="http://data.aade.gr/eli/pri/law/2019/04/24/4607" TargetMode="External" /><Relationship Id="rId8" Type="http://schemas.openxmlformats.org/officeDocument/2006/relationships/hyperlink" Target="http://data.aade.gr/eli/pri/law/2017/06/07/4474" TargetMode="External" /><Relationship Id="rId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