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Ι.1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παράγραφο 3 και μειώνεται βάσει των δια</w:t>
      </w:r>
      <w:r>
        <w:rPr>
          <w:lang w:val="el" w:eastAsia="el"/>
        </w:rPr>
        <w:softHyphen/>
        <w:t>τάξεων της ίδιας 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 μετά την παρέλευση τριών (3) ετών από τη χορήγηση άδειας παραγωγής και λήγει με την υποβολή της εγγυητικής επιστολής της περίπτωσης 3 της παραγράφου Ι.1..</w:t>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πρώτης 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παραγράφων μπορεί να αίρεται πριν από την 31 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 .</w:t>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παραγράφου Ι.2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w:t>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πρέπει να προσκομίζουν φορολογική ενημερότητα ή βεβαίωση οφειλής κατά περίπτωση, προκειμένου να αξιολογείται η δυνατότητα ανταπόκρισης στην παρούσα ρύθμιση.</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Προσθήκη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4180/2013, Άρθρο 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3/4172"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07/12/4170" TargetMode="External" /><Relationship Id="rId6" Type="http://schemas.openxmlformats.org/officeDocument/2006/relationships/hyperlink" Target="http://data.aade.gr/eli/pri/law/2013/07/12/4170" TargetMode="External" /><Relationship Id="rId7"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