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Στην ίδια αρχή τηρείται κατάλογος διενεργηθεισών εκτιμήσεων.</w:t>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Φωτοαντίγραφο πτυχίου ανώτερης ή ανώτατης σχολής της ημεδαπής.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ισότιμοι προς τους α</w:t>
      </w:r>
      <w:r>
        <w:rPr>
          <w:lang w:val="el" w:eastAsia="el"/>
        </w:rPr>
        <w:softHyphen/>
        <w:t>πονεμόμενους από τα ελληνικά ανώτατα εκπαιδευτικά ιδρύματα.</w:t>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άλλο πρόσφορο έγγραφο στοιχείο, από το οποίο να αποδεικνύεται διετής εκτιμητική εμπειρία του ενδιαφερόμενου.</w:t>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φορέα διαπιστευμένο από το Εθνικό Σύστημα Διαπίστευσης (ΕΣΥΔ) ή από επαγγελματική ένωση ή οργανισμό που πληροί τις προϋποθέσεις της παραγράφου 2 του άρθρου 3 του Π.Δ. 38/2010 (Α΄ 78).</w:t>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Έχει επιτυχώς ολοκληρώσει τη διαδικασία εξετάσεων, όπως αυτή ορίζεται στην υποπαράγραφο Γ.3.</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Το πιστοποιητικό του στοιχείου γγ) της υποπερίπτωσης στ΄ της περίπτωσης 2 της υποπαραγράφου Γ.2. του παρόντος νόμου χορηγείται μετά από επιτυχία του ενδιαφερόμενου σε εξετάσεις, στο γνωστικό αντικείμενο του κλάδου ή των κλάδων, στους οποίους επιθυμεί να πιστοποιηθεί. Οι εξετάσεις διεξάγονται κυρίως με το σύστημα των πολλαπλών επιλογών. Ο ενδιαφερόμενος υποβάλλει σχετική αίτηση στην Αρμόδια Διοικητική Αρχή, συνοδευόμενη από τα δικαιολογητικά των υποπεριπτώσεων α΄ , γ΄ και ε΄ της περίπτωσης 2 της υποπαραγράφου Γ.2. του παρόντος νόμου.</w:t>
      </w:r>
    </w:p>
    <w:p>
      <w:pPr>
        <w:pStyle w:val="MainText"/>
        <w:spacing w:before="120" w:after="0"/>
        <w:rPr>
          <w:lang w:val="el" w:eastAsia="el"/>
        </w:rPr>
      </w:pPr>
      <w:r>
        <w:rPr>
          <w:b/>
          <w:bCs/>
          <w:lang w:val="el" w:eastAsia="el"/>
        </w:rPr>
        <w:t>2.</w:t>
      </w:r>
      <w:r>
        <w:rPr>
          <w:lang w:val="el" w:eastAsia="el"/>
        </w:rPr>
        <w:t xml:space="preserve"> Οι εξετάσεις διενεργούνται δύο φορές το χρόνο από Εξεταστική Επιτροπή, τα μέλη της οποίας είναι τα εξής:</w:t>
      </w:r>
    </w:p>
    <w:p>
      <w:pPr>
        <w:spacing w:before="240" w:after="240"/>
        <w:rPr>
          <w:lang w:val="el" w:eastAsia="el"/>
        </w:rPr>
      </w:pPr>
      <w:r>
        <w:rPr>
          <w:lang w:val="el" w:eastAsia="el"/>
        </w:rPr>
        <w:t>α. Δύο μέλη του Διδακτικού Ερευνητικού Προσωπικού (Δ.Ε.Π.) από συναφείς, ως προς το γνωστικό αντικείμενο του εκτιμητή, Ανώτερες ή Ανώτατες Σχολές, με τους αναπληρωτές τους, εκ των οποίων ο αρχαιότερος ορίζεται πρόεδρος. Τα εν λόγω μέλη δεν θα πρέπει να ασκούν το επάγγελμα του πιστοποιημένου εκτιμητή.</w:t>
      </w:r>
    </w:p>
    <w:p>
      <w:pPr>
        <w:spacing w:before="240" w:after="240"/>
        <w:rPr>
          <w:lang w:val="el" w:eastAsia="el"/>
        </w:rPr>
      </w:pPr>
      <w:r>
        <w:rPr>
          <w:lang w:val="el" w:eastAsia="el"/>
        </w:rPr>
        <w:t>β. Δύο εκπρόσωποι του Ελληνικού Ινστιτούτου Εκτιμητικής με τους αναπληρωτές τους με απόφαση του Υπουργού Οικονομικών μετά από πρόταση του Ελληνικού Ινστιτούτου Εκτιμητικής.</w:t>
      </w:r>
    </w:p>
    <w:p>
      <w:pPr>
        <w:spacing w:before="240" w:after="240"/>
        <w:rPr>
          <w:lang w:val="el" w:eastAsia="el"/>
        </w:rPr>
      </w:pPr>
      <w:r>
        <w:rPr>
          <w:lang w:val="el" w:eastAsia="el"/>
        </w:rPr>
        <w:t>γ. Ένας Προϊστάμενος Τμήματος ή Διεύθυνσης,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Γραμματέας της Επιτροπής ορίζεται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της Επιτροπής είναι τριετής.</w:t>
      </w:r>
    </w:p>
    <w:p>
      <w:pPr>
        <w:spacing w:before="240" w:after="240"/>
        <w:rPr>
          <w:lang w:val="el" w:eastAsia="el"/>
        </w:rPr>
      </w:pPr>
      <w:r>
        <w:rPr>
          <w:lang w:val="el" w:eastAsia="el"/>
        </w:rPr>
        <w:t>Η συγκρότηση της Επιτροπής γίνεται με απόφαση του Υπουργού Οικονομικών, μετά από εισήγηση της Αρμόδιας Αρχής.</w:t>
      </w:r>
    </w:p>
    <w:p>
      <w:pPr>
        <w:pStyle w:val="MainText"/>
        <w:spacing w:before="120" w:after="0"/>
        <w:rPr>
          <w:lang w:val="el" w:eastAsia="el"/>
        </w:rPr>
      </w:pPr>
      <w:r>
        <w:rPr>
          <w:b/>
          <w:bCs/>
          <w:lang w:val="el" w:eastAsia="el"/>
        </w:rPr>
        <w:t>3.</w:t>
      </w:r>
      <w:r>
        <w:rPr>
          <w:lang w:val="el" w:eastAsia="el"/>
        </w:rPr>
        <w:t xml:space="preserve"> Η Εξεταστική Επιτροπή συνεδριάζει νόμιμα, όταν παρίστανται, ως τακτικά ή αναπληρωματικά μέλη, περισσότερα από τα μισά των διορισμένων τακτικών μελών (απαρτία). Οι αποφάσεις της Επιτροπής λαμβάνονται εγγράφως, κατά πλειοψηφία και με συνοπτική αιτιολογία.</w:t>
      </w:r>
    </w:p>
    <w:p>
      <w:pPr>
        <w:spacing w:before="240" w:after="240"/>
        <w:rPr>
          <w:lang w:val="el" w:eastAsia="el"/>
        </w:rPr>
      </w:pPr>
      <w:r>
        <w:rPr>
          <w:lang w:val="el" w:eastAsia="el"/>
        </w:rPr>
        <w:t>Με απόφαση του Υπουργού Οικονομικών, που εκδίδεται εντός τριών μηνών από τη δημοσίευση του παρόντος, ύστερα από εισήγηση της Εξεταστικής Επιτροπής, ορίζονται μεταξύ άλλων, η εξεταστέα ύλη και τα θέματα των εξετάσεων, ο τρόπος βαθμολόγησης των υποψηφίων, η διαδικασία, ο τρόπος, τα κριτήρια, οι όροι, οι προϋποθέσεις εξέτασης των υποψηφίων εκτιμητών ενώπιον της Εξεταστικής Επιτροπής και κάθε άλλο θέμα συναφές με τη λειτουργία της Επιτροπής και τη διενέργεια των εξετάσεων. Με όμοια απόφαση ορίζονται τα μαθήματα προς εξέταση, μετά από εισήγηση της Αρμόδιας Αρχής, μετά από γνώμη της Εξεταστικής Επιτροπής στα οποία περιέχονται αντικείμενα συναφή με τα κεφάλαια της υποπαραγράφου Γ.4.. Με όμοια απόφαση ορίζεται η εξεταστέα ύλη, το ύψος και η διαδικασία καταβολής του παραβόλου της συμμετοχής των υποψηφίων στις εξετάσεις, καθώς και η αμοιβή των μελών της Εξεταστικής Επιτροπής του παρόντος άρθρου.</w:t>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Μηχανολογικός και Τεχνικός εξοπλισμός - Βιομηχανικές εγκαταστάσεις</w:t>
      </w:r>
    </w:p>
    <w:p>
      <w:pPr>
        <w:pStyle w:val="StructureList1"/>
        <w:spacing w:before="120" w:after="0"/>
        <w:rPr>
          <w:lang w:val="el" w:eastAsia="el"/>
        </w:rPr>
      </w:pPr>
      <w:r>
        <w:rPr>
          <w:lang w:val="el" w:eastAsia="el"/>
        </w:rPr>
        <w:t>γ)</w:t>
      </w:r>
      <w:r>
        <w:rPr>
          <w:lang w:val="en" w:eastAsia="en"/>
        </w:rPr>
        <w:tab/>
      </w:r>
      <w:r>
        <w:rPr>
          <w:lang w:val="el" w:eastAsia="el"/>
        </w:rPr>
        <w:t>Άυλα αγαθά</w:t>
      </w:r>
    </w:p>
    <w:p>
      <w:pPr>
        <w:pStyle w:val="StructureList1"/>
        <w:spacing w:before="120" w:after="0"/>
        <w:rPr>
          <w:lang w:val="el" w:eastAsia="el"/>
        </w:rPr>
      </w:pPr>
      <w:r>
        <w:rPr>
          <w:lang w:val="el" w:eastAsia="el"/>
        </w:rPr>
        <w:t>δ)</w:t>
      </w:r>
      <w:r>
        <w:rPr>
          <w:lang w:val="en" w:eastAsia="en"/>
        </w:rPr>
        <w:tab/>
      </w:r>
      <w:r>
        <w:rPr>
          <w:lang w:val="el" w:eastAsia="el"/>
        </w:rPr>
        <w:t>Πλοία</w:t>
      </w:r>
    </w:p>
    <w:p>
      <w:pPr>
        <w:pStyle w:val="StructureList1"/>
        <w:spacing w:before="120" w:after="0"/>
        <w:rPr>
          <w:lang w:val="el" w:eastAsia="el"/>
        </w:rPr>
      </w:pPr>
      <w:r>
        <w:rPr>
          <w:lang w:val="el" w:eastAsia="el"/>
        </w:rPr>
        <w:t>ε)</w:t>
      </w:r>
      <w:r>
        <w:rPr>
          <w:lang w:val="en" w:eastAsia="en"/>
        </w:rPr>
        <w:tab/>
      </w:r>
      <w:r>
        <w:rPr>
          <w:lang w:val="el" w:eastAsia="el"/>
        </w:rPr>
        <w:t>Επιχειρήσεις</w:t>
      </w:r>
    </w:p>
    <w:p>
      <w:pPr>
        <w:pStyle w:val="StructureList1"/>
        <w:spacing w:before="120" w:after="0"/>
        <w:rPr>
          <w:lang w:val="el" w:eastAsia="el"/>
        </w:rPr>
      </w:pPr>
      <w:r>
        <w:rPr>
          <w:lang w:val="el" w:eastAsia="el"/>
        </w:rPr>
        <w:t>στ)</w:t>
      </w:r>
      <w:r>
        <w:rPr>
          <w:lang w:val="en" w:eastAsia="en"/>
        </w:rPr>
        <w:tab/>
      </w:r>
      <w:r>
        <w:rPr>
          <w:lang w:val="el" w:eastAsia="el"/>
        </w:rPr>
        <w:t>Κινητά κάθε είδους</w:t>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στο άρθρο 41 του παρόντος νόμου.</w:t>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μετά την παρέλευση τριών (3) ετών από τη χορήγηση άδειας παραγωγής και λήγει με την υποβολή της εγγυητικής επιστολής της περίπτωσης 3 της υποπαραγράφου Ι.1..</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περίπτωσης 1 της παρούσης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πέντε χιλιάδων (5.000,00)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αα)</w:t>
      </w:r>
      <w:r>
        <w:rPr>
          <w:lang w:val="en" w:eastAsia="en"/>
        </w:rPr>
        <w:tab/>
      </w:r>
      <w:r>
        <w:rPr>
          <w:lang w:val="el" w:eastAsia="el"/>
        </w:rPr>
        <w:t>Για οφειλές από πέντε χιλιάδες (5.000,00)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Οι οφειλέτες πρέπει να προσκομίζουν φορολογική ενημερότητα ή βεβαίωση οφειλής κατά περίπτωση, προκειμένου να αξιολογείται η δυνατότητα ανταπόκρισης στην παρούσα ρύθμιση.</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πέντε χιλιάδων (5.000,00)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Τέσσερις (4) θέσεις προσωπικού κατηγορίας Πανεπιστημιακής Εκπαίδευσης με τριετή τουλάχιστον προϋπηρεσία και με πολύ καλή τουλάχιστον γνώση της αγγλικής ή γαλλικής ή γερμανικής γλώσσας.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Τέσσερις (4) θέσεις υπαλλήλων κατηγορίας ΔΕ με βαθμούς Β΄− ΣΤ΄, από τους οποίους τουλάχιστον δύο πρέπει να διαθέτουν ελάχιστη προϋπηρεσία τεσσάρων ετών, καλή γνώση της αγγλικής ή γαλλικής ή γερμανικής γλώσσας και γνώση χειρισμού Η/Υ.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υπηρεσιών του δημόσιου τομέα, στις οποίες συμπεριλαμβάνονται και οι Γραμματείες των Δικαστηρίων και των Εισαγγελιών.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μονίμων πολιτικών υπαλλήλων του Δημοσίου, Ν.Π.Δ.Δ. ή Ο.Τ.Α., κατά παρέκκλιση των κειμένων διατάξεων, με απόφαση του Πρωθυπουργού.</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Η δαπάνη μισθοδοσίας των υπαλλήλων που αποσπώνται στον Εθνικό Συντονιστή βαρύνει την υπηρεσία στην οποία έχουν τοποθετηθεί, σε κάθε δε περίπτωση οι αποδοχές των υπαλλήλων του Εθνικού Συντονιστή δεν υπολείπονται του συνόλου των αποδοχών και των λοιπών πρόσθετων αμοιβών που τους καταβάλλονταν από την οργανική τους θέση, με τις προϋποθέσεις χορήγησής τους.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καλύπτονται από τον προϋπολογισμό της Γενικής Γραμματείας Πρωθυπουργού, η οποία και υποστηρίζει διαχειριστικά τον Εθνικό Συντονιστή. Η διενέργεια των αντίστοιχων δαπανών γίνεται από τον Εθνικό Συντονιστή ως κύριο διατάκτη.</w:t>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 -ΕΤΑΜ - ΕΤΕΑ.</w:t>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3" w:history="1">
        <w:r>
          <w:rPr>
            <w:rStyle w:val="Hyperlink"/>
            <w:color w:val="0000EE"/>
            <w:u w:color="0000EE"/>
            <w:lang w:val="el" w:eastAsia="el"/>
          </w:rPr>
          <w:t>Τροποποίηση 4170/2013, Άρθρο 73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Προσθήκη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0" w:history="1">
        <w:r>
          <w:rPr>
            <w:rStyle w:val="Hyperlink"/>
            <w:color w:val="0000EE"/>
            <w:u w:color="0000EE"/>
            <w:lang w:val="el" w:eastAsia="el"/>
          </w:rPr>
          <w:t>Τροποποίηση 4203/2013, Άρθρο 20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0" w:history="1">
        <w:r>
          <w:rPr>
            <w:rStyle w:val="Hyperlink"/>
            <w:color w:val="0000EE"/>
            <w:u w:color="0000EE"/>
            <w:lang w:val="el" w:eastAsia="el"/>
          </w:rPr>
          <w:t>Τροποποίηση 4203/2013,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0" w:history="1">
        <w:r>
          <w:rPr>
            <w:rStyle w:val="Hyperlink"/>
            <w:color w:val="0000EE"/>
            <w:u w:color="0000EE"/>
            <w:lang w:val="el" w:eastAsia="el"/>
          </w:rPr>
          <w:t>Τροποποίηση 4203/2013,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Τροποποίηση 4203/2013,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0" w:history="1">
        <w:r>
          <w:rPr>
            <w:rStyle w:val="Hyperlink"/>
            <w:color w:val="0000EE"/>
            <w:u w:color="0000EE"/>
            <w:lang w:val="el" w:eastAsia="el"/>
          </w:rPr>
          <w:t>Τροποποίηση 4203/2013,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0" w:history="1">
        <w:r>
          <w:rPr>
            <w:rStyle w:val="Hyperlink"/>
            <w:color w:val="0000EE"/>
            <w:u w:color="0000EE"/>
            <w:lang w:val="el" w:eastAsia="el"/>
          </w:rPr>
          <w:t>Τροποποίηση 4203/2013,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8" w:history="1">
        <w:r>
          <w:rPr>
            <w:rStyle w:val="Hyperlink"/>
            <w:color w:val="0000EE"/>
            <w:u w:color="0000EE"/>
            <w:lang w:val="el" w:eastAsia="el"/>
          </w:rPr>
          <w:t>Προσθήκη 4203/2013, Άρθρο 28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4180/2013, Άρθρο 17</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3/11/01/4203" TargetMode="External" /><Relationship Id="rId11" Type="http://schemas.openxmlformats.org/officeDocument/2006/relationships/hyperlink" Target="http://data.aade.gr/eli/pri/law/2013/11/01/4203" TargetMode="External" /><Relationship Id="rId12" Type="http://schemas.openxmlformats.org/officeDocument/2006/relationships/hyperlink" Target="http://data.aade.gr/eli/pri/law/2013/11/01/4203" TargetMode="External" /><Relationship Id="rId13" Type="http://schemas.openxmlformats.org/officeDocument/2006/relationships/hyperlink" Target="http://data.aade.gr/eli/pri/law/2013/11/01/4203" TargetMode="External" /><Relationship Id="rId14" Type="http://schemas.openxmlformats.org/officeDocument/2006/relationships/hyperlink" Target="http://data.aade.gr/eli/pri/law/2013/07/12/4170" TargetMode="External" /><Relationship Id="rId2" Type="http://schemas.openxmlformats.org/officeDocument/2006/relationships/hyperlink" Target="http://data.aade.gr/eli/pri/law/2013/07/26/4174" TargetMode="External" /><Relationship Id="rId3" Type="http://schemas.openxmlformats.org/officeDocument/2006/relationships/hyperlink" Target="http://data.aade.gr/eli/pri/law/2013/07/23/4172" TargetMode="External" /><Relationship Id="rId4" Type="http://schemas.openxmlformats.org/officeDocument/2006/relationships/hyperlink" Target="http://data.aade.gr/eli/pri/law/2013/07/12/4170" TargetMode="External" /><Relationship Id="rId5" Type="http://schemas.openxmlformats.org/officeDocument/2006/relationships/hyperlink" Target="http://data.aade.gr/eli/pri/law/2013/07/12/4170" TargetMode="External" /><Relationship Id="rId6" Type="http://schemas.openxmlformats.org/officeDocument/2006/relationships/hyperlink" Target="http://data.aade.gr/eli/pri/law/2013/07/12/4170" TargetMode="External" /><Relationship Id="rId7" Type="http://schemas.openxmlformats.org/officeDocument/2006/relationships/hyperlink" Target="http://data.aade.gr/eli/pri/law/2013/11/01/4203" TargetMode="External" /><Relationship Id="rId8" Type="http://schemas.openxmlformats.org/officeDocument/2006/relationships/hyperlink" Target="http://data.aade.gr/eli/pri/law/2013/11/01/4203" TargetMode="External" /><Relationship Id="rId9" Type="http://schemas.openxmlformats.org/officeDocument/2006/relationships/hyperlink" Target="http://data.aade.gr/eli/pri/law/2013/11/01/42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