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του Υπουργείου Οικονομικών.</w:t>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φορέα διαπιστευμένο από το Εθνικό Σύστημα Διαπίστευσης (ΕΣΥΔ) ή από επαγγελματική ένωση ή οργανισμό που πληροί τις προϋποθέσεις της παραγράφου 2 του άρθρου 3 του Π.Δ. 38/2010 (Α΄ 78) ή από εκτιμητικό μη κερδοσκοπικό οργανισμό με διεθνή ή ευρωπαϊκή αναγνώριση.</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Έχει επιτυχώς ολοκληρώσει τη διαδικασία εξετάσεων, όπως αυτή ορίζεται στην υποπαράγραφο Γ.3.</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Το πιστοποιητικό του στοιχείου γγ) της υποπερίπτωσης στ΄ της περίπτωσης 2 της υποπαραγράφου Γ.2. του παρόντος νόμου χορηγείται μετά από επιτυχία του ενδιαφερόμενου σε εξετάσεις, στο γνωστικό αντικείμενο του κλάδου ή των κλάδων, στους οποίους επιθυμεί να πιστοποιηθεί. Οι εξετάσεις διεξάγονται κυρίως με το σύστημα των πολλαπλών επιλογών. Ο ενδιαφερόμενος υποβάλλει σχετική αίτηση στην Αρμόδια Διοικητική Αρχή, συνοδευόμενη από τα δικαιολογητικά των υποπεριπτώσεων α' , β' , δ' και ε' της περίπτωσης 2 της υποπαραγράφου Γ2 του παρόντος νόμου.</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Οι εξετάσεις διενεργούνται δύο φορές το χρόνο από Εξεταστική Επιτροπή, τα μέλη της οποίας είναι τα εξής:</w:t>
      </w:r>
    </w:p>
    <w:p>
      <w:pPr>
        <w:spacing w:before="240" w:after="240"/>
        <w:rPr>
          <w:lang w:val="el" w:eastAsia="el"/>
        </w:rPr>
      </w:pPr>
      <w:r>
        <w:rPr>
          <w:lang w:val="el" w:eastAsia="el"/>
        </w:rPr>
        <w:t>α. Δύο μέλη του Διδακτικού Ερευνητικού Προσωπικού (Δ.Ε.Π.) από συναφείς, ως προς το γνωστικό αντικείμενο του εκτιμητή, Ανώτερες ή Ανώτατες Σχολές, με τους αναπληρωτές τους, εκ των οποίων ο αρχαιότερος ορίζεται πρόεδρος. Τα εν λόγω μέλη δεν θα πρέπει να ασκούν το επάγγελμα του πιστοποιημένου εκτιμητή.</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 Ένας Προϊστάμενος Τμήματος ή Διεύθυνσης,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Γραμματέας της Επιτροπής ορίζεται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της Επιτροπής είναι τριετής.</w:t>
      </w:r>
    </w:p>
    <w:p>
      <w:pPr>
        <w:spacing w:before="240" w:after="240"/>
        <w:rPr>
          <w:lang w:val="el" w:eastAsia="el"/>
        </w:rPr>
      </w:pPr>
      <w:r>
        <w:rPr>
          <w:lang w:val="el" w:eastAsia="el"/>
        </w:rPr>
        <w:t>Η συγκρότηση της Επιτροπής γίνεται με απόφαση του Υπουργού Οικονομικών, μετά από εισήγηση της Αρμόδιας Αρχής.</w:t>
      </w:r>
    </w:p>
    <w:p>
      <w:pPr>
        <w:pStyle w:val="MainText"/>
        <w:spacing w:before="120" w:after="0"/>
        <w:rPr>
          <w:lang w:val="el" w:eastAsia="el"/>
        </w:rPr>
      </w:pPr>
      <w:r>
        <w:rPr>
          <w:b/>
          <w:bCs/>
          <w:lang w:val="el" w:eastAsia="el"/>
        </w:rPr>
        <w:t>3.</w:t>
      </w:r>
      <w:r>
        <w:rPr>
          <w:lang w:val="el" w:eastAsia="el"/>
        </w:rPr>
        <w:t xml:space="preserve"> Η Εξεταστική Επιτροπή συνεδριάζει νόμιμα, όταν παρίστανται, ως τακτικά ή αναπληρωματικά μέλη, περισσότερα από τα μισά των διορισμένων τακτικών μελών (απαρτία). Οι αποφάσεις της Επιτροπής λαμβάνονται εγγράφως, κατά πλειοψηφία και με συνοπτική αιτιολογία.</w:t>
      </w:r>
    </w:p>
    <w:p>
      <w:pPr>
        <w:spacing w:before="240" w:after="240"/>
        <w:rPr>
          <w:lang w:val="el" w:eastAsia="el"/>
        </w:rPr>
      </w:pPr>
      <w:r>
        <w:rPr>
          <w:lang w:val="el" w:eastAsia="el"/>
        </w:rPr>
        <w:t>Με απόφαση του Υπουργού Οικονομικών, που εκδίδεται εντός τριών μηνών από τη δημοσίευση του παρόντος, ύστερα από εισήγηση της Εξεταστικής Επιτροπής, ορίζονται μεταξύ άλλων, η εξεταστέα ύλη, ο τρόπος βαθμολόγησης των υποψηφίων, η διαδικασία, ο τρόπος, τα κριτήρια, οι όροι, οι προϋποθέσεις εξέτασης των υποψηφίων εκτιμητών ενώπιον της Εξεταστικής Επιτροπής και κάθε άλλο θέμα συναφές με τη λειτουργία της Επιτροπής και τη διενέργεια των εξετάσεων. Με όμοια απόφαση ορίζονται τα μαθήματα προς εξέταση, μετά από εισήγηση της Αρμόδιας Αρχής, μετά από γνώμη της Εξεταστικής Επιτροπής στα οποία περιέχονται αντικείμενα συναφή με τα κεφάλαια της υποπαραγράφου Γ.4.. Με όμοια απόφαση ορίζεται η εξεταστέα ύλη, το ύψος και η διαδικασία καταβολής του παραβόλου της συμμετοχής των υποψηφίων στις εξετάσεις, καθώς και η αμοιβή των μελών της Εξεταστικής Επιτροπής του παρόντος άρθρου.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Στο τέλος του στοιχείου (κ) της παραγράφου 9 του άρθρου 4 του Ν. 3864/2010 προστίθενται λέξεις ως εξής: «και τον Κανονισμό Προμηθειών αγαθών και υπηρεσιών, για κάθε σύμβαση μη εμπίπτουσα στις διατάξεις του Π.Δ.60/2007.»</w:t>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α. Το στοιχείο 4 της παρ. Α του άρθρου 2 του Π.Δ. 51/2006 (Α 53) αντικαθίσταται ως εξής:</w:t>
      </w:r>
    </w:p>
    <w:p>
      <w:pPr>
        <w:spacing w:before="240" w:after="240"/>
        <w:rPr>
          <w:lang w:val="el" w:eastAsia="el"/>
        </w:rPr>
      </w:pPr>
      <w:r>
        <w:rPr>
          <w:lang w:val="el" w:eastAsia="el"/>
        </w:rPr>
        <w:t>«4. Οι επαγγελματικές άδειες εκδίδονται σύμφωνα με το άρθρο 7 του Ν. 2323/1995 (Α 145) για χρονική περίοδο τριών (3) ετών και ανανεώνονται κάθε φορά ισόχρονα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εφόσον όλες οι κατά το άρθρο 1 του παρόντος προϋποθέσεις εξακολουθούν να συντρέχουν στο πρόσωπο του αδειούχου.</w:t>
      </w:r>
    </w:p>
    <w:p>
      <w:pPr>
        <w:spacing w:before="240" w:after="240"/>
        <w:rPr>
          <w:lang w:val="el" w:eastAsia="el"/>
        </w:rPr>
      </w:pPr>
      <w:r>
        <w:rPr>
          <w:lang w:val="el" w:eastAsia="el"/>
        </w:rPr>
        <w:t>Με αποφάσεις των αρμόδιων υπηρεσιών καθορίζονται ο τόπος και ο τρόπος υποβολής της αίτησης και η προθεσμία ανανέωσης, η οποία δεν μπορεί να είναι μικρότερη των δεκαπέντε (15) ημερών και μεγαλύτερη του ενός (1) μηνός από τη λήξη της άδειας. Οι αποφάσεις αυτές τοιχοκολλούνται στα καταστήματα των ανωτέρω υπηρεσιών, αναρτώνται στην ιστοσελίδα τους ή δημοσιεύονται σε δύο (2) τουλάχιστον ημερήσιες εφημερίδες ή σε δύο (2) ημερήσιες ή εβδομαδιαίες τοπικές εφημερίδες αντίστοιχα και κοινοποιούνται με απόδειξη στις Ομοσπονδίες και τους Συλλόγους των επαγγελματιών πωλητών.</w:t>
      </w:r>
    </w:p>
    <w:p>
      <w:pPr>
        <w:spacing w:before="240" w:after="240"/>
        <w:rPr>
          <w:lang w:val="el" w:eastAsia="el"/>
        </w:rPr>
      </w:pPr>
      <w:r>
        <w:rPr>
          <w:lang w:val="el" w:eastAsia="el"/>
        </w:rPr>
        <w:t>Για την ανανέωση, οι πωλητές κάτοχοι επαγγελματικών αδειών υποβάλλουν εντός της προθεσμίας που ορίζει η απόφαση και επιπλέον των δικαιολογητικών που απαιτούνται για την έκδοση της άδειας:</w:t>
      </w:r>
    </w:p>
    <w:p>
      <w:pPr>
        <w:spacing w:before="240" w:after="240"/>
        <w:rPr>
          <w:lang w:val="el" w:eastAsia="el"/>
        </w:rPr>
      </w:pPr>
      <w:r>
        <w:rPr>
          <w:lang w:val="el" w:eastAsia="el"/>
        </w:rPr>
        <w:t>α) βεβαίωση φορολογικής ενημερότητας της αρμόδιας Δ.Ο.Υ. και</w:t>
      </w:r>
    </w:p>
    <w:p>
      <w:pPr>
        <w:spacing w:before="240" w:after="240"/>
        <w:rPr>
          <w:lang w:val="el" w:eastAsia="el"/>
        </w:rPr>
      </w:pPr>
      <w:r>
        <w:rPr>
          <w:lang w:val="el" w:eastAsia="el"/>
        </w:rPr>
        <w:t>β) βεβαίωση ασφαλιστικής ενημερότητας του ασφαλιστικού φορέα.»</w:t>
      </w:r>
    </w:p>
    <w:p>
      <w:pPr>
        <w:spacing w:before="240" w:after="240"/>
        <w:rPr>
          <w:lang w:val="el" w:eastAsia="el"/>
        </w:rPr>
      </w:pPr>
      <w:r>
        <w:rPr>
          <w:lang w:val="el" w:eastAsia="el"/>
        </w:rPr>
        <w:t>β. Όλες οι υφιστάμενες άδειες λήγουν αυτοδικαίως την 31η Οκτωβρίου 2014 και ανανεώνονται εφεξής σύμφωνα με τα οριζόμενα στην υποπερίπτωση α της παρούσας περίπτωσης.</w:t>
      </w:r>
    </w:p>
    <w:p>
      <w:pPr>
        <w:pStyle w:val="MainText"/>
        <w:spacing w:before="120" w:after="0"/>
        <w:rPr>
          <w:lang w:val="el" w:eastAsia="el"/>
        </w:rPr>
      </w:pPr>
      <w:r>
        <w:rPr>
          <w:b/>
          <w:bCs/>
          <w:lang w:val="el" w:eastAsia="el"/>
        </w:rPr>
        <w:t>2.</w:t>
      </w:r>
      <w:r>
        <w:rPr>
          <w:lang w:val="el" w:eastAsia="el"/>
        </w:rPr>
        <w:t xml:space="preserve"> Τα στοιχεία 1 και 2 της παρ. Ε του άρθρου 2 του Π.Δ.. 51/2006 (Α 53) αντικαθίστανται ως εξής:</w:t>
      </w:r>
    </w:p>
    <w:p>
      <w:pPr>
        <w:spacing w:before="240" w:after="240"/>
        <w:rPr>
          <w:lang w:val="el" w:eastAsia="el"/>
        </w:rPr>
      </w:pPr>
      <w:r>
        <w:rPr>
          <w:lang w:val="el" w:eastAsia="el"/>
        </w:rPr>
        <w:t>«1. Οι επαγγελματικές άδειες πωλητών λαϊκών αγορών είναι προσωποπαγείς και αμεταβίβαστες. Κατ΄ εξαίρεση,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επιτρέπεται άπαξ μόνον η μεταβίβαση κατά σειρά προτεραιότητας στον/στη σύζυγο ή σε ένα εκ των συνοικούντων και προστατευόμενων τέκνων με ταυτόχρονη παραίτηση από το δικαίωμα των λοιπών και εφόσον διαθέτουν τις προϋποθέσεις του άρθρου 1 του παρόντος:</w:t>
      </w:r>
    </w:p>
    <w:p>
      <w:pPr>
        <w:spacing w:before="240" w:after="240"/>
        <w:rPr>
          <w:lang w:val="el" w:eastAsia="el"/>
        </w:rPr>
      </w:pPr>
      <w:r>
        <w:rPr>
          <w:lang w:val="el" w:eastAsia="el"/>
        </w:rPr>
        <w:t>α) σε περίπτωση θανάτου του κατόχου της άδειας και β) σε περίπτωση ανίατης ασθένειας ή μόνιμης αναπηρίας του κατόχου με την προσκόμιση σχετικών πιστοποιητικών που αποδεικνύουν την επικαλούμενη στην αίτηση ιδιότητα.</w:t>
      </w:r>
    </w:p>
    <w:p>
      <w:pPr>
        <w:spacing w:before="240" w:after="240"/>
        <w:rPr>
          <w:lang w:val="el" w:eastAsia="el"/>
        </w:rPr>
      </w:pPr>
      <w:r>
        <w:rPr>
          <w:lang w:val="el" w:eastAsia="el"/>
        </w:rPr>
        <w:t>2. α) Η μεταβίβαση πραγματοποιείται κατόπιν αιτήσεως των δικαιούχων εντός αποκλειστικής προθεσμίας έξι (6) μηνών από τη γέννηση του δικαιώματος. Σε περίπτωση παρέλευσης της ως άνω προθεσμίας η ισχύς της άδειας παύει αυτοδικαίως.</w:t>
      </w:r>
    </w:p>
    <w:p>
      <w:pPr>
        <w:spacing w:before="240" w:after="240"/>
        <w:rPr>
          <w:lang w:val="el" w:eastAsia="el"/>
        </w:rPr>
      </w:pPr>
      <w:r>
        <w:rPr>
          <w:lang w:val="el" w:eastAsia="el"/>
        </w:rPr>
        <w:t>β) Η παραίτηση ενός ή περισσοτέρων προσώπων, που δικαιούνται την άδεια κατά την ως άνω σειρά προτεραιότητας γίνεται εγγράφως και φέρει βεβαίωση του γνησίου της υπογραφής από δημόσια Αρχή.».</w:t>
      </w:r>
    </w:p>
    <w:p>
      <w:pPr>
        <w:pStyle w:val="MainText"/>
        <w:spacing w:before="120" w:after="0"/>
        <w:rPr>
          <w:lang w:val="el" w:eastAsia="el"/>
        </w:rPr>
      </w:pPr>
      <w:r>
        <w:rPr>
          <w:b/>
          <w:bCs/>
          <w:lang w:val="el" w:eastAsia="el"/>
        </w:rPr>
        <w:t>3.</w:t>
      </w:r>
      <w:r>
        <w:rPr>
          <w:lang w:val="el" w:eastAsia="el"/>
        </w:rPr>
        <w:t xml:space="preserve"> Κάθε διάταξη αντίθετη προς την παρούσα υποπαράγραφο καταργείται.</w:t>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μεγαβάτ (MW), σε εξήντα χιλιάδες (60.000) ευρώ για το τμήμα της ισχύος έως και 1 MW, μειούμενου αναλογικά για ισχύ μικρότερη του 1 MW, τριάντα χιλιάδες (30.000) ευρώ για το τμήμα της ισχύος από 1 MW έως και 10 MW, είκοσι χιλιάδες (20.000) ευρώ για το τμήμα της ισχύος από 10 MW έως και 100 MW και δέκα χιλιάδες (10.000) ευρώ για το τμήμα της ισχύος πάνω από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καταβάλλουν εντός του πρώτου τριμήνου κάθε ημερολογιακού έτους στη ΛΑΓΗΕ Α.Ε., υπέρ του ειδικού διαχειριστικού Λογαριασμού του άρθρου 40 του Ν. 2773/1999 (Α 286), ετήσιο τέλος ύψους χιλίων ευρώ ανά μεγαβάτ (1.000 €/MW).</w:t>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p>
    <w:p>
      <w:pPr>
        <w:spacing w:before="240" w:after="240"/>
        <w:rPr>
          <w:lang w:val="el" w:eastAsia="el"/>
        </w:rPr>
      </w:pPr>
      <w:r>
        <w:rPr>
          <w:lang w:val="el" w:eastAsia="el"/>
        </w:rPr>
        <w:t>α. για φωτοβολταϊκούς σταθμούς, μετά την παρέλευση ενός (1) έτους από τη χορήγηση άδειας παραγωγής,</w:t>
      </w:r>
    </w:p>
    <w:p>
      <w:pPr>
        <w:spacing w:before="240" w:after="240"/>
        <w:rPr>
          <w:lang w:val="el" w:eastAsia="el"/>
        </w:rPr>
      </w:pPr>
      <w:r>
        <w:rPr>
          <w:lang w:val="el" w:eastAsia="el"/>
        </w:rPr>
        <w:t>β. για σταθμούς που περιγράφονται στις περιπτώσεις α έως γ του τελευταίου εδαφίου της παραγράφου 10 του άρθρου 8 του Ν. 3468/2006 , μετά την παρέλευση τεσσάρων (4) ετών από τη χορήγηση άδειας παραγωγής,</w:t>
      </w:r>
    </w:p>
    <w:p>
      <w:pPr>
        <w:spacing w:before="240" w:after="240"/>
        <w:rPr>
          <w:lang w:val="el" w:eastAsia="el"/>
        </w:rPr>
      </w:pPr>
      <w:r>
        <w:rPr>
          <w:lang w:val="el" w:eastAsia="el"/>
        </w:rPr>
        <w:t>γ. για λοιπούς, πλην φωτοβολταϊκών, σταθμούς ΑΠΕ ή ΣΗΘΥΑ του άρθρου 3 του ν. 3468/2006, μετά την παρέλευση τριών (3) ετών από τη χορήγηση άδειας παραγωγής και λήγει με την υποβολή της εγγυητικής επιστολής της περίπτωσης 3 της υποπαραγράφου Ι.1..</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Σε περιπτώσεις αδειών παραγωγής που έχουν εκδοθεί μέχρι την έναρξη ισχύος του παρόντος, η υποχρέωση της περίπτωσης 1 γεννάται μετά την παρέλευση δύο (2)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από την 1.1.2014, και λήγει με την υποβολή της εγγυητικής επιστολής της περίπτωσης 4 της υποπαραγράφου Ι.1.. Ειδικά για το έτος 2014 η καταβολή του τέλους της περίπτωσης 1 για τις άδειες του προηγουμένου εδαφίου γίνεται έως 30.6.2014.</w:t>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Το ετήσιο τέλος της περίπτωσης 1 της παρούσης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5.</w:t>
      </w:r>
      <w:r>
        <w:rPr>
          <w:lang w:val="el" w:eastAsia="el"/>
        </w:rPr>
        <w:t xml:space="preserve"> Η μη εμπρόθεσμη καταβολή του ετήσιου τέλους που προβλέπεται στην περίπτωση 1 συνεπάγεται την αυτοδίκαιη παύση ισχύος της άδειας παραγωγής.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έτους από την ανωτέρω παύση ισχύος της άδειας παραγωγής. Η ΡΑΕ τηρεί μητρώο των αδειών παραγωγής, που παύουν να ισχύουν κατά τα ανωτέρω, το οποίο αναρτά στον διαδικτυακό τόπο της.</w:t>
      </w:r>
    </w:p>
    <w:p>
      <w:pPr>
        <w:pStyle w:val="MainText"/>
        <w:spacing w:before="120" w:after="0"/>
        <w:rPr>
          <w:lang w:val="el" w:eastAsia="el"/>
        </w:rPr>
      </w:pPr>
      <w:r>
        <w:rPr>
          <w:b/>
          <w:bCs/>
          <w:lang w:val="el" w:eastAsia="el"/>
        </w:rPr>
        <w:t>6.</w:t>
      </w:r>
      <w:r>
        <w:rPr>
          <w:lang w:val="el" w:eastAsia="el"/>
        </w:rPr>
        <w:t xml:space="preserve"> Το ύψος του ανωτέρω τέλους μπορεί να αναπροσαρμόζεται με ανώτατο όριο το ποσό των τριών χιλιάδων ευρώ ανά μεγαβάτ (3.000 €/MW) με απόφαση του Υπουργού Περιβάλλοντος, Ενέργειας και Κλιματικής Αλλαγής,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 α) για συγκεκριμένες γεωγραφικές περιοχές που έχουν χαρακτηριστεί ή έχει προταθεί να χαρακτηριστούν κορεσμένες και β) για συγκεκριμένες τεχνολογίες.</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μετά από γνώμη της ΡΑΕ, μπορεί να καθορισθεί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ιδίου νόμου, όπως κάθε φορά θα ισχύει βάσει των διατάξεων της περίπτωσης 6 και να ρυθμιστούν οι προϋποθέσεις καταβολής του και οι συνέπειες από τη μη καταβολή του κατ΄ αναλογία των οριζόμενων στην παρούσα υποπαράγραφο, καθώς και κάθε σχετική λεπτομέρεια.</w:t>
      </w:r>
    </w:p>
    <w:p>
      <w:pPr>
        <w:pStyle w:val="MainText"/>
        <w:spacing w:before="120" w:after="0"/>
        <w:rPr>
          <w:lang w:val="el" w:eastAsia="el"/>
        </w:rPr>
      </w:pPr>
      <w:r>
        <w:rPr>
          <w:b/>
          <w:bCs/>
          <w:lang w:val="el" w:eastAsia="el"/>
        </w:rPr>
        <w:t>8.</w:t>
      </w:r>
      <w:r>
        <w:rPr>
          <w:lang w:val="el" w:eastAsia="el"/>
        </w:rPr>
        <w:t xml:space="preserve"> Ειδικά για τις περιοχές με κορεσμένα δίκτυα, το χρονικό διάστημα για το οποίο υφίσταται κορεσμός εξαιρείται κατά τον υπολογισμό των χρονικών περιόδων των περιπτώσεων 2 και 3 και δεν καταβάλλεται το τέλος της περίπτωσης 1 για όσο χρονικό διάστημα υφίσταται ο κορεσμός. Κατ΄ εξαίρεση από τα προβλεπόμενα στο αμέσως προηγούμενο εδάφιο, η υποχρέωση της περίπτωσης 1 υφίσταται για εκείνους τους σταθμούς ΑΠΕ ή ΣΗΘΥΑ του άρθρου 3 του Ν. 3468/2006 που στην οικεία άδεια παραγωγής προβλέπεται ότι θα συνδεθούν και θα εγχέουν ενέργεια σε σημείο του δικτύου για το οποίο δεν υφίσταται κορεσμός.</w:t>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 η Μαΐου 2014.</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πέντε χιλιάδων (5.000,00)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Για οφειλές από πέντε χιλιάδες (5.000,00)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Το ποσό της κύριας οφειλής που υπάγεται στην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Οι οφειλέτες πρέπει να προσκομίζουν φορολογική ενημερότητα ή βεβαίωση οφειλής κατά περίπτωση, προκειμένου να αξιολογείται η δυνατότητα ανταπόκρισης στην παρούσα ρύθμιση.</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πέντε χιλιάδων (5.000,00)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ΕΘΝΙΚΟΣ ΣΥΝΤΟΝΙΣΤΗΣ ΓΙΑ ΤΗΝ ΚΑΤΑΠΟΛΕΜΗΣΗ ΤΗΣ ΔΙΑΦΘΟΡΑΣ</w:t>
      </w:r>
    </w:p>
    <w:p>
      <w:pPr>
        <w:spacing w:before="240" w:after="240"/>
        <w:rPr>
          <w:lang w:val="el" w:eastAsia="el"/>
        </w:rPr>
      </w:pPr>
      <w:r>
        <w:rPr>
          <w:lang w:val="el" w:eastAsia="el"/>
        </w:rPr>
        <w:t>ΥΠΟΠΑΡΑΓΡΑΦΟΣ ΙΓ.1.: ΕΘΝΙΚΟΣ ΣΥΝΤΟΝΙΣΤΗΣ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Συνιστάται θέση Εθνικού Συντονιστή για την Καταπολέμηση της Διαφθοράς (Εθνικός Συντονιστής), ο οποίος υπάγεται απευθείας στον Πρωθυπουργό. Αποστολή του Εθνικού Συντονιστή είναι η διαμόρφωση Εθνικής Στρατηγικής για την καταπολέμηση της διαφθοράς σε όλα τα επίπεδα του δημόσιου τομέα (πολιτικό, κυβερνητικό, δικαστικό, διοικητικό), η παρακολούθηση και η αξιολόγηση της εφαρμογής της στρατηγικής αυτής, καθώς και ο συντονισμός όλων των φορέων που εμπλέκονται στην εφαρμογή της ανωτέρω εθνικής στρατηγικής.</w:t>
      </w:r>
    </w:p>
    <w:p>
      <w:pPr>
        <w:spacing w:before="240" w:after="240"/>
        <w:rPr>
          <w:lang w:val="el" w:eastAsia="el"/>
        </w:rPr>
      </w:pPr>
      <w:r>
        <w:rPr>
          <w:lang w:val="el" w:eastAsia="el"/>
        </w:rPr>
        <w:t>Ο Εθνικός Συντονιστής υποστηρίζεται στο έργο του από: α) τη Συντονιστική Επιτροπή για την Καταπολέμηση της Διαφθοράς και β) το Συμβουλευτικό Σώμα.</w:t>
      </w:r>
    </w:p>
    <w:p>
      <w:pPr>
        <w:pStyle w:val="MainText"/>
        <w:spacing w:before="120" w:after="0"/>
        <w:rPr>
          <w:lang w:val="el" w:eastAsia="el"/>
        </w:rPr>
      </w:pPr>
      <w:r>
        <w:rPr>
          <w:b/>
          <w:bCs/>
          <w:lang w:val="el" w:eastAsia="el"/>
        </w:rPr>
        <w:t>2.</w:t>
      </w:r>
      <w:r>
        <w:rPr>
          <w:lang w:val="el" w:eastAsia="el"/>
        </w:rPr>
        <w:t xml:space="preserve"> Για τη θέση του Εθνικού Συντονιστή επιλέγεται πρόσωπο εγνωσμένου κύρους και ευρύτερης αποδοχής που διορίζεται με απόφαση του Πρωθυπουργού για πενταετή θητεία με πλήρη και αποκλειστική απασχόληση. Απαλλαγή από τα καθήκοντά του επιτρέπεται για ανεπάρκεια άσκησης των καθηκόντων του για οποιονδήποτε λόγο ή για αδυναμία άσκησής τους λόγω νόσου, με απόφαση του Πρωθυπουργού. Αντί διορισμού επιτρέπεται η κάλυψη της θέσης με ανάθεση καθηκόντων σε δημόσιο υπάλληλο ή λειτουργό, ο οποίος επιλέγει είτε τις αποδοχές της θέσης αυτής είτε αυτές της οργανικής του θέσης. Ανανέωση της θητείας του Εθνικού Συντονιστή επιτρέπεται μια μόνο φορά.</w:t>
      </w:r>
    </w:p>
    <w:p>
      <w:pPr>
        <w:pStyle w:val="MainText"/>
        <w:spacing w:before="120" w:after="0"/>
        <w:rPr>
          <w:lang w:val="el" w:eastAsia="el"/>
        </w:rPr>
      </w:pPr>
      <w:r>
        <w:rPr>
          <w:b/>
          <w:bCs/>
          <w:lang w:val="el" w:eastAsia="el"/>
        </w:rPr>
        <w:t>3.</w:t>
      </w:r>
      <w:r>
        <w:rPr>
          <w:lang w:val="el" w:eastAsia="el"/>
        </w:rPr>
        <w:t xml:space="preserve"> Κατά τη διάρκεια της θητείας του Εθνικού Συντονιστή αναστέλλεται η άσκηση οποιασδήποτε επαγγελματικής του δραστηριότητας.</w:t>
      </w:r>
    </w:p>
    <w:p>
      <w:pPr>
        <w:pStyle w:val="MainText"/>
        <w:spacing w:before="120" w:after="0"/>
        <w:rPr>
          <w:lang w:val="el" w:eastAsia="el"/>
        </w:rPr>
      </w:pPr>
      <w:r>
        <w:rPr>
          <w:b/>
          <w:bCs/>
          <w:lang w:val="el" w:eastAsia="el"/>
        </w:rPr>
        <w:t>4.</w:t>
      </w:r>
      <w:r>
        <w:rPr>
          <w:lang w:val="el" w:eastAsia="el"/>
        </w:rPr>
        <w:t xml:space="preserve"> Ο Εθνικός Συντονιστής λαμβάνει αποδοχές Γενικού Γραμματέα Υπουργείου.</w:t>
      </w:r>
    </w:p>
    <w:p>
      <w:pPr>
        <w:spacing w:before="240" w:after="240"/>
        <w:rPr>
          <w:lang w:val="el" w:eastAsia="el"/>
        </w:rPr>
      </w:pPr>
      <w:r>
        <w:rPr>
          <w:lang w:val="el" w:eastAsia="el"/>
        </w:rPr>
        <w:t>ΥΠΟΠΑΡΑΓΡΑΦΟΣ ΙΓ.2.: ΑΡΜΟΔΙΟΤΗΤΕΣ ΤΟΥ ΕΘΝΙΚΟΥ ΣΥΝΤΟΝΙΣΤΗ</w:t>
      </w:r>
    </w:p>
    <w:p>
      <w:pPr>
        <w:pStyle w:val="MainText"/>
        <w:spacing w:before="120" w:after="0"/>
        <w:rPr>
          <w:lang w:val="el" w:eastAsia="el"/>
        </w:rPr>
      </w:pPr>
      <w:r>
        <w:rPr>
          <w:b/>
          <w:bCs/>
          <w:lang w:val="el" w:eastAsia="el"/>
        </w:rPr>
        <w:t>1.</w:t>
      </w:r>
      <w:r>
        <w:rPr>
          <w:lang w:val="el" w:eastAsia="el"/>
        </w:rPr>
        <w:t xml:space="preserve"> Ο Εθνικός Συντονιστής:</w:t>
      </w:r>
    </w:p>
    <w:p>
      <w:pPr>
        <w:pStyle w:val="StructureList1"/>
        <w:spacing w:before="120" w:after="0"/>
        <w:rPr>
          <w:lang w:val="el" w:eastAsia="el"/>
        </w:rPr>
      </w:pPr>
      <w:r>
        <w:rPr>
          <w:lang w:val="el" w:eastAsia="el"/>
        </w:rPr>
        <w:t>α)</w:t>
      </w:r>
      <w:r>
        <w:rPr>
          <w:lang w:val="en" w:eastAsia="en"/>
        </w:rPr>
        <w:tab/>
      </w:r>
      <w:r>
        <w:rPr>
          <w:lang w:val="el" w:eastAsia="el"/>
        </w:rPr>
        <w:t>Καταρτίζει σχέδιο εθνικής στρατηγικής για την πρόληψη και την καταπολέμηση της διαφθοράς. Στην κατάρτιση του ως άνω σχεδίου, ιδιαίτερη μέριμνα λαμβάνεται στον τομέα της πρόληψης του φαινομένου της διαφθοράς.</w:t>
      </w:r>
    </w:p>
    <w:p>
      <w:pPr>
        <w:pStyle w:val="StructureList1"/>
        <w:spacing w:before="120" w:after="0"/>
        <w:rPr>
          <w:lang w:val="el" w:eastAsia="el"/>
        </w:rPr>
      </w:pPr>
      <w:r>
        <w:rPr>
          <w:lang w:val="el" w:eastAsia="el"/>
        </w:rPr>
        <w:t>β)</w:t>
      </w:r>
      <w:r>
        <w:rPr>
          <w:lang w:val="en" w:eastAsia="en"/>
        </w:rPr>
        <w:tab/>
      </w:r>
      <w:r>
        <w:rPr>
          <w:lang w:val="el" w:eastAsia="el"/>
        </w:rPr>
        <w:t>Εξειδικεύει τη στρατηγική αυτή με μέτρα και δράσεις κατά Υπουργείο και φορέα.</w:t>
      </w:r>
    </w:p>
    <w:p>
      <w:pPr>
        <w:pStyle w:val="StructureList1"/>
        <w:spacing w:before="120" w:after="0"/>
        <w:rPr>
          <w:lang w:val="el" w:eastAsia="el"/>
        </w:rPr>
      </w:pPr>
      <w:r>
        <w:rPr>
          <w:lang w:val="el" w:eastAsia="el"/>
        </w:rPr>
        <w:t>γ)</w:t>
      </w:r>
      <w:r>
        <w:rPr>
          <w:lang w:val="en" w:eastAsia="en"/>
        </w:rPr>
        <w:tab/>
      </w:r>
      <w:r>
        <w:rPr>
          <w:lang w:val="el" w:eastAsia="el"/>
        </w:rPr>
        <w:t>Επικαιροποιεί την εθνική στρατηγική και τις εξειδικεύσεις της οποτεδήποτε παρίσταται ανάγκη.</w:t>
      </w:r>
    </w:p>
    <w:p>
      <w:pPr>
        <w:pStyle w:val="StructureList1"/>
        <w:spacing w:before="120" w:after="0"/>
        <w:rPr>
          <w:lang w:val="el" w:eastAsia="el"/>
        </w:rPr>
      </w:pPr>
      <w:r>
        <w:rPr>
          <w:lang w:val="el" w:eastAsia="el"/>
        </w:rPr>
        <w:t>δ)</w:t>
      </w:r>
      <w:r>
        <w:rPr>
          <w:lang w:val="en" w:eastAsia="en"/>
        </w:rPr>
        <w:tab/>
      </w:r>
      <w:r>
        <w:rPr>
          <w:lang w:val="el" w:eastAsia="el"/>
        </w:rPr>
        <w:t>Παρακολουθεί την εφαρμογή του σχεδίου, ελέγχει την τήρησή του και επεμβαίνει στις περιπτώσεις που διαπιστώνονται αποκλίσεις.</w:t>
      </w:r>
    </w:p>
    <w:p>
      <w:pPr>
        <w:pStyle w:val="StructureList1"/>
        <w:spacing w:before="120" w:after="0"/>
        <w:rPr>
          <w:lang w:val="el" w:eastAsia="el"/>
        </w:rPr>
      </w:pPr>
      <w:r>
        <w:rPr>
          <w:lang w:val="el" w:eastAsia="el"/>
        </w:rPr>
        <w:t>ε)</w:t>
      </w:r>
      <w:r>
        <w:rPr>
          <w:lang w:val="en" w:eastAsia="en"/>
        </w:rPr>
        <w:tab/>
      </w:r>
      <w:r>
        <w:rPr>
          <w:lang w:val="el" w:eastAsia="el"/>
        </w:rPr>
        <w:t>Συντονίζει όλες τις υπηρεσίες και τους φορείς που εμπλέκονται στην εφαρμογή της εθνικής στρατηγικής για την καταπολέμηση της διαφθοράς, αναλαμβάνοντας τις αναγκαίες πρωτοβουλίες και ενέργειες προς το σκοπό αυτόν για τη διασφάλιση της συνεκτικότητας και της αποτελεσματικότητας της εθνικής στρατηγικής, εξαιρουμένου του συντονισμού των ελεγκτικών σωμάτων.</w:t>
      </w:r>
    </w:p>
    <w:p>
      <w:pPr>
        <w:pStyle w:val="StructureList1"/>
        <w:spacing w:before="120" w:after="0"/>
        <w:rPr>
          <w:lang w:val="el" w:eastAsia="el"/>
        </w:rPr>
      </w:pPr>
      <w:r>
        <w:rPr>
          <w:lang w:val="el" w:eastAsia="el"/>
        </w:rPr>
        <w:t>στ)</w:t>
      </w:r>
      <w:r>
        <w:rPr>
          <w:lang w:val="en" w:eastAsia="en"/>
        </w:rPr>
        <w:tab/>
      </w:r>
      <w:r>
        <w:rPr>
          <w:lang w:val="el" w:eastAsia="el"/>
        </w:rPr>
        <w:t>Αξιολογεί την εφαρμογή και την πρόοδο της εθνικής στρατηγικής και των αποτελεσμάτων της και ενημερώνει σχετικά τον Πρωθυπουργό και τη Βουλή.</w:t>
      </w:r>
    </w:p>
    <w:p>
      <w:pPr>
        <w:pStyle w:val="StructureList1"/>
        <w:spacing w:before="120" w:after="0"/>
        <w:rPr>
          <w:lang w:val="el" w:eastAsia="el"/>
        </w:rPr>
      </w:pPr>
      <w:r>
        <w:rPr>
          <w:lang w:val="el" w:eastAsia="el"/>
        </w:rPr>
        <w:t>ζ)</w:t>
      </w:r>
      <w:r>
        <w:rPr>
          <w:lang w:val="en" w:eastAsia="en"/>
        </w:rPr>
        <w:tab/>
      </w:r>
      <w:r>
        <w:rPr>
          <w:lang w:val="el" w:eastAsia="el"/>
        </w:rPr>
        <w:t>Ο Εθνικός Συντονιστής απολαμβάνει ανεξαρτησίας στην άσκηση των καθηκόντων του.</w:t>
      </w:r>
    </w:p>
    <w:p>
      <w:pPr>
        <w:pStyle w:val="MainText"/>
        <w:spacing w:before="120" w:after="0"/>
        <w:rPr>
          <w:lang w:val="el" w:eastAsia="el"/>
        </w:rPr>
      </w:pPr>
      <w:r>
        <w:rPr>
          <w:b/>
          <w:bCs/>
          <w:lang w:val="el" w:eastAsia="el"/>
        </w:rPr>
        <w:t>2.</w:t>
      </w:r>
      <w:r>
        <w:rPr>
          <w:lang w:val="el" w:eastAsia="el"/>
        </w:rPr>
        <w:t xml:space="preserve"> Ο Εθνικός Συντονιστής για την άσκηση των ανωτέρω αρμοδιοτήτων και την εκπλήρωση της αποστολής του προβαίνει ιδίως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Συνεργάζεται με τους Υπουργούς οι οποίοι αμέσως ή εμμέσως εμπλέκονται και ανταλλάσσει απόψεις σχετικά με τη διαμόρφωση ολοκληρωμένης πολιτικής για τον εντοπισμό των εστιών διαφθοράς την πρόληψη και την καταστολή της διαφθοράς, και την καλύτερη εφαρμογή του σχετικού σχεδίου, καθώς και το συντονισμό των διαφόρων εμπλεκόμενων υπηρεσιών και φορέων. Στο πλαίσιο της συνεργασίας αυτής εισηγείται στους αρμόδιους Υπουργούς νομοθετικές και κανονιστικές ρυθμίσεις.</w:t>
      </w:r>
    </w:p>
    <w:p>
      <w:pPr>
        <w:pStyle w:val="StructureList1"/>
        <w:spacing w:before="120" w:after="0"/>
        <w:rPr>
          <w:lang w:val="el" w:eastAsia="el"/>
        </w:rPr>
      </w:pPr>
      <w:r>
        <w:rPr>
          <w:lang w:val="el" w:eastAsia="el"/>
        </w:rPr>
        <w:t>β)</w:t>
      </w:r>
      <w:r>
        <w:rPr>
          <w:lang w:val="en" w:eastAsia="en"/>
        </w:rPr>
        <w:tab/>
      </w:r>
      <w:r>
        <w:rPr>
          <w:lang w:val="el" w:eastAsia="el"/>
        </w:rPr>
        <w:t>Συνεργάζεται με τις Υπηρεσίες και τους φορείς που εμπλέκονται στην καταπολέμηση της διαφθοράς και συντονίζει τη δράση τους σε σχετικά θέματα.</w:t>
      </w:r>
    </w:p>
    <w:p>
      <w:pPr>
        <w:pStyle w:val="StructureList1"/>
        <w:spacing w:before="120" w:after="0"/>
        <w:rPr>
          <w:lang w:val="el" w:eastAsia="el"/>
        </w:rPr>
      </w:pPr>
      <w:r>
        <w:rPr>
          <w:lang w:val="el" w:eastAsia="el"/>
        </w:rPr>
        <w:t>γ)</w:t>
      </w:r>
      <w:r>
        <w:rPr>
          <w:lang w:val="en" w:eastAsia="en"/>
        </w:rPr>
        <w:tab/>
      </w:r>
      <w:r>
        <w:rPr>
          <w:lang w:val="el" w:eastAsia="el"/>
        </w:rPr>
        <w:t>Μπορεί να ζητεί από τις αρμόδιες διοικητικές υπηρεσίες στατιστικά στοιχεία, καθώς και άλλα στοιχεία και πληροφορίες σχετικά με υποθέσεις διαφθοράς και να απευθύνει προς αυτές τις αναγκαίες για το συντονισμό του έργου τους συστάσεις.</w:t>
      </w:r>
    </w:p>
    <w:p>
      <w:pPr>
        <w:pStyle w:val="StructureList1"/>
        <w:spacing w:before="120" w:after="0"/>
        <w:rPr>
          <w:lang w:val="el" w:eastAsia="el"/>
        </w:rPr>
      </w:pPr>
      <w:r>
        <w:rPr>
          <w:lang w:val="el" w:eastAsia="el"/>
        </w:rPr>
        <w:t>δ)</w:t>
      </w:r>
      <w:r>
        <w:rPr>
          <w:lang w:val="en" w:eastAsia="en"/>
        </w:rPr>
        <w:tab/>
      </w:r>
      <w:r>
        <w:rPr>
          <w:lang w:val="el" w:eastAsia="el"/>
        </w:rPr>
        <w:t>Μπορεί να ζητεί από τις αρμόδιες δικαστικές και εισαγγελικές αρχές στατιστικά στοιχεία, καθώς και πληροφορίες για τη δικονομική πορεία των υποθέσεων διαφθοράς και να λαμβάνει αντίγραφα βουλευμάτων, δικαστικών αποφάσεων και άλλων πράξεων των δικαστικών και εισαγγελικών αρχών.</w:t>
      </w:r>
    </w:p>
    <w:p>
      <w:pPr>
        <w:pStyle w:val="StructureList1"/>
        <w:spacing w:before="120" w:after="0"/>
        <w:rPr>
          <w:lang w:val="el" w:eastAsia="el"/>
        </w:rPr>
      </w:pPr>
      <w:r>
        <w:rPr>
          <w:lang w:val="el" w:eastAsia="el"/>
        </w:rPr>
        <w:t>ε)</w:t>
      </w:r>
      <w:r>
        <w:rPr>
          <w:lang w:val="en" w:eastAsia="en"/>
        </w:rPr>
        <w:tab/>
      </w:r>
      <w:r>
        <w:rPr>
          <w:lang w:val="el" w:eastAsia="el"/>
        </w:rPr>
        <w:t>Συνεργάζεται με τους διευθύνοντες στις δικαστικές και εισαγγελικές αρχές όλων των βαθμών και ανταλλάσσει απόψεις σχετικά με θέματα της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Μεριμνά για την ενημέρωση και ευαισθητοποίηση του κοινού σχετικά με τους κινδύνους που συνεπάγεται το φαινόμενο της διαφθοράς για το κοινωνικό σύνολο.</w:t>
      </w:r>
    </w:p>
    <w:p>
      <w:pPr>
        <w:pStyle w:val="MainText"/>
        <w:spacing w:before="120" w:after="0"/>
        <w:rPr>
          <w:lang w:val="el" w:eastAsia="el"/>
        </w:rPr>
      </w:pPr>
      <w:r>
        <w:rPr>
          <w:b/>
          <w:bCs/>
          <w:lang w:val="el" w:eastAsia="el"/>
        </w:rPr>
        <w:t>3.</w:t>
      </w:r>
      <w:r>
        <w:rPr>
          <w:lang w:val="el" w:eastAsia="el"/>
        </w:rPr>
        <w:t xml:space="preserve"> Η εθνική στρατηγική πρόληψης και καταπολέμησης της διαφθοράς διαμορφώνεται με χρονικό ορίζοντα τριετίας και εξειδικεύεται σε βραχυπρόθεσμες δράσεις. Πριν από τη λήξη της τριετίας διαμορφώνεται το πλαίσιο της εθνικής στρατηγικής για την επόμενη τριετία.</w:t>
      </w:r>
    </w:p>
    <w:p>
      <w:pPr>
        <w:pStyle w:val="MainText"/>
        <w:spacing w:before="120" w:after="0"/>
        <w:rPr>
          <w:lang w:val="el" w:eastAsia="el"/>
        </w:rPr>
      </w:pPr>
      <w:r>
        <w:rPr>
          <w:b/>
          <w:bCs/>
          <w:lang w:val="el" w:eastAsia="el"/>
        </w:rPr>
        <w:t>4.</w:t>
      </w:r>
      <w:r>
        <w:rPr>
          <w:lang w:val="el" w:eastAsia="el"/>
        </w:rPr>
        <w:t xml:space="preserve"> Ο Εθνικός Συντονιστής για το σχεδιασμό και την εξειδίκευση της εθνικής στρατηγικής για την καταπολέμηση της διαφθοράς, λαμβάνει υπόψη και το γενικό πλαίσιο που έχει αποτυπωθεί στον Οδικό Χάρτη για τη καταπολέμηση της διαφθοράς και ο οποίος αποτελεί αναπόσπαστο μέρος του μνημονίου κατανόησης που έχει υπογραφεί από 4.10.2012, μεταξύ των Υπουργείων Διοικητικής Μεταρρύθμισης και Ηλεκτρονικής Διακυβέρνησης, Οικονομικών, Δικαιοσύνης, Διαφάνειας και Ανθρωπίνων Δικαιωμάτων, Δημόσιας Τάξης και Προστασίας του Πολίτη και του εκπροσώπου της Ομάδας Δράσης για την Ελλάδα.</w:t>
      </w:r>
    </w:p>
    <w:p>
      <w:pPr>
        <w:pStyle w:val="MainText"/>
        <w:spacing w:before="120" w:after="0"/>
        <w:rPr>
          <w:lang w:val="el" w:eastAsia="el"/>
        </w:rPr>
      </w:pPr>
      <w:r>
        <w:rPr>
          <w:b/>
          <w:bCs/>
          <w:lang w:val="el" w:eastAsia="el"/>
        </w:rPr>
        <w:t>5.</w:t>
      </w:r>
      <w:r>
        <w:rPr>
          <w:lang w:val="el" w:eastAsia="el"/>
        </w:rPr>
        <w:t xml:space="preserve"> Ο Εθνικός Συντονιστής ενημερώνει τον Πρωθυπουργό και τη Βουλή με ετήσια έκθεση που υποβάλλεται το πρώτο δίμηνο κάθε έτους και περιέχει αξιολόγηση της εφαρμογής της εθνικής στρατηγικής και των αποτελεσμάτων της. Μπορεί επίσης να ενημερώνει τον Πρωθυπουργό ή τον Υπουργό Επικρατείας οποτεδήποτε, εκτάκτως, αν ανακύψουν δυσλειτουργίες εφαρμογής της εθνικής στρατηγικής ή συντονισμού, η αντιμετώπιση των οποίων δεν καταστεί δυνατή στο πλαίσιο των κατά τα ανωτέρω συνεργασιών και διαβουλεύσεων.</w:t>
      </w:r>
    </w:p>
    <w:p>
      <w:pPr>
        <w:spacing w:before="240" w:after="240"/>
        <w:rPr>
          <w:lang w:val="el" w:eastAsia="el"/>
        </w:rPr>
      </w:pPr>
      <w:r>
        <w:rPr>
          <w:lang w:val="el" w:eastAsia="el"/>
        </w:rPr>
        <w:t>ΥΠΟΠΑΡΑΓΡΑΦΟΣ ΙΓ.3.: ΣΥΝΤΟΝΙΣΤΙΚΗ ΕΠΙΤΡΟΠΗ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Η Συντονιστική Επιτροπή αποτελείται από:</w:t>
      </w:r>
    </w:p>
    <w:p>
      <w:pPr>
        <w:pStyle w:val="MainText"/>
        <w:spacing w:before="120" w:after="0"/>
        <w:rPr>
          <w:lang w:val="el" w:eastAsia="el"/>
        </w:rPr>
      </w:pPr>
      <w:r>
        <w:rPr>
          <w:b/>
          <w:bCs/>
          <w:lang w:val="el" w:eastAsia="el"/>
        </w:rPr>
        <w:t>1.</w:t>
      </w:r>
      <w:r>
        <w:rPr>
          <w:lang w:val="el" w:eastAsia="el"/>
        </w:rPr>
        <w:t xml:space="preserve"> Τον Εθνικό Συντονιστή</w:t>
      </w:r>
    </w:p>
    <w:p>
      <w:pPr>
        <w:pStyle w:val="MainText"/>
        <w:spacing w:before="120" w:after="0"/>
        <w:rPr>
          <w:lang w:val="el" w:eastAsia="el"/>
        </w:rPr>
      </w:pPr>
      <w:r>
        <w:rPr>
          <w:b/>
          <w:bCs/>
          <w:lang w:val="el" w:eastAsia="el"/>
        </w:rPr>
        <w:t>2.</w:t>
      </w:r>
      <w:r>
        <w:rPr>
          <w:lang w:val="el" w:eastAsia="el"/>
        </w:rPr>
        <w:t xml:space="preserve"> Τον Γενικό Γραμματέα του Υπουργείου Οικονομικών</w:t>
      </w:r>
    </w:p>
    <w:p>
      <w:pPr>
        <w:pStyle w:val="MainText"/>
        <w:spacing w:before="120" w:after="0"/>
        <w:rPr>
          <w:lang w:val="el" w:eastAsia="el"/>
        </w:rPr>
      </w:pPr>
      <w:r>
        <w:rPr>
          <w:b/>
          <w:bCs/>
          <w:lang w:val="el" w:eastAsia="el"/>
        </w:rPr>
        <w:t>3.</w:t>
      </w:r>
      <w:r>
        <w:rPr>
          <w:lang w:val="el" w:eastAsia="el"/>
        </w:rPr>
        <w:t xml:space="preserve"> Τον Γενικό Γραμματέα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Τον Γενικό Γραμματέα του Υπουργείου Ανάπτυξης, Ανταγωνιστικότητας, Υποδομών, Μεταφορών και Δικτύων</w:t>
      </w:r>
    </w:p>
    <w:p>
      <w:pPr>
        <w:pStyle w:val="MainText"/>
        <w:spacing w:before="120" w:after="0"/>
        <w:rPr>
          <w:lang w:val="el" w:eastAsia="el"/>
        </w:rPr>
      </w:pPr>
      <w:r>
        <w:rPr>
          <w:b/>
          <w:bCs/>
          <w:lang w:val="el" w:eastAsia="el"/>
        </w:rPr>
        <w:t>5.</w:t>
      </w:r>
      <w:r>
        <w:rPr>
          <w:lang w:val="el" w:eastAsia="el"/>
        </w:rPr>
        <w:t xml:space="preserve"> Τον Γενικό Γραμματέα του Υπουργείου Δικαιοσύνης, Διαφάνειας και Ανθρωπίνων Δικαιωμάτων</w:t>
      </w:r>
    </w:p>
    <w:p>
      <w:pPr>
        <w:pStyle w:val="MainText"/>
        <w:spacing w:before="120" w:after="0"/>
        <w:rPr>
          <w:lang w:val="el" w:eastAsia="el"/>
        </w:rPr>
      </w:pPr>
      <w:r>
        <w:rPr>
          <w:b/>
          <w:bCs/>
          <w:lang w:val="el" w:eastAsia="el"/>
        </w:rPr>
        <w:t>6.</w:t>
      </w:r>
      <w:r>
        <w:rPr>
          <w:lang w:val="el" w:eastAsia="el"/>
        </w:rPr>
        <w:t xml:space="preserve"> Τον Ειδικό Γραμματέα του ΣΔΟΕ</w:t>
      </w:r>
    </w:p>
    <w:p>
      <w:pPr>
        <w:pStyle w:val="MainText"/>
        <w:spacing w:before="120" w:after="0"/>
        <w:rPr>
          <w:lang w:val="el" w:eastAsia="el"/>
        </w:rPr>
      </w:pPr>
      <w:r>
        <w:rPr>
          <w:b/>
          <w:bCs/>
          <w:lang w:val="el" w:eastAsia="el"/>
        </w:rPr>
        <w:t>7.</w:t>
      </w:r>
      <w:r>
        <w:rPr>
          <w:lang w:val="el" w:eastAsia="el"/>
        </w:rPr>
        <w:t xml:space="preserve"> Τον Προϊστάμενο της Μονάδας Χρηματοοικονομικών Πληροφοριών του Υπουργείου Οικονομικών</w:t>
      </w:r>
    </w:p>
    <w:p>
      <w:pPr>
        <w:pStyle w:val="MainText"/>
        <w:spacing w:before="120" w:after="0"/>
        <w:rPr>
          <w:lang w:val="el" w:eastAsia="el"/>
        </w:rPr>
      </w:pPr>
      <w:r>
        <w:rPr>
          <w:b/>
          <w:bCs/>
          <w:lang w:val="el" w:eastAsia="el"/>
        </w:rPr>
        <w:t>8.</w:t>
      </w:r>
      <w:r>
        <w:rPr>
          <w:lang w:val="el" w:eastAsia="el"/>
        </w:rPr>
        <w:t xml:space="preserve"> Τον Εισαγγελέα κατά της Διαφθοράς</w:t>
      </w:r>
    </w:p>
    <w:p>
      <w:pPr>
        <w:pStyle w:val="MainText"/>
        <w:spacing w:before="120" w:after="0"/>
        <w:rPr>
          <w:lang w:val="el" w:eastAsia="el"/>
        </w:rPr>
      </w:pPr>
      <w:r>
        <w:rPr>
          <w:b/>
          <w:bCs/>
          <w:lang w:val="el" w:eastAsia="el"/>
        </w:rPr>
        <w:t>9.</w:t>
      </w:r>
      <w:r>
        <w:rPr>
          <w:lang w:val="el" w:eastAsia="el"/>
        </w:rPr>
        <w:t xml:space="preserve"> Τον προϊστάμενο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pStyle w:val="MainText"/>
        <w:spacing w:before="120" w:after="0"/>
        <w:rPr>
          <w:lang w:val="el" w:eastAsia="el"/>
        </w:rPr>
      </w:pPr>
      <w:r>
        <w:rPr>
          <w:b/>
          <w:bCs/>
          <w:lang w:val="el" w:eastAsia="el"/>
        </w:rPr>
        <w:t>10.</w:t>
      </w:r>
      <w:r>
        <w:rPr>
          <w:lang w:val="el" w:eastAsia="el"/>
        </w:rPr>
        <w:t xml:space="preserve"> Τον Συνήγορο του Πολίτη</w:t>
      </w:r>
    </w:p>
    <w:p>
      <w:pPr>
        <w:pStyle w:val="MainText"/>
        <w:spacing w:before="120" w:after="0"/>
        <w:rPr>
          <w:lang w:val="el" w:eastAsia="el"/>
        </w:rPr>
      </w:pPr>
      <w:r>
        <w:rPr>
          <w:b/>
          <w:bCs/>
          <w:lang w:val="el" w:eastAsia="el"/>
        </w:rPr>
        <w:t>11.</w:t>
      </w:r>
      <w:r>
        <w:rPr>
          <w:lang w:val="el" w:eastAsia="el"/>
        </w:rPr>
        <w:t xml:space="preserve"> Τον Γενικό Επιθεωρητή Δημόσιας Διοίκησης</w:t>
      </w:r>
    </w:p>
    <w:p>
      <w:pPr>
        <w:pStyle w:val="MainText"/>
        <w:spacing w:before="120" w:after="0"/>
        <w:rPr>
          <w:lang w:val="el" w:eastAsia="el"/>
        </w:rPr>
      </w:pPr>
      <w:r>
        <w:rPr>
          <w:b/>
          <w:bCs/>
          <w:lang w:val="el" w:eastAsia="el"/>
        </w:rPr>
        <w:t>12.</w:t>
      </w:r>
      <w:r>
        <w:rPr>
          <w:lang w:val="el" w:eastAsia="el"/>
        </w:rPr>
        <w:t xml:space="preserve"> Τον Διευθυντή της Οικονομικής Αστυνομίας.</w:t>
      </w:r>
    </w:p>
    <w:p>
      <w:pPr>
        <w:spacing w:before="240" w:after="240"/>
        <w:rPr>
          <w:lang w:val="el" w:eastAsia="el"/>
        </w:rPr>
      </w:pPr>
      <w:r>
        <w:rPr>
          <w:lang w:val="el" w:eastAsia="el"/>
        </w:rPr>
        <w:t>Της Συντονιστικής Επιτροπής προεδρεύει ο Εθνικός Συντονιστής.</w:t>
      </w:r>
    </w:p>
    <w:p>
      <w:pPr>
        <w:pStyle w:val="MainText"/>
        <w:spacing w:before="120" w:after="0"/>
        <w:rPr>
          <w:lang w:val="el" w:eastAsia="el"/>
        </w:rPr>
      </w:pPr>
      <w:r>
        <w:rPr>
          <w:b/>
          <w:bCs/>
          <w:lang w:val="el" w:eastAsia="el"/>
        </w:rPr>
        <w:t>2.</w:t>
      </w:r>
      <w:r>
        <w:rPr>
          <w:lang w:val="el" w:eastAsia="el"/>
        </w:rPr>
        <w:t xml:space="preserve"> Κάθε μέλος της Συντονιστικής Επιτροπής μπορεί να συνοδεύεται και από ένα στέλεχος από καθέναν από τους κατά τα ανωτέρω φορείς, το οποίο έχει ειδικές γνώσεις και παρακολουθεί τα θέματα καταπολέμησης της διαφθοράς, στα οποία εμπλέκεται ο οικείος φορέας. Τα πρόσωπα που συνοδεύουν μέλη της Συντονιστικής Επιτροπής κατά το προηγούμενο εδάφιο, δεν μετέχουν στις συζητήσεις της.</w:t>
      </w:r>
    </w:p>
    <w:p>
      <w:pPr>
        <w:pStyle w:val="MainText"/>
        <w:spacing w:before="120" w:after="0"/>
        <w:rPr>
          <w:lang w:val="el" w:eastAsia="el"/>
        </w:rPr>
      </w:pPr>
      <w:r>
        <w:rPr>
          <w:b/>
          <w:bCs/>
          <w:lang w:val="el" w:eastAsia="el"/>
        </w:rPr>
        <w:t>3.</w:t>
      </w:r>
      <w:r>
        <w:rPr>
          <w:lang w:val="el" w:eastAsia="el"/>
        </w:rPr>
        <w:t xml:space="preserve"> Στις συνεδριάσεις της Συντονιστικής Επιτροπής μπορεί να προσκαλούνται, κατά περίπτωση, εκπρόσωποι άλλων συναφών υπηρεσιών ή φορέων ή εμπειρογνώμονες προκειμένου να συμμετάσχουν στις συζητήσεις των θεμάτων και να διατυπώσουν τη γνώμη τους.</w:t>
      </w:r>
    </w:p>
    <w:p>
      <w:pPr>
        <w:pStyle w:val="MainText"/>
        <w:spacing w:before="120" w:after="0"/>
        <w:rPr>
          <w:lang w:val="el" w:eastAsia="el"/>
        </w:rPr>
      </w:pPr>
      <w:r>
        <w:rPr>
          <w:b/>
          <w:bCs/>
          <w:lang w:val="el" w:eastAsia="el"/>
        </w:rPr>
        <w:t>4.</w:t>
      </w:r>
      <w:r>
        <w:rPr>
          <w:lang w:val="el" w:eastAsia="el"/>
        </w:rPr>
        <w:t xml:space="preserve"> Η Συντονιστική Επιτροπή συνεδριάζει ύστερα από πρόσκληση του Προέδρου της σε τακτά χρονικά διαστήματα που ορίζονται από τον ίδιο. Έκτακτη σύγκληση μπορεί να γίνεται σε περίπτωση αντιμετώπισης κατεπείγοντος θέματος.</w:t>
      </w:r>
    </w:p>
    <w:p>
      <w:pPr>
        <w:pStyle w:val="MainText"/>
        <w:spacing w:before="120" w:after="0"/>
        <w:rPr>
          <w:lang w:val="el" w:eastAsia="el"/>
        </w:rPr>
      </w:pPr>
      <w:r>
        <w:rPr>
          <w:b/>
          <w:bCs/>
          <w:lang w:val="el" w:eastAsia="el"/>
        </w:rPr>
        <w:t>5.</w:t>
      </w:r>
      <w:r>
        <w:rPr>
          <w:lang w:val="el" w:eastAsia="el"/>
        </w:rPr>
        <w:t xml:space="preserve"> Τα μέλη της Συντονιστικής Επιτροπής ορίζονται με απόφαση του Πρωθυπουργού που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Έργο της Συντονιστικής Επιτροπής είναι η υποστήριξη του Εθνικού Συντονιστή στην εκτέλεση του έργου του. Ειδικότερα συμβάλλει με συζητήσεις και προτάσεις στη διαμόρφωση και αποτελεσματική εφαρμογή της εθνικής στρατηγικής για την καταπολέμηση της διαφθοράς και το συντονισμό των εμπλεκόμενων Υπηρεσιών και Φορέων.</w:t>
      </w:r>
    </w:p>
    <w:p>
      <w:pPr>
        <w:pStyle w:val="MainText"/>
        <w:spacing w:before="120" w:after="0"/>
        <w:rPr>
          <w:lang w:val="el" w:eastAsia="el"/>
        </w:rPr>
      </w:pPr>
      <w:r>
        <w:rPr>
          <w:b/>
          <w:bCs/>
          <w:lang w:val="el" w:eastAsia="el"/>
        </w:rPr>
        <w:t>7.</w:t>
      </w:r>
      <w:r>
        <w:rPr>
          <w:lang w:val="el" w:eastAsia="el"/>
        </w:rPr>
        <w:t xml:space="preserve"> Ο Εθνικός Συντονιστής μπορεί οποτεδήποτε να συγκαλέσει ad hoc συνεδρίαση της Επιτροπής με τη συμμετοχή ορισμένων μόνο μελών της για την αντιμετώπιση συγκεκριμένων θεμάτων εφαρμογής της εθνικής στρατηγικής και συντονισμού, που αφορούν τις Υπηρεσίες ή τους φορείς που εκπροσωπούν τα μέλη αυτά. 8. Τα μέλη της Συντονιστικής Επιτροπής: α) Παρέχουν στον Εθνικό Συντονιστή όλες τις διαθέσιμες πληροφορίες, στοιχεία και δεδομένα των Υπηρεσιών ή φορέων που εκπροσωπούν, που είναι αναγκαία για το σχεδιασμό, την εφαρμογή και την αξιολόγηση της εφαρμογής της εθνικής στρατηγικής κατά της διαφθοράς.</w:t>
      </w:r>
    </w:p>
    <w:p>
      <w:pPr>
        <w:pStyle w:val="StructureList1"/>
        <w:spacing w:before="120" w:after="0"/>
        <w:rPr>
          <w:lang w:val="el" w:eastAsia="el"/>
        </w:rPr>
      </w:pPr>
      <w:r>
        <w:rPr>
          <w:lang w:val="el" w:eastAsia="el"/>
        </w:rPr>
        <w:t>β)</w:t>
      </w:r>
      <w:r>
        <w:rPr>
          <w:lang w:val="en" w:eastAsia="en"/>
        </w:rPr>
        <w:tab/>
      </w:r>
      <w:r>
        <w:rPr>
          <w:lang w:val="el" w:eastAsia="el"/>
        </w:rPr>
        <w:t>Συμβάλλουν στο συντονισμό της δράσης και των πρακτικών των Υπηρεσιών ή των φορέων που εκπροσωπούν στα θέματα που τους ζητείται από τον Εθνικό Συντονιστή ή που ανακύπτουν από τις συζητήσεις κατά τις συνεδριάσεις της Συντονιστικής Επιτροπής</w:t>
      </w:r>
    </w:p>
    <w:p>
      <w:pPr>
        <w:spacing w:before="240" w:after="240"/>
        <w:rPr>
          <w:lang w:val="el" w:eastAsia="el"/>
        </w:rPr>
      </w:pPr>
      <w:r>
        <w:rPr>
          <w:lang w:val="el" w:eastAsia="el"/>
        </w:rPr>
        <w:t>ΥΠΟΠΑΡΑΓΡΑΦΟΣ ΙΓ.4.: ΣΥΜΒΟΥΛΕΥΤΙΚΟ ΣΩΜΑ</w:t>
      </w:r>
    </w:p>
    <w:p>
      <w:pPr>
        <w:pStyle w:val="MainText"/>
        <w:spacing w:before="120" w:after="0"/>
        <w:rPr>
          <w:lang w:val="el" w:eastAsia="el"/>
        </w:rPr>
      </w:pPr>
      <w:r>
        <w:rPr>
          <w:b/>
          <w:bCs/>
          <w:lang w:val="el" w:eastAsia="el"/>
        </w:rPr>
        <w:t>1.</w:t>
      </w:r>
      <w:r>
        <w:rPr>
          <w:lang w:val="el" w:eastAsia="el"/>
        </w:rPr>
        <w:t xml:space="preserve"> Ο Εθνικός Συντονιστής και η Συντονιστική Επιτροπή υποστηρίζεται από Συμβουλευτικό Σώμα, ο αριθμός των μελών του οποίου δεν επιτρέπεται να υπερβαίνει τα εννέα. Μέλη του Συμβουλευτικού Σώματος ορίζονται πρόσωπα με ειδικές γνώσεις και εμπειρία στην καταπολέμηση της διαφθοράς ή στη λειτουργία της Δημόσιας Διοίκησης, όπως καθηγητές Πανεπιστημίων και ειδικοί επιστήμονες με συναφές γνωστικό αντικείμενο, δικαστικοί λειτουργοί, πρόσωπα που διαθέτουν εμπειρία σε συναφή θέματα ή εκπρόσωποι ημεδαπών ή αλλοδαπών φορέων που ασχολούνται με την καταπολέμηση της διαφθοράς.</w:t>
      </w:r>
    </w:p>
    <w:p>
      <w:pPr>
        <w:pStyle w:val="MainText"/>
        <w:spacing w:before="120" w:after="0"/>
        <w:rPr>
          <w:lang w:val="el" w:eastAsia="el"/>
        </w:rPr>
      </w:pPr>
      <w:r>
        <w:rPr>
          <w:b/>
          <w:bCs/>
          <w:lang w:val="el" w:eastAsia="el"/>
        </w:rPr>
        <w:t>2.</w:t>
      </w:r>
      <w:r>
        <w:rPr>
          <w:lang w:val="el" w:eastAsia="el"/>
        </w:rPr>
        <w:t xml:space="preserve"> Το Συμβουλευτικό Σώμα έχει ως αποστολή να συμβουλεύει τον Εθνικό Συντονιστή και την Συντονιστική Επιτροπή επί θεμάτων που εισάγονται σε αυτό.</w:t>
      </w:r>
    </w:p>
    <w:p>
      <w:pPr>
        <w:pStyle w:val="MainText"/>
        <w:spacing w:before="120" w:after="0"/>
        <w:rPr>
          <w:lang w:val="el" w:eastAsia="el"/>
        </w:rPr>
      </w:pPr>
      <w:r>
        <w:rPr>
          <w:b/>
          <w:bCs/>
          <w:lang w:val="el" w:eastAsia="el"/>
        </w:rPr>
        <w:t>3.</w:t>
      </w:r>
      <w:r>
        <w:rPr>
          <w:lang w:val="el" w:eastAsia="el"/>
        </w:rPr>
        <w:t xml:space="preserve"> Με απόφαση του Πρωθυπουργού που δημοσιεύεται στην Εφημερίδα της Κυβερνήσεως, ορίζονται τα μέλη του Συμβουλευτικού Σώματος. Με όμοια απόφαση ορίζεται ένα από τα μέλη του ως Πρόεδρος του Συμβουλευτικού Σώματος.</w:t>
      </w:r>
    </w:p>
    <w:p>
      <w:pPr>
        <w:pStyle w:val="MainText"/>
        <w:spacing w:before="120" w:after="0"/>
        <w:rPr>
          <w:lang w:val="el" w:eastAsia="el"/>
        </w:rPr>
      </w:pPr>
      <w:r>
        <w:rPr>
          <w:b/>
          <w:bCs/>
          <w:lang w:val="el" w:eastAsia="el"/>
        </w:rPr>
        <w:t>4.</w:t>
      </w:r>
      <w:r>
        <w:rPr>
          <w:lang w:val="el" w:eastAsia="el"/>
        </w:rPr>
        <w:t xml:space="preserve"> Η γραμματειακή υποστήριξη του Συμβουλευτικού Σώματος παρέχεται από προσωπικό της γραμματείας του Εθνικού Συντονιστή.</w:t>
      </w:r>
    </w:p>
    <w:p>
      <w:pPr>
        <w:spacing w:before="240" w:after="240"/>
        <w:rPr>
          <w:lang w:val="el" w:eastAsia="el"/>
        </w:rPr>
      </w:pPr>
      <w:r>
        <w:rPr>
          <w:lang w:val="el" w:eastAsia="el"/>
        </w:rPr>
        <w:t>ΥΠΟΠΑΡΑΓΡΑΦΟΣ ΙΓ.5.: ΣΥΣΤΑΣΗ ΘΕΣΕΩΝ</w:t>
      </w:r>
    </w:p>
    <w:p>
      <w:pPr>
        <w:pStyle w:val="MainText"/>
        <w:spacing w:before="120" w:after="0"/>
        <w:rPr>
          <w:lang w:val="el" w:eastAsia="el"/>
        </w:rPr>
      </w:pPr>
      <w:r>
        <w:rPr>
          <w:b/>
          <w:bCs/>
          <w:lang w:val="el" w:eastAsia="el"/>
        </w:rPr>
        <w:t>1.</w:t>
      </w:r>
      <w:r>
        <w:rPr>
          <w:lang w:val="el" w:eastAsia="el"/>
        </w:rPr>
        <w:t xml:space="preserve"> Για την υποστήριξη του έργου του Εθνικού Συντονιστή για την καταπολέμηση της Διαφθοράς συνιστώνται:</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α. Τέσσερις (4) θέσεις προσωπικού κατηγορίας Πανεπιστημιακής Εκπαίδευσης με τριετή τουλάχιστον προϋπηρεσία και με πολύ καλή τουλάχιστον γνώση της αγγλικής ή γαλλικής ή γερμανικής γλώσσας.</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β. Τέσσερις (4) θέσεις υπαλλήλων κατηγορίας ΔΕ με βαθμούς Β΄− ΣΤ΄, από τους οποίους τουλάχιστον δύο πρέπει να διαθέτουν ελάχιστη προϋπηρεσία τεσσάρων ετών, καλή γνώση της αγγλικής ή γαλλικής ή γερμανικής γλώσσας και γνώση χειρισμού Η/Υ.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Οι θέσεις της προηγούμενης παραγράφου καλύπτονται με απόσπαση υπαλλήλων υπηρεσιών του δημόσιου τομέα, στις οποίες συμπεριλαμβάνονται και οι Γραμματείες των Δικαστηρίων και των Εισαγγελιών. Η απόσπαση γίνεται με απόφαση του Πρωθυπουργού, κατά παρέκκλιση των κειμένων διατάξεων και χωρίς χρονικό περιορισμό. Οι θέσεις των υπαλλήλων της προηγούμενης παραγράφου μπορεί να καλύπτονται και με μετάταξη μονίμων πολιτικών υπαλλήλων του Δημοσίου, Ν.Π.Δ.Δ. ή Ο.Τ.Α., κατά παρέκκλιση των κειμένων διατάξεων, με απόφαση του Πρωθυπουργού.</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3.</w:t>
      </w:r>
      <w:r>
        <w:rPr>
          <w:lang w:val="el" w:eastAsia="el"/>
        </w:rPr>
        <w:t xml:space="preserve"> Η δαπάνη μισθοδοσίας των υπαλλήλων που αποσπώνται στον Εθνικό Συντονιστή βαρύνει την υπηρεσία στην οποία έχουν τοποθετηθεί, σε κάθε δε περίπτωση οι αποδοχές των υπαλλήλων του Εθνικού Συντονιστή δεν υπολείπονται του συνόλου των αποδοχών και των λοιπών πρόσθετων αμοιβών που τους καταβάλλονταν από την οργανική τους θέση, με τις προϋποθέσεις χορήγησής τους.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ΥΠΟΠΑΡΑΓΡΑΦΟΣ ΙΓ.6.: ΔΑΠΑΝΕΣ ΛΕΙΤΟΥΡΓΙΑΣ</w:t>
      </w:r>
    </w:p>
    <w:p>
      <w:pPr>
        <w:pStyle w:val="MainText"/>
        <w:spacing w:before="120" w:after="0"/>
        <w:rPr>
          <w:lang w:val="el" w:eastAsia="el"/>
        </w:rPr>
      </w:pPr>
      <w:r>
        <w:rPr>
          <w:b/>
          <w:bCs/>
          <w:lang w:val="el" w:eastAsia="el"/>
        </w:rPr>
        <w:t>1.</w:t>
      </w:r>
      <w:r>
        <w:rPr>
          <w:lang w:val="el" w:eastAsia="el"/>
        </w:rPr>
        <w:t xml:space="preserve"> Οι δαπάνες λειτουργίας βαρύνουν τον Κρατικό Προϋπολογισμό. Οι αναγκαίες πιστώσεις εγγράφονται κάθε έτος σε ειδικό φορέα του προϋπολογισμού του Υπουργείου Οικονομικών. Κύριος Διατάκτης των πιστώσεων ορίζεται ο Εθνικός Συντονιστής κατά της Διαφθοράς, ο οποίος αναλαμβάνει με αποφάσεις του τις σχετικές υποχρεώσεις.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Με απόφαση του Εθνικού Συντονιστή εγκρίνεται η μετακίνηση οποιουδήποτε μέλους της Συντονιστικής Επιτροπής για εκτέλεση υπηρεσίας στο εσωτερικό ή το εξωτερικό, σύμφωνα με τις διατάξεις του Ν. 2685/1999.</w:t>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ο Οργανισμός Απασχόλησης Εργατικού Δυναμικού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w:t>
      </w:r>
    </w:p>
    <w:p>
      <w:pPr>
        <w:spacing w:before="240" w:after="240"/>
        <w:rPr>
          <w:lang w:val="el" w:eastAsia="el"/>
        </w:rPr>
      </w:pPr>
      <w:r>
        <w:rPr>
          <w:lang w:val="el" w:eastAsia="el"/>
        </w:rPr>
        <w:t>Με κοινή απόφαση των υπουργών Οικονομικών, Εσωτερικών, Διοικητικής Μεταρρύθμισης και ηλεκτρονικής Διακυβέρνησης, Ανάπτυξης, Ανταγωνιστικότητας, Υποδομών, Μεταφορών και Δικτύων, Εργασίας, Κοινωνικής Ασφάλισης και Πρόνοιας καθορίζονται ιδίως τα παρακάτω:</w:t>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δικαιούχοι φορείς,</w:t>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p>
    <w:p>
      <w:pPr>
        <w:spacing w:before="240" w:after="240"/>
        <w:rPr>
          <w:lang w:val="el" w:eastAsia="el"/>
        </w:rPr>
      </w:pPr>
      <w:r>
        <w:rPr>
          <w:lang w:val="el" w:eastAsia="el"/>
        </w:rPr>
        <w:t>ίν) το οικογενειακό εισόδημα,</w:t>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του προσωπικού των υποδειχθέντων ωφελουμένων από τον ΟΑΕΔ, σύμφωνα με τον οριστικό πίνακα κατάταξης,</w:t>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w:t>
      </w:r>
    </w:p>
    <w:p>
      <w:pPr>
        <w:spacing w:before="240" w:after="240"/>
        <w:rPr>
          <w:lang w:val="el" w:eastAsia="el"/>
        </w:rPr>
      </w:pPr>
      <w:r>
        <w:rPr>
          <w:lang w:val="el" w:eastAsia="el"/>
        </w:rPr>
        <w:t>« Το προσωπικό που προσλαμβάνεται σε Δήμους Περιφέρειες ή άλλες δημόσιες υπηρεσίες σε εκτέλεση Προγράμματος Κοινωφελούς Χαρακτήρα που καταρτίζεται από τον ΟΑΕΔ».</w:t>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δικαιούχου φορέα.</w:t>
      </w:r>
    </w:p>
    <w:p>
      <w:pPr>
        <w:pStyle w:val="MainText"/>
        <w:spacing w:before="120" w:after="0"/>
        <w:rPr>
          <w:lang w:val="el" w:eastAsia="el"/>
        </w:rPr>
      </w:pPr>
      <w:r>
        <w:rPr>
          <w:b/>
          <w:bCs/>
          <w:lang w:val="el" w:eastAsia="el"/>
        </w:rPr>
        <w:t>4.</w:t>
      </w:r>
      <w:r>
        <w:rPr>
          <w:lang w:val="el" w:eastAsia="el"/>
        </w:rPr>
        <w:t xml:space="preserve"> Οι ωφελούμενοι απολύονται αυτοδικαίως με τη λήξη του προγράμματος, χωρίς καμία αποζημίωση και χωρίς να απαιτείται η έκδοση διαπιστωτικής πράξης.</w:t>
      </w:r>
    </w:p>
    <w:p>
      <w:pPr>
        <w:pStyle w:val="MainText"/>
        <w:spacing w:before="120" w:after="0"/>
        <w:rPr>
          <w:lang w:val="el" w:eastAsia="el"/>
        </w:rPr>
      </w:pPr>
      <w:r>
        <w:rPr>
          <w:b/>
          <w:bCs/>
          <w:lang w:val="el" w:eastAsia="el"/>
        </w:rPr>
        <w:t>5.</w:t>
      </w:r>
      <w:r>
        <w:rPr>
          <w:lang w:val="el" w:eastAsia="el"/>
        </w:rPr>
        <w:t xml:space="preserve"> Οι καθαρές αμοιβές ορίζονται κατά παρέκκλιση της ισχύουσας νομοθεσίας, σε 19,6 ευρώ ημερησίως και όχι μεγαλύτερες από 490,00 ευρώ μηνιαίως για ωφελούμενους ηλικίας 25 ετών και άνω και σε 17,1 ευρώ ημερησίως και όχι πάνω από 427,00 ευρώ μηνιαίως για ωφελούμενους ηλικίας κάτω των 25 ετών. Εκτός από τα πα</w:t>
      </w:r>
      <w:r>
        <w:rPr>
          <w:lang w:val="el" w:eastAsia="el"/>
        </w:rPr>
        <w:softHyphen/>
        <w:t>ραπάνω καταβαλλόμενα ποσά, οι δικαιούχοι φορείς δεν υποχρεούνται να καταβάλλουν οποιαδήποτε άλλη παροχή ή ενίσχυση στους ωφελούμενους.</w:t>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 -ΕΤΑΜ - ΕΤΕΑ.</w:t>
      </w:r>
    </w:p>
    <w:p>
      <w:pPr>
        <w:pStyle w:val="MainText"/>
        <w:spacing w:before="120" w:after="0"/>
        <w:rPr>
          <w:lang w:val="el" w:eastAsia="el"/>
        </w:rPr>
      </w:pPr>
      <w:r>
        <w:rPr>
          <w:b/>
          <w:bCs/>
          <w:lang w:val="el" w:eastAsia="el"/>
        </w:rPr>
        <w:t>7.</w:t>
      </w:r>
      <w:r>
        <w:rPr>
          <w:lang w:val="el" w:eastAsia="el"/>
        </w:rPr>
        <w:t xml:space="preserve"> Για την εφαρμογή και εκτέλεση των προγραμμάτων της περίπτωσης 1 της υποπαραγράφου αυτής οι δικαιούχοι φορείς υποχρεούνται να διασφαλίζουν την υγιεινή και ασφάλεια, στον τόπο παροχής εργασίας, των ωφελουμένων.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w:t>
      </w:r>
    </w:p>
    <w:p>
      <w:pPr>
        <w:spacing w:before="240" w:after="240"/>
        <w:rPr>
          <w:lang w:val="el" w:eastAsia="el"/>
        </w:rPr>
      </w:pPr>
      <w:r>
        <w:rPr>
          <w:lang w:val="el" w:eastAsia="el"/>
        </w:rPr>
        <w:t>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προϋποθέσεις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4" w:history="1">
        <w:r>
          <w:rPr>
            <w:rStyle w:val="Hyperlink"/>
            <w:color w:val="0000EE"/>
            <w:u w:color="0000EE"/>
            <w:lang w:val="el" w:eastAsia="el"/>
          </w:rPr>
          <w:t>Τροποποίηση 4174/2013, Άρθρο 74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8" w:history="1">
        <w:r>
          <w:rPr>
            <w:rStyle w:val="Hyperlink"/>
            <w:color w:val="0000EE"/>
            <w:u w:color="0000EE"/>
            <w:lang w:val="el" w:eastAsia="el"/>
          </w:rPr>
          <w:t>Αφαίρεση 4172/2013, Άρθρο 88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73" w:history="1">
        <w:r>
          <w:rPr>
            <w:rStyle w:val="Hyperlink"/>
            <w:color w:val="0000EE"/>
            <w:u w:color="0000EE"/>
            <w:lang w:val="el" w:eastAsia="el"/>
          </w:rPr>
          <w:t>Τροποποίηση 4170/2013, Άρθρο 73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8" w:history="1">
        <w:r>
          <w:rPr>
            <w:rStyle w:val="Hyperlink"/>
            <w:color w:val="0000EE"/>
            <w:u w:color="0000EE"/>
            <w:lang w:val="el" w:eastAsia="el"/>
          </w:rPr>
          <w:t>Τροποποίηση 4223/2013, Άρθρο 38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8" w:history="1">
        <w:r>
          <w:rPr>
            <w:rStyle w:val="Hyperlink"/>
            <w:color w:val="0000EE"/>
            <w:u w:color="0000EE"/>
            <w:lang w:val="el" w:eastAsia="el"/>
          </w:rPr>
          <w:t>Αφαίρεση 4223/2013, Άρθρο 38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8" w:history="1">
        <w:r>
          <w:rPr>
            <w:rStyle w:val="Hyperlink"/>
            <w:color w:val="0000EE"/>
            <w:u w:color="0000EE"/>
            <w:lang w:val="el" w:eastAsia="el"/>
          </w:rPr>
          <w:t>Τροποποίηση 4223/2013, Άρθρο 38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8" w:history="1">
        <w:r>
          <w:rPr>
            <w:rStyle w:val="Hyperlink"/>
            <w:color w:val="0000EE"/>
            <w:u w:color="0000EE"/>
            <w:lang w:val="el" w:eastAsia="el"/>
          </w:rPr>
          <w:t>Προσθήκη 4223/2013, Άρθρο 38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73" w:history="1">
        <w:r>
          <w:rPr>
            <w:rStyle w:val="Hyperlink"/>
            <w:color w:val="0000EE"/>
            <w:u w:color="0000EE"/>
            <w:lang w:val="el" w:eastAsia="el"/>
          </w:rPr>
          <w:t>Τροποποίηση 4170/2013, Άρθρο 73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8" w:history="1">
        <w:r>
          <w:rPr>
            <w:rStyle w:val="Hyperlink"/>
            <w:color w:val="0000EE"/>
            <w:u w:color="0000EE"/>
            <w:lang w:val="el" w:eastAsia="el"/>
          </w:rPr>
          <w:t>Τροποποίηση 4223/2013, Άρθρο 38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8" w:history="1">
        <w:r>
          <w:rPr>
            <w:rStyle w:val="Hyperlink"/>
            <w:color w:val="0000EE"/>
            <w:u w:color="0000EE"/>
            <w:lang w:val="el" w:eastAsia="el"/>
          </w:rPr>
          <w:t>Τροποποίηση 4223/2013, Άρθρο 38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8" w:history="1">
        <w:r>
          <w:rPr>
            <w:rStyle w:val="Hyperlink"/>
            <w:color w:val="0000EE"/>
            <w:u w:color="0000EE"/>
            <w:lang w:val="el" w:eastAsia="el"/>
          </w:rPr>
          <w:t>Αφαίρεση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8" w:history="1">
        <w:r>
          <w:rPr>
            <w:rStyle w:val="Hyperlink"/>
            <w:color w:val="0000EE"/>
            <w:u w:color="0000EE"/>
            <w:lang w:val="el" w:eastAsia="el"/>
          </w:rPr>
          <w:t>Τροποποίηση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8" w:history="1">
        <w:r>
          <w:rPr>
            <w:rStyle w:val="Hyperlink"/>
            <w:color w:val="0000EE"/>
            <w:u w:color="0000EE"/>
            <w:lang w:val="el" w:eastAsia="el"/>
          </w:rPr>
          <w:t>Αφαίρεση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8" w:history="1">
        <w:r>
          <w:rPr>
            <w:rStyle w:val="Hyperlink"/>
            <w:color w:val="0000EE"/>
            <w:u w:color="0000EE"/>
            <w:lang w:val="el" w:eastAsia="el"/>
          </w:rPr>
          <w:t>Αφαίρεση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8" w:history="1">
        <w:r>
          <w:rPr>
            <w:rStyle w:val="Hyperlink"/>
            <w:color w:val="0000EE"/>
            <w:u w:color="0000EE"/>
            <w:lang w:val="el" w:eastAsia="el"/>
          </w:rPr>
          <w:t>Τροποποίηση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3" w:history="1">
        <w:r>
          <w:rPr>
            <w:rStyle w:val="Hyperlink"/>
            <w:color w:val="0000EE"/>
            <w:u w:color="0000EE"/>
            <w:lang w:val="el" w:eastAsia="el"/>
          </w:rPr>
          <w:t>Προσθήκη 4170/2013, Άρθρο 73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0" w:history="1">
        <w:r>
          <w:rPr>
            <w:rStyle w:val="Hyperlink"/>
            <w:color w:val="0000EE"/>
            <w:u w:color="0000EE"/>
            <w:lang w:val="el" w:eastAsia="el"/>
          </w:rPr>
          <w:t>Τροποποίηση 4203/2013, Άρθρο 20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0" w:history="1">
        <w:r>
          <w:rPr>
            <w:rStyle w:val="Hyperlink"/>
            <w:color w:val="0000EE"/>
            <w:u w:color="0000EE"/>
            <w:lang w:val="el" w:eastAsia="el"/>
          </w:rPr>
          <w:t>Τροποποίηση 4203/2013, Άρθρο 20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0" w:history="1">
        <w:r>
          <w:rPr>
            <w:rStyle w:val="Hyperlink"/>
            <w:color w:val="0000EE"/>
            <w:u w:color="0000EE"/>
            <w:lang w:val="el" w:eastAsia="el"/>
          </w:rPr>
          <w:t>Τροποποίηση 4203/2013,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0" w:history="1">
        <w:r>
          <w:rPr>
            <w:rStyle w:val="Hyperlink"/>
            <w:color w:val="0000EE"/>
            <w:u w:color="0000EE"/>
            <w:lang w:val="el" w:eastAsia="el"/>
          </w:rPr>
          <w:t>Τροποποίηση 4203/2013, Άρθρο 20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0" w:history="1">
        <w:r>
          <w:rPr>
            <w:rStyle w:val="Hyperlink"/>
            <w:color w:val="0000EE"/>
            <w:u w:color="0000EE"/>
            <w:lang w:val="el" w:eastAsia="el"/>
          </w:rPr>
          <w:t>Τροποποίηση 4203/2013,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0" w:history="1">
        <w:r>
          <w:rPr>
            <w:rStyle w:val="Hyperlink"/>
            <w:color w:val="0000EE"/>
            <w:u w:color="0000EE"/>
            <w:lang w:val="el" w:eastAsia="el"/>
          </w:rPr>
          <w:t>Τροποποίηση 4203/2013, Άρθρο 20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8" w:history="1">
        <w:r>
          <w:rPr>
            <w:rStyle w:val="Hyperlink"/>
            <w:color w:val="0000EE"/>
            <w:u w:color="0000EE"/>
            <w:lang w:val="el" w:eastAsia="el"/>
          </w:rPr>
          <w:t>Προσθήκη 4203/2013, Άρθρο 28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4180/2013, Άρθρο 17</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9" w:history="1">
        <w:r>
          <w:rPr>
            <w:rStyle w:val="Hyperlink"/>
            <w:color w:val="0000EE"/>
            <w:u w:color="0000EE"/>
            <w:lang w:val="el" w:eastAsia="el"/>
          </w:rPr>
          <w:t>Τροποποίηση 4208/2013, Άρθρο 19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10"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9" Type="http://schemas.openxmlformats.org/officeDocument/2006/relationships/hyperlink" Target="http://data.aade.gr/eli/pri/law/2013/07/12/4170"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3/11/01/4203" TargetMode="External" /><Relationship Id="rId21" Type="http://schemas.openxmlformats.org/officeDocument/2006/relationships/hyperlink" Target="http://data.aade.gr/eli/pri/law/2013/11/01/4203" TargetMode="External" /><Relationship Id="rId22" Type="http://schemas.openxmlformats.org/officeDocument/2006/relationships/hyperlink" Target="http://data.aade.gr/eli/pri/law/2013/11/01/4203" TargetMode="External" /><Relationship Id="rId23" Type="http://schemas.openxmlformats.org/officeDocument/2006/relationships/hyperlink" Target="http://data.aade.gr/eli/pri/law/2013/11/01/4203" TargetMode="External" /><Relationship Id="rId24" Type="http://schemas.openxmlformats.org/officeDocument/2006/relationships/hyperlink" Target="http://data.aade.gr/eli/pri/law/2013/11/01/4203" TargetMode="External" /><Relationship Id="rId25" Type="http://schemas.openxmlformats.org/officeDocument/2006/relationships/hyperlink" Target="http://data.aade.gr/eli/pri/law/2013/11/01/4203" TargetMode="External" /><Relationship Id="rId26" Type="http://schemas.openxmlformats.org/officeDocument/2006/relationships/hyperlink" Target="http://data.aade.gr/eli/pri/law/2013/11/01/4203" TargetMode="External" /><Relationship Id="rId27" Type="http://schemas.openxmlformats.org/officeDocument/2006/relationships/hyperlink" Target="http://data.aade.gr/eli/pri/law/2013/11/18/4208" TargetMode="External" /><Relationship Id="rId28" Type="http://schemas.openxmlformats.org/officeDocument/2006/relationships/hyperlink" Target="http://data.aade.gr/eli/pri/law/2013/07/12/4170" TargetMode="External" /><Relationship Id="rId3" Type="http://schemas.openxmlformats.org/officeDocument/2006/relationships/hyperlink" Target="http://data.aade.gr/eli/pri/law/2013/07/23/4172" TargetMode="External" /><Relationship Id="rId4" Type="http://schemas.openxmlformats.org/officeDocument/2006/relationships/hyperlink" Target="http://data.aade.gr/eli/pri/law/2013/07/12/4170" TargetMode="External" /><Relationship Id="rId5"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9" Type="http://schemas.openxmlformats.org/officeDocument/2006/relationships/hyperlink" Target="http://data.aade.gr/eli/pri/law/2013/07/12/41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