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α) η διαμόρφωση Εθνικής Στρατηγικής: αα) για την καταπολέμηση της διαφθοράς σε όλα τα επίπεδα του δημόσιου τομέα (πολιτικό, κυβερνητικό, δικαστικό, διοικητικό) και ββ) για την καταπολέμηση της απάτης κατά των οικονομικών συμφερόντων του Ελληνικού Δημοσίου και της Ευρωπαϊκής Ένωσης (στο εξής: «απάτης»), β) η παρακολούθηση και η αξιολόγηση της εφαρμογής της στρατηγικής αυτής καιγ) ο συντονισμός όλων των φορέων που εμπλέκονται στην εφαρμογή της ανωτέρω εθνικής στρατηγικής.Ο Εθνικός Συντονιστής υποστηρίζεται στο έργο του από: α) τη Συντονιστική Επιτροπή για την Καταπολέμηση της Διαφθοράς και της Απάτης και β) το Συμβουλευτικό Σώμα.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 .Ο Εθνικός Συντονιστής απολαμβάνει ανεξαρτησίας στην άσκηση των καθηκόντων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Υπουργείου.Η κατάσταση του Εθνικού Συντονιστή εξομοιώνεται για κάθε δημοσιονομική συνέπεια με αυτή του Γενικού Γραμματέα Υπουργείου.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και της απάτης. Στην κατάρτιση του ως άνω σχεδίου, ιδιαίτερη μέριμνα λαμβάνεται στον τομέα της πρόληψης του φαινομένου της διαφθοράς και της απάτης.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και της απάτης.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Προς το σκοπό αυτόν αναλαμβάνει τις αναγκαίες πρωτοβουλίες και ενέργειες για τη διασφάλιση της συνεκτικότητας και της αποτελεσματικότητας της εθνικής στρατηγικής, εξαιρουμένου του συντονισμού των ελεγκτικών σωμάτων, και ορίζεται ως η αρμόδια αρχή για το συντονισμό της καταπολέμησης της απάτης, (AFCOS) σύμφωνα με το άρθρο 325 της Συνθήκης για τη λειτουργία της Ευρωπαϊκής Ένωσης και κατά την έννοια της παραγράφου 4 του άρθρου 3 του Κανονισμού (EE, ΕΥΡΑΤΟΜ) αριθμ. 883/2013 του Ευρωπαϊκού Κοινοβουλίου και του Συμβουλίου της 11ης Σεπτεμβρίου 2013.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Συνεργάζεται καθ΄ οιονδήποτε τρόπο με διεθνείς οργανισμούς και όργανα ή/και υπηρεσίες της Ευρωπαϊκής Ένωσης ή άλλων κρατών για την εκπόνηση, ανάληψη, χρήση, υλοποίηση προγραμμάτων-στρατηγικών σχεδίων για την καταπολέμηση της διαφθοράς και της απάτης.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Συνάπτει συμβάσεις, συμφωνίες συνεισφοράς ή μνημόνια συνεργασίας με διεθνείς οργανισμούς και όργανα ή/και υπηρεσίες της Ευρωπαϊκής Ένωσης ή άλλων κρατών, με σκοπό την παροχή ή λήψη τεχνικής βοήθειας στο πεδίο της καταπολέμησης της διαφθοράς και της απάτης.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και απάτης, την πρόληψη και την καταστολή της διαφθοράς και της απάτης,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της απάτης και συντονίζει τη δράση τους σε σχετικά θέματα.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και τους εμπλεκόμενους φορείς στατιστικά στοιχεία, καθώς και άλλα στοιχεία και πληροφορίες σχετικά με υποθέσεις διαφθοράς και απάτης και να απευθύνει προς αυτές, τις αναγκαίες για το συντονισμό του έργου τους, συστάσεις.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απάτης και να λαμβάνει αντίγραφα βουλευμάτων, δικαστικών αποφάσεων και άλλων πράξεων των δικαστικών και εισαγγελικών αρχών.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τις δικαστικές και εισαγγελικές αρχές όλων των βαθμών και ανταλλάσσει απόψεις σχετικά με θέματα της αρμοδιότητάς του.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και της απάτης, για το κοινωνικό σύνολο.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w:t>
      </w:r>
      <w:r>
        <w:rPr>
          <w:lang w:val="en" w:eastAsia="en"/>
        </w:rPr>
        <w:tab/>
      </w:r>
      <w:r>
        <w:rPr>
          <w:lang w:val="el" w:eastAsia="el"/>
        </w:rPr>
        <w:t>Εκδίδει γενικές οδηγίες για την ορθή εφαρμογή από τους συντονιζομένους φορείς της εθνικής στρατηγικής κατά της διαφθοράς και της απάτης, καθώς και της σχετικής νομοθεσίας.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η)</w:t>
      </w:r>
      <w:r>
        <w:rPr>
          <w:lang w:val="en" w:eastAsia="en"/>
        </w:rPr>
        <w:tab/>
      </w:r>
      <w:r>
        <w:rPr>
          <w:lang w:val="el" w:eastAsia="el"/>
        </w:rPr>
        <w:t>Μπορεί να αίρει συγκρούσεις και να επιλύει ζητήματα επικαλύψεων αρμοδιοτήτων μεταξύ υπηρεσιών ή φορέων που εμπλέκονται στην εφαρμογή της εθνικής στρατηγικής.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θ)</w:t>
      </w:r>
      <w:r>
        <w:rPr>
          <w:lang w:val="en" w:eastAsia="en"/>
        </w:rPr>
        <w:tab/>
      </w:r>
      <w:r>
        <w:rPr>
          <w:lang w:val="el" w:eastAsia="el"/>
        </w:rPr>
        <w:t>Εξασφαλίζει με την έκδοση γενικών οδηγιών, συστάσεων και την παρέμβασή του, όπου απαιτείται, την ανταλλαγή πληροφοριών μεταξύ των υπηρεσιών και των φορέων κατά της διαφθοράς και της απάτης και εν γένει τη διαλειτουργικότητά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ι)</w:t>
      </w:r>
      <w:r>
        <w:rPr>
          <w:lang w:val="en" w:eastAsia="en"/>
        </w:rPr>
        <w:tab/>
      </w:r>
      <w:r>
        <w:rPr>
          <w:lang w:val="el" w:eastAsia="el"/>
        </w:rPr>
        <w:t>Μπορεί να συγκροτεί ομάδες εργασίας από λειτουργούς και προσωπικό των συντονιζομένων υπηρεσιών ή φορέων για τη μελέτη σχετικών με τις αρμοδιότητές του θεμάτων, τα μέλη των οποίων δεν λαμβάνουν αποζημίωση.</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κ)</w:t>
      </w:r>
      <w:r>
        <w:rPr>
          <w:lang w:val="en" w:eastAsia="en"/>
        </w:rPr>
        <w:tab/>
      </w:r>
      <w:r>
        <w:rPr>
          <w:lang w:val="el" w:eastAsia="el"/>
        </w:rPr>
        <w:t>Μπορεί κατά τη διαδικασία της αξιολόγησης της εφαρμογής της εθνικής στρατηγικής να ορίζει με απόφασή του, ως εμπειρογνώμονες για την υποβοήθηση του έργου του, εν ενεργεία ή συνταξιούχους λειτουργούς ή υπαλλήλους φορέων του στενού ή του ευρύτερου δημοσίου τομέα. Τα εν λόγω πρόσωπα δεν λαμβάνουν αποζημίωση για τις υπηρεσίες που παρέχουν.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3. Η εθνική στρατηγική πρόληψης και καταπολέμησης της διαφθοράς και της απάτης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στο τέλος του πρώτου εξαμήνου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ΙΓ.3.: ΣΥΝΤΟΝΙΣΤΙΚΗ ΕΠΙΤΡΟΠΗ ΓΙΑ ΤΗΝ ΚΑΤΑΠΟΛΕΜΗΣΗ ΤΗΣ ΔΙΑΦΘΟΡΑΣ ΚΑΙ ΤΗΣ ΑΠΑΤΗΣ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Τον Εθνικό Συντονιστή</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Τον Γενικό Γραμματέα Δημοσιονομικής Πολιτικής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Τον Γενικό Γραμματέα Δημοσίων Εσόδων</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Toν Γενικό Γραμματέα του Υπουργείου Ανάπτυξης και Ανταγωνιστικότητας και Υποδομών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Τον Γενικό Γραμματέα Διαθρωτικών Ταμείων και ΕΣΠΑ.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lang w:val="el" w:eastAsia="el"/>
        </w:rPr>
        <w:t xml:space="preserve"> Τον Γενικό Γραμματέα του Υπουργείου Αγροτικής Ανάπτυξης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9.</w:t>
      </w:r>
      <w:r>
        <w:rPr>
          <w:lang w:val="el" w:eastAsia="el"/>
        </w:rPr>
        <w:t xml:space="preserve"> Ένα μέλος της Επιτροπής του άρθρου 225 του ν. 4281/2014 (Α΄ 160) αποκλειστικής απασχόλησης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10.</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11.</w:t>
      </w:r>
      <w:r>
        <w:rPr>
          <w:lang w:val="el" w:eastAsia="el"/>
        </w:rPr>
        <w:t xml:space="preserve"> Τον Συνήγορο του Πολίτη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12.</w:t>
      </w:r>
      <w:r>
        <w:rPr>
          <w:lang w:val="el" w:eastAsia="el"/>
        </w:rPr>
        <w:t xml:space="preserve"> Τον Γενικό Επιθεωρητή Δημόσιας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lang w:val="el" w:eastAsia="el"/>
        </w:rPr>
        <w:t xml:space="preserve"> Τον Εισαγγελέα Οικονομικού Εγκλήματος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14.</w:t>
      </w:r>
      <w:r>
        <w:rPr>
          <w:lang w:val="el" w:eastAsia="el"/>
        </w:rPr>
        <w:t xml:space="preserve"> Τον Εισαγγελέα Εγκλημάτων Διαφθοράς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15.</w:t>
      </w:r>
      <w:r>
        <w:rPr>
          <w:lang w:val="el" w:eastAsia="el"/>
        </w:rPr>
        <w:t xml:space="preserve"> Τον Ειδικό Γραμματέα του ΣΔΟΕ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Τον Διευθυντή της Οικονομικής Αστυνομίας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17.</w:t>
      </w:r>
      <w:r>
        <w:rPr>
          <w:lang w:val="el" w:eastAsia="el"/>
        </w:rPr>
        <w:t xml:space="preserve"> Τον Διευθυντή Εσωτερικών Υποθέσεων της Ελληνικής Αστυνομίας Της Συντονιστικής Επιτροπής προεδρεύει ο Εθνικός Συντονιστής.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ή της απάτης,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η εμπειρογνώμονες προκειμένου να συμμετάσχουν στις συζητήσεις ορισμένων θεμάτων και να διατυπώσουν τη γνώμη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με τη συμμετοχή όλων ή ορισμένων μόνο μελών σύμφωνα με την παράγραφο 5,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 Ο Εθνικός Συντονιστής μπορεί να συγκαλεί σύσκεψη των στελεχών που αναφέρονται στην παράγραφο 2 για την επεξεργασία θεμάτων που ορίζονται από τον ίδιο.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Εθνικός Συντονιστής μπορεί οποτεδήποτε να συγκαλέσει την Επιτροπή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της απάτης και το συντονισμό των εμπλεκόμενων Υπηρεσιών και Φορέων.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 και της απάτης. β) 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υπερβαίνει τα εννέα (9) Μέλη του Συμβουλευτικού Σώματος ορίζονται πρόσωπα με ειδικές γνώσεις και εμπειρία στην καταπολέμηση της διαφθοράς και της απάτης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 ή της απάτης.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ΔΙΑΡΘΡΩΣΗ ΤΗΣ ΥΠΗΡΕΣΙΑΣ ΤΟΥ ΕΘΝΙΚΟΥ ΣΥΝΤΟΝΙΣΤΗ ΚΑΙ ΣΥΣΤΑΣΗ ΘΕΣΕΩΝ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Συνίσταται Διεύθυνση Υποστήριξης Εθνικού Συντονιστή, καθώς και αυτοτελές Τμήμα Νομικής Υποστήριξης και Παρακολούθησης Νομοθετικού Έργου το οποίο υπάγεται απευθείας στον Εθνικό Συντονιστή.Η Διεύθυνση Υποστήριξης του Εθνικού Συντονιστή διαρθρώνεται στα ακόλουθα τμήματα:α) Τμήμα Διοικητικό, Οικονομικό, Δημοσίων Σχέσεων και Επικοινωνίας.β) Τμήμα Συντονισμού για την Καταπολέμηση της Διαφθοράς.γ) Τμήμα Συντονισμού για την Καταπολέμηση της Απάτης.Η οργάνωση και η λειτουργία της Διεύθυνσης, οι αρμοδιότητες των Τμημάτων, καθώς και κάθε άλλη αναγκαία λεπτομέρεια ρυθμίζονται στον Οργανισμό Λειτουργίας της Υπηρεσίας του Εθνικού Συντονιστή, ο οποίος εκδίδεται με απόφαση του Πρωθυπουργού κατόπιν εισήγησης του Εθνικού Συντονιστή.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Για την υποστήριξη του έργου του Εθνικού Συντονιστή συνιστώνται:</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α. Έντεκα (11) θέσεις Ειδικών Συντονιστών. Οι θέσεις αυτές καλύπτονται από υπαλλήλους κατηγορίας Πανεπιστημιακής Εκπαίδευσης, κατά προτίμηση κατόχους μεταπτυχιακού ή/και διδακτορικού τίτλου Ελληνικού ΑΕΙ ή αναγνωρισμένου της αλλοδαπής, οι οποίοι έχουν τριετή τουλάχιστον προϋπηρεσία και άριστη γνώση της αγγλικής ή γαλλικής ή γερμανικής γλώσσας. Οι ήδη υπηρετούντες υπάλληλοι στον Εθνικό Συντονιστή κατηγορίας ΠΕ, οι οποίοι πληρούν τις προϋποθέσεις του προηγουμένου εδαφίου, κατατάσσονται σε θέση Ειδικού Συντονιστή. Οι Ειδικοί Συντονιστές εκτός των άλλων καθηκόντων τους εισηγούνται στη Συντονιστική Επιτροπή, στο Συμβουλευτικό Σώμα, στις συσκέψεις στελεχών του γ΄ εδαφίου της παραγράφου 4 της υποπαραγράφου ΙΓ.3, καθώς και στον Εθνικό Συντονιστή επί θεμάτων τα οποία ειδικώς ορίζονται από τον Εθνικό Συντονιστή.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β. Δύο (2) θέσεις Πληροφορικής. Οι θέσεις αυτές καλύπτονται από υπαλλήλους κατηγορίας Πανεπιστημιακής ή Τεχνολογικής ή Δευτεροβάθμιας Εκπαίδευσης, οι οποίοι έχουν τριετή τουλάχιστον προϋπηρεσία στον τομέα της πληροφορικής και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 Πέντε (5) θέσεις υπαλλήλων κατηγορίας ΔΕ από τους οποίους τουλάχιστον τρεις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Οι θέσεις της προηγούμενης παραγράφου καλύπτονται με απόσπαση μονίμων ή με σχέση εργασίας ιδιωτικού δικαίου αορίστου χρόνου υπαλλήλων φορέων Δημοσίου, Ν.Π.Δ.Δ., Ο.Τ.Α. Α΄ και Β΄ βαθμού, Ανεξαρτήτων Διοικητικών Αρχών και των Γραμματειών των Εισαγγελιών και Δικαστηρίων. Η απόσπαση διενεργείται με απόφαση του Πρωθυπουργού, κατά παρέκκλιση των κειμένων διατάξεων και χωρίς χρονικό περιορισμό. Οι θέσεις της προηγούμενης παραγράφου μπορεί να καλύπτονται και με μετάταξη μονίμων ή με σχέση εργασίας ιδιωτικού δικαίου αορίστου χρόνου υπαλλήλων του Δημοσίου, Ν.Π.Δ.Δ., Ο.Τ.Α. Α΄ και Β΄ βαθμού, Ανεξαρτήτων Διοικητικών Αρχών και των Γραμματειών των Εισαγγελιών και Δικαστηρίων, κατά παρέκκλιση των κειμένων διατάξεων, με απόφαση του Πρωθυπουργού, με την οποία καταργείται ταυτόχρονα και η αντίστοιχη θέση από το φορέα προέλευσης.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Κατά την πρώτη εφαρμογή του νόμου, ο Εθνικός Συντονιστής τοποθετεί Προϊστάμενο της Διεύθυνσης και προϊσταμένους των τμημάτων και του αυτοτελούς τμήματος από τους υπαλλήλους που κατέχουν θέση Ειδικού Συντονιστή με απόφασή του, κατά παρέκκλιση των κειμένων διατάξεων. Ο τρόπος επιλογής προϊσταμένου διεύθυνσης και των προϊσταμένων τμημάτων και του αυτοτελούς τμήματος προβλέπεται στον ως άνω αναφερόμενο Οργανισμό Λειτουργίας της Υπηρεσίας του Εθνικού Συντονιστή. Ειδικότερα, στο αυτοτελές τμήμα νομικής υποστήριξης προβλέπεται μία θέση προϊσταμένου και τρεις (3) θέσεις προσωπικού, σύμφωνα με τα προβλεπόμενα στον ως άνω αναφερόμενο Οργανισμό Λειτουργίας της Υπηρεσίας του Εθνικού Συντονιστή.</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Η δαπάνη μισθοδοσίας των υπαλλήλων που αποσπώνται στον Εθνικό Συντονιστή, καθώς και κάθε άλλη μισθολογική διαφορά που προκύπτει από πρόσθετες αποδοχές, επιδόματα και τυχόν λοιπές απολαβές που τους καταβάλλονται με βάση την οργανική τους θέση, βαρύνει την υπηρεσία προέλευσης.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τους.6. Με απόφαση του Πρωθυπουργού καθορίζεται η έδρα της υπηρεσίας του Εθνικού Συντονιστή για την Καταπολέμηση της Διαφθοράς εντός του Νομού Αττικής.7. Με κοινή υπουργική απόφαση του Πρωθυπουργού και του Υπουργού Οικονομικών μπορεί να καθορίζεται αποζημίωση των Ειδικών Συντονιστών εισηγητών σύμφωνα με τις προϋποθέσεις του άρθρου 21 παρ. 3 του ν. 4024/2011.</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ΥΠΟΠΑΡΑΓΡΑΦΟΣ ΙΓ.6.: ΔΑΠΑΝΕΣ ΛΕΙΤΟΥΡΓΙΑΣ</w:t>
      </w:r>
    </w:p>
    <w:p>
      <w:pPr>
        <w:spacing w:before="240" w:after="240"/>
        <w:rPr>
          <w:lang w:val="el" w:eastAsia="el"/>
        </w:rPr>
      </w:pPr>
      <w:r>
        <w:rPr>
          <w:lang w:val="el" w:eastAsia="el"/>
        </w:rPr>
        <w:t>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 2. Ο Εθνικός Συντονιστής υποστηρίζεται για θέματα προμηθειών αγαθών και υπηρεσιών από το Υπουργείο Οικονομικών.</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7" w:history="1">
        <w:r>
          <w:rPr>
            <w:rStyle w:val="Hyperlink"/>
            <w:color w:val="0000EE"/>
            <w:u w:color="0000EE"/>
            <w:lang w:val="el" w:eastAsia="el"/>
          </w:rPr>
          <w:t>Τροποποίηση 4316/2014, Άρθρο 107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Τροποποίηση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Αφαίρεση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Τροποποίηση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8" w:history="1">
        <w:r>
          <w:rPr>
            <w:rStyle w:val="Hyperlink"/>
            <w:color w:val="0000EE"/>
            <w:u w:color="0000EE"/>
            <w:lang w:val="el" w:eastAsia="el"/>
          </w:rPr>
          <w:t>Προσθήκη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Αφαίρεση 4254/2014, Άρθρο 1</w:t>
        </w:r>
      </w:hyperlink>
      <w:r>
        <w:rPr>
          <w:lang w:val="el" w:eastAsia="el"/>
        </w:rPr>
        <w:t xml:space="preserve">; </w:t>
      </w:r>
      <w:hyperlink r:id="rId12" w:anchor="art_73" w:history="1">
        <w:r>
          <w:rPr>
            <w:rStyle w:val="Hyperlink"/>
            <w:color w:val="0000EE"/>
            <w:u w:color="0000EE"/>
            <w:lang w:val="el" w:eastAsia="el"/>
          </w:rPr>
          <w:t>Τροποποίηση 4170/2013, Άρθρο 73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Αφαίρεση 4254/2014, Άρθρο 1</w:t>
        </w:r>
      </w:hyperlink>
      <w:r>
        <w:rPr>
          <w:lang w:val="el" w:eastAsia="el"/>
        </w:rPr>
        <w:t xml:space="preserve">; </w:t>
      </w:r>
      <w:hyperlink r:id="rId14"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Αφαίρεση 4254/2014, Άρθρο 1</w:t>
        </w:r>
      </w:hyperlink>
      <w:r>
        <w:rPr>
          <w:lang w:val="el" w:eastAsia="el"/>
        </w:rPr>
        <w:t xml:space="preserve">; </w:t>
      </w:r>
      <w:hyperlink r:id="rId16"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Αφαίρεση 4254/2014, Άρθρο 1</w:t>
        </w:r>
      </w:hyperlink>
      <w:r>
        <w:rPr>
          <w:lang w:val="el" w:eastAsia="el"/>
        </w:rPr>
        <w:t xml:space="preserve">; </w:t>
      </w:r>
      <w:hyperlink r:id="rId18" w:anchor="art_38" w:history="1">
        <w:r>
          <w:rPr>
            <w:rStyle w:val="Hyperlink"/>
            <w:color w:val="0000EE"/>
            <w:u w:color="0000EE"/>
            <w:lang w:val="el" w:eastAsia="el"/>
          </w:rPr>
          <w:t>Αφαίρεση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99" w:history="1">
        <w:r>
          <w:rPr>
            <w:rStyle w:val="Hyperlink"/>
            <w:color w:val="0000EE"/>
            <w:u w:color="0000EE"/>
            <w:lang w:val="el" w:eastAsia="el"/>
          </w:rPr>
          <w:t>Αφαίρεση 4281/2014, Άρθρο 199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3" w:history="1">
        <w:r>
          <w:rPr>
            <w:rStyle w:val="Hyperlink"/>
            <w:color w:val="0000EE"/>
            <w:u w:color="0000EE"/>
            <w:lang w:val="el" w:eastAsia="el"/>
          </w:rPr>
          <w:t>Προσθήκη 4170/2013, Άρθρο 73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Αφαίρεση 4264/2014,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6" w:history="1">
        <w:r>
          <w:rPr>
            <w:rStyle w:val="Hyperlink"/>
            <w:color w:val="0000EE"/>
            <w:u w:color="0000EE"/>
            <w:lang w:val="el" w:eastAsia="el"/>
          </w:rPr>
          <w:t>Τροποποίηση 4296/2014, Άρθρο 6</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0" w:history="1">
        <w:r>
          <w:rPr>
            <w:rStyle w:val="Hyperlink"/>
            <w:color w:val="0000EE"/>
            <w:u w:color="0000EE"/>
            <w:lang w:val="el" w:eastAsia="el"/>
          </w:rPr>
          <w:t>Τροποποίηση 4203/2013, Άρθρο 20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8" w:history="1">
        <w:r>
          <w:rPr>
            <w:rStyle w:val="Hyperlink"/>
            <w:color w:val="0000EE"/>
            <w:u w:color="0000EE"/>
            <w:lang w:val="el" w:eastAsia="el"/>
          </w:rPr>
          <w:t>Προσθήκη 4203/2013, Άρθρο 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2" w:history="1">
        <w:r>
          <w:rPr>
            <w:rStyle w:val="Hyperlink"/>
            <w:color w:val="0000EE"/>
            <w:u w:color="0000EE"/>
            <w:lang w:val="el" w:eastAsia="el"/>
          </w:rPr>
          <w:t>Τροποποίηση 4225/2014,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Αφαίρεση 4225/2014, Άρθρο 12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2" w:history="1">
        <w:r>
          <w:rPr>
            <w:rStyle w:val="Hyperlink"/>
            <w:color w:val="0000EE"/>
            <w:u w:color="0000EE"/>
            <w:lang w:val="el" w:eastAsia="el"/>
          </w:rPr>
          <w:t>Τροποποίηση 4225/2014, Άρθρο 12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9" w:history="1">
        <w:r>
          <w:rPr>
            <w:rStyle w:val="Hyperlink"/>
            <w:color w:val="0000EE"/>
            <w:u w:color="0000EE"/>
            <w:lang w:val="el" w:eastAsia="el"/>
          </w:rPr>
          <w:t>Τροποποίηση 4316/2014, Άρθρο 69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9" w:history="1">
        <w:r>
          <w:rPr>
            <w:rStyle w:val="Hyperlink"/>
            <w:color w:val="0000EE"/>
            <w:u w:color="0000EE"/>
            <w:lang w:val="el" w:eastAsia="el"/>
          </w:rPr>
          <w:t>Προσθήκη 4316/2014, Άρθρο 69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9" w:history="1">
        <w:r>
          <w:rPr>
            <w:rStyle w:val="Hyperlink"/>
            <w:color w:val="0000EE"/>
            <w:u w:color="0000EE"/>
            <w:lang w:val="el" w:eastAsia="el"/>
          </w:rPr>
          <w:t>Τροποποίηση 4316/2014, Άρθρο 69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9" w:history="1">
        <w:r>
          <w:rPr>
            <w:rStyle w:val="Hyperlink"/>
            <w:color w:val="0000EE"/>
            <w:u w:color="0000EE"/>
            <w:lang w:val="el" w:eastAsia="el"/>
          </w:rPr>
          <w:t>Τροποποίηση 4316/2014, Άρθρο 69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9" w:history="1">
        <w:r>
          <w:rPr>
            <w:rStyle w:val="Hyperlink"/>
            <w:color w:val="0000EE"/>
            <w:u w:color="0000EE"/>
            <w:lang w:val="el" w:eastAsia="el"/>
          </w:rPr>
          <w:t>Τροποποίηση 4316/2014, Άρθρο 69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9" w:history="1">
        <w:r>
          <w:rPr>
            <w:rStyle w:val="Hyperlink"/>
            <w:color w:val="0000EE"/>
            <w:u w:color="0000EE"/>
            <w:lang w:val="el" w:eastAsia="el"/>
          </w:rPr>
          <w:t>Τροποποίηση 4316/2014, Άρθρο 69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9" w:history="1">
        <w:r>
          <w:rPr>
            <w:rStyle w:val="Hyperlink"/>
            <w:color w:val="0000EE"/>
            <w:u w:color="0000EE"/>
            <w:lang w:val="el" w:eastAsia="el"/>
          </w:rPr>
          <w:t>Τροποποίηση 4316/2014, Άρθρο 69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9" w:history="1">
        <w:r>
          <w:rPr>
            <w:rStyle w:val="Hyperlink"/>
            <w:color w:val="0000EE"/>
            <w:u w:color="0000EE"/>
            <w:lang w:val="el" w:eastAsia="el"/>
          </w:rPr>
          <w:t>Τροποποίηση 4316/2014, Άρθρο 69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9" w:history="1">
        <w:r>
          <w:rPr>
            <w:rStyle w:val="Hyperlink"/>
            <w:color w:val="0000EE"/>
            <w:u w:color="0000EE"/>
            <w:lang w:val="el" w:eastAsia="el"/>
          </w:rPr>
          <w:t>Τροποποίηση 4316/2014, Άρθρο 69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9" w:history="1">
        <w:r>
          <w:rPr>
            <w:rStyle w:val="Hyperlink"/>
            <w:color w:val="0000EE"/>
            <w:u w:color="0000EE"/>
            <w:lang w:val="el" w:eastAsia="el"/>
          </w:rPr>
          <w:t>Τροποποίηση 4316/2014, Άρθρο 69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9" w:history="1">
        <w:r>
          <w:rPr>
            <w:rStyle w:val="Hyperlink"/>
            <w:color w:val="0000EE"/>
            <w:u w:color="0000EE"/>
            <w:lang w:val="el" w:eastAsia="el"/>
          </w:rPr>
          <w:t>Τροποποίηση 4316/2014, Άρθρο 69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9" w:history="1">
        <w:r>
          <w:rPr>
            <w:rStyle w:val="Hyperlink"/>
            <w:color w:val="0000EE"/>
            <w:u w:color="0000EE"/>
            <w:lang w:val="el" w:eastAsia="el"/>
          </w:rPr>
          <w:t>Τροποποίηση 4316/2014, Άρθρο 69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9" w:history="1">
        <w:r>
          <w:rPr>
            <w:rStyle w:val="Hyperlink"/>
            <w:color w:val="0000EE"/>
            <w:u w:color="0000EE"/>
            <w:lang w:val="el" w:eastAsia="el"/>
          </w:rPr>
          <w:t>Τροποποίηση 4316/2014, Άρθρο 69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9" w:history="1">
        <w:r>
          <w:rPr>
            <w:rStyle w:val="Hyperlink"/>
            <w:color w:val="0000EE"/>
            <w:u w:color="0000EE"/>
            <w:lang w:val="el" w:eastAsia="el"/>
          </w:rPr>
          <w:t>Τροποποίηση 4316/2014, Άρθρο 69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9" w:history="1">
        <w:r>
          <w:rPr>
            <w:rStyle w:val="Hyperlink"/>
            <w:color w:val="0000EE"/>
            <w:u w:color="0000EE"/>
            <w:lang w:val="el" w:eastAsia="el"/>
          </w:rPr>
          <w:t>Τροποποίηση 4316/2014, Άρθρο 69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9" w:history="1">
        <w:r>
          <w:rPr>
            <w:rStyle w:val="Hyperlink"/>
            <w:color w:val="0000EE"/>
            <w:u w:color="0000EE"/>
            <w:lang w:val="el" w:eastAsia="el"/>
          </w:rPr>
          <w:t>Τροποποίηση 4316/2014, Άρθρο 69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9" w:history="1">
        <w:r>
          <w:rPr>
            <w:rStyle w:val="Hyperlink"/>
            <w:color w:val="0000EE"/>
            <w:u w:color="0000EE"/>
            <w:lang w:val="el" w:eastAsia="el"/>
          </w:rPr>
          <w:t>Τροποποίηση 4316/2014, Άρθρο 69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9" w:history="1">
        <w:r>
          <w:rPr>
            <w:rStyle w:val="Hyperlink"/>
            <w:color w:val="0000EE"/>
            <w:u w:color="0000EE"/>
            <w:lang w:val="el" w:eastAsia="el"/>
          </w:rPr>
          <w:t>Τροποποίηση 4316/2014, Άρθρο 69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9" w:history="1">
        <w:r>
          <w:rPr>
            <w:rStyle w:val="Hyperlink"/>
            <w:color w:val="0000EE"/>
            <w:u w:color="0000EE"/>
            <w:lang w:val="el" w:eastAsia="el"/>
          </w:rPr>
          <w:t>Τροποποίηση 4316/2014, Άρθρο 69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9" w:history="1">
        <w:r>
          <w:rPr>
            <w:rStyle w:val="Hyperlink"/>
            <w:color w:val="0000EE"/>
            <w:u w:color="0000EE"/>
            <w:lang w:val="el" w:eastAsia="el"/>
          </w:rPr>
          <w:t>Τροποποίηση 4316/2014, Άρθρο 69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9" w:history="1">
        <w:r>
          <w:rPr>
            <w:rStyle w:val="Hyperlink"/>
            <w:color w:val="0000EE"/>
            <w:u w:color="0000EE"/>
            <w:lang w:val="el" w:eastAsia="el"/>
          </w:rPr>
          <w:t>Τροποποίηση 4316/2014, Άρθρο 69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9" w:history="1">
        <w:r>
          <w:rPr>
            <w:rStyle w:val="Hyperlink"/>
            <w:color w:val="0000EE"/>
            <w:u w:color="0000EE"/>
            <w:lang w:val="el" w:eastAsia="el"/>
          </w:rPr>
          <w:t>Τροποποίηση 4316/2014, Άρθρο 69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9" w:history="1">
        <w:r>
          <w:rPr>
            <w:rStyle w:val="Hyperlink"/>
            <w:color w:val="0000EE"/>
            <w:u w:color="0000EE"/>
            <w:lang w:val="el" w:eastAsia="el"/>
          </w:rPr>
          <w:t>Τροποποίηση 4316/2014, Άρθρο 69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9" w:history="1">
        <w:r>
          <w:rPr>
            <w:rStyle w:val="Hyperlink"/>
            <w:color w:val="0000EE"/>
            <w:u w:color="0000EE"/>
            <w:lang w:val="el" w:eastAsia="el"/>
          </w:rPr>
          <w:t>Τροποποίηση 4316/2014, Άρθρο 69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9" w:history="1">
        <w:r>
          <w:rPr>
            <w:rStyle w:val="Hyperlink"/>
            <w:color w:val="0000EE"/>
            <w:u w:color="0000EE"/>
            <w:lang w:val="el" w:eastAsia="el"/>
          </w:rPr>
          <w:t>Τροποποίηση 4316/2014, Άρθρο 69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9" w:history="1">
        <w:r>
          <w:rPr>
            <w:rStyle w:val="Hyperlink"/>
            <w:color w:val="0000EE"/>
            <w:u w:color="0000EE"/>
            <w:lang w:val="el" w:eastAsia="el"/>
          </w:rPr>
          <w:t>Τροποποίηση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9" w:history="1">
        <w:r>
          <w:rPr>
            <w:rStyle w:val="Hyperlink"/>
            <w:color w:val="0000EE"/>
            <w:u w:color="0000EE"/>
            <w:lang w:val="el" w:eastAsia="el"/>
          </w:rPr>
          <w:t>Τροποποίηση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9" w:history="1">
        <w:r>
          <w:rPr>
            <w:rStyle w:val="Hyperlink"/>
            <w:color w:val="0000EE"/>
            <w:u w:color="0000EE"/>
            <w:lang w:val="el" w:eastAsia="el"/>
          </w:rPr>
          <w:t>Τροποποίηση 4316/2014, Άρθρο 69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69" w:history="1">
        <w:r>
          <w:rPr>
            <w:rStyle w:val="Hyperlink"/>
            <w:color w:val="0000EE"/>
            <w:u w:color="0000EE"/>
            <w:lang w:val="el" w:eastAsia="el"/>
          </w:rPr>
          <w:t>Προσθήκη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9" w:history="1">
        <w:r>
          <w:rPr>
            <w:rStyle w:val="Hyperlink"/>
            <w:color w:val="0000EE"/>
            <w:u w:color="0000EE"/>
            <w:lang w:val="el" w:eastAsia="el"/>
          </w:rPr>
          <w:t>Προσθήκη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9" w:history="1">
        <w:r>
          <w:rPr>
            <w:rStyle w:val="Hyperlink"/>
            <w:color w:val="0000EE"/>
            <w:u w:color="0000EE"/>
            <w:lang w:val="el" w:eastAsia="el"/>
          </w:rPr>
          <w:t>Τροποποίηση 4316/2014, Άρθρο 69</w:t>
        </w:r>
      </w:hyperlink>
      <w:r>
        <w:rPr>
          <w:lang w:val="el" w:eastAsia="el"/>
        </w:rPr>
        <w:t xml:space="preserve">; </w:t>
      </w:r>
      <w:hyperlink r:id="rId105" w:anchor="art_19" w:history="1">
        <w:r>
          <w:rPr>
            <w:rStyle w:val="Hyperlink"/>
            <w:color w:val="0000EE"/>
            <w:u w:color="0000EE"/>
            <w:lang w:val="el" w:eastAsia="el"/>
          </w:rPr>
          <w:t>Τροποποίηση 4208/2013, Άρθρο 19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4255/2014, Άρθρο 20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3/11/18/4208" TargetMode="External" /><Relationship Id="rId106" Type="http://schemas.openxmlformats.org/officeDocument/2006/relationships/hyperlink" Target="http://data.aade.gr/eli/pri/law/2014/04/11/4255" TargetMode="External" /><Relationship Id="rId107" Type="http://schemas.openxmlformats.org/officeDocument/2006/relationships/hyperlink" Target="http://data.aade.gr/eli/pri/law/2013/07/12/4170"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3/07/12/4170"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4/08/08/4281" TargetMode="External" /><Relationship Id="rId26" Type="http://schemas.openxmlformats.org/officeDocument/2006/relationships/hyperlink" Target="http://data.aade.gr/eli/pri/law/2013/07/12/4170" TargetMode="External" /><Relationship Id="rId27" Type="http://schemas.openxmlformats.org/officeDocument/2006/relationships/hyperlink" Target="http://data.aade.gr/eli/pri/law/2014/05/15/4264"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4/10/02/4296"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3/11/01/4203" TargetMode="External" /><Relationship Id="rId37" Type="http://schemas.openxmlformats.org/officeDocument/2006/relationships/hyperlink" Target="http://data.aade.gr/eli/pri/law/2013/11/01/4203" TargetMode="External" /><Relationship Id="rId38" Type="http://schemas.openxmlformats.org/officeDocument/2006/relationships/hyperlink" Target="http://data.aade.gr/eli/pri/law/2014/01/07/4225" TargetMode="External" /><Relationship Id="rId39" Type="http://schemas.openxmlformats.org/officeDocument/2006/relationships/hyperlink" Target="http://data.aade.gr/eli/pri/law/2014/01/07/4225" TargetMode="External" /><Relationship Id="rId4" Type="http://schemas.openxmlformats.org/officeDocument/2006/relationships/hyperlink" Target="http://data.aade.gr/eli/pri/law/2014/12/24/4316" TargetMode="External" /><Relationship Id="rId40" Type="http://schemas.openxmlformats.org/officeDocument/2006/relationships/hyperlink" Target="http://data.aade.gr/eli/pri/law/2014/01/07/4225" TargetMode="External" /><Relationship Id="rId41" Type="http://schemas.openxmlformats.org/officeDocument/2006/relationships/hyperlink" Target="http://data.aade.gr/eli/pri/law/2014/01/07/4225"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3/07/12/4170"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