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πέντε (5)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και στα Τελωνεία του κράτους, σύμφωνα με τον Κώδικα Είσπραξης Δημοσίων Εσόδων Ν.Δ. 356/1974, Κ. Ε.Δ.Ε.),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άπαξ και να καταβάλλονται:</w:t>
      </w:r>
    </w:p>
    <w:p>
      <w:pPr>
        <w:spacing w:before="240" w:after="240"/>
        <w:rPr>
          <w:lang w:val="el" w:eastAsia="el"/>
        </w:rPr>
      </w:pPr>
      <w:r>
        <w:rPr>
          <w:lang w:val="el" w:eastAsia="el"/>
        </w:rPr>
        <w:t>Σε δύο (2) έως δώδεκα (12) ισόποσες μηνιαίες δόσεις και κατ΄ εξαίρεση έως είκοσι τέσσερις (24) ισόποσες μηνιαίες δόσεις, εφόσον πρόκειται για οφειλές που βεβαιώνονται από έκτακτη αιτία.</w:t>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με προσαυξήσεις εκπρόθεσμης καταβολής οι οποίες υπολογίζονται από 1.1.2013 με βάση το ισχύον επιτόκιο αναφοράς για πράξεις αναχρηματοδότησης της Ευρωπαϊκής Κεντρικής Τράπεζας κατά την ημερομηνία της αίτησης υπαγωγής, πλέον οκτώ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η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πενήντα χιλιάδων (50.000)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εκατόν πενήντα χιλιάδων (150.000) ευρώ, πέραν της τήρησης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προσδιορίσει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τα είδη των οφειλών τα οποία δύνανται να υπαχθούν σε ρύθμιση άνω των δώδεκα (12) δόσεων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οι περιπτώσεις για τις οποίες η φορολογική διοίκηση θα απαιτεί υποχρεωτικά την πληρωμή της ρύθμισης μέσω πάγιας εντολής στους φορείς είσπραξης, στ) επιπλέον όροι και προϋποθέσεις που πρέπει να πληρούνται για να καθίσταται ενεργή η ρύθμιση και ζ) οι λεπτομέρειες και κάθε ειδικότερο θέμα εφαρμογής των διατάξεων του άρθρου αυτού.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ΚΕΝΤΡΙΚΗ ΜΟΝΑΔΑ ΚΡΑΤΙΚΩΝ ΕΝΙΣΧΥΣΕΩΝ</w:t>
      </w:r>
    </w:p>
    <w:p>
      <w:pPr>
        <w:pStyle w:val="MainText"/>
        <w:spacing w:before="120" w:after="0"/>
        <w:rPr>
          <w:lang w:val="el" w:eastAsia="el"/>
        </w:rPr>
      </w:pPr>
      <w:r>
        <w:rPr>
          <w:b/>
          <w:bCs/>
          <w:lang w:val="el" w:eastAsia="el"/>
        </w:rPr>
        <w:t>1.</w:t>
      </w:r>
      <w:r>
        <w:rPr>
          <w:lang w:val="el" w:eastAsia="el"/>
        </w:rPr>
        <w:t xml:space="preserve"> Συνιστάται οργανική μονάδα επιπέδου Διεύθυνσης, με τίτλο «Κεντρική Μονάδα Κρατικών Ενισχύσεων» υπαγόμενη απευθείας στον Υπουργό Οικονομικών, ο οποίος μπορεί να εκχωρεί την αρμοδιότητα στον Γενικό Γραμματέα Οικονομικής Πολιτικής του Υπουργείου Οικονομικών.</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Τα Υπουργεία και οι εποπτευόμενοι από αυτά φορείς, προωθούν στην Κεντρική Μονάδα Κρατικών Ενισχύσεων όλα τα σχέδια που αφορούν σε διαχείριση ή παροχή κρατικών πόρων, πριν την τελική έγκριση και υιοθέτησή τους και σύμφωνα με τη διαδικασία που ορίζεται στον παρόντα νόμο. Η Κεντρική Μονάδα Κρατικών Ενισχύσεων εξετάζει τα προτεινόμενα σχέδια ως προς τη συμβατότητά τους με τους κανόνες κρατικών ενισχύσεων και εκφράζει έγγραφη γνώμη, η οποία προσαρτάται σε κάθε σχέδιο.</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επιπλέον:</w:t>
      </w:r>
    </w:p>
    <w:p>
      <w:pPr>
        <w:spacing w:before="240" w:after="240"/>
        <w:rPr>
          <w:lang w:val="el" w:eastAsia="el"/>
        </w:rPr>
      </w:pPr>
      <w:r>
        <w:rPr>
          <w:lang w:val="el" w:eastAsia="el"/>
        </w:rPr>
        <w:t>α. Έχει την πλήρη ευθύνη για την κοινοποίηση των σχεδίων κρατικών ενισχύσεων, εκ μέρους της Ελληνικής Δημοκρατίας, σύμφωνα με το άρθρο 108 της Συνθήκης Λειτουργίας της Ευρωπαϊκής Ένωσης (ΣΛΕΕ). Διαχειρίζεται το ηλεκτρονικό σύστημα κοινοποιήσεων SANI (State Aid Notification System: Διαδραστική Αναφορά Κρατικών Ενισχύσεων) και είναι ο μοναδικός συνομιλητής των αρμόδιων οργάνων της Ευρωπαϊκής Επιτροπής κατά τη διαδικασία των κοινοποιήσεων.</w:t>
      </w:r>
    </w:p>
    <w:p>
      <w:pPr>
        <w:spacing w:before="240" w:after="240"/>
        <w:rPr>
          <w:lang w:val="el" w:eastAsia="el"/>
        </w:rPr>
      </w:pPr>
      <w:r>
        <w:rPr>
          <w:lang w:val="el" w:eastAsia="el"/>
        </w:rPr>
        <w:t>β. Αποτελεί το μοναδικό επίσημο σημείο επαφής για θέματα κρατικών ενισχύσεων τόσο με την Επιτροπή όσο και με άλλους Ευρωπαϊκούς και διεθνείς φορείς.</w:t>
      </w:r>
    </w:p>
    <w:p>
      <w:pPr>
        <w:spacing w:before="240" w:after="240"/>
        <w:rPr>
          <w:lang w:val="el" w:eastAsia="el"/>
        </w:rPr>
      </w:pPr>
      <w:r>
        <w:rPr>
          <w:lang w:val="el" w:eastAsia="el"/>
        </w:rPr>
        <w:t>γ. Συντονίζει τα θέματα κρατικών ενισχύσεων σε εθνικό επίπεδο: συνεργάζεται με τα υπουργεία και τους λοιπούς φορείς και αρχές μέσω του δικτύου αποκεντρωμένων μονάδων κρατικών ενισχύσεων.</w:t>
      </w:r>
    </w:p>
    <w:p>
      <w:pPr>
        <w:spacing w:before="240" w:after="240"/>
        <w:rPr>
          <w:lang w:val="el" w:eastAsia="el"/>
        </w:rPr>
      </w:pPr>
      <w:r>
        <w:rPr>
          <w:lang w:val="el" w:eastAsia="el"/>
        </w:rPr>
        <w:t>δ. Επιβλέπει και παρακολουθεί την πορεία και την πρόοδο των υποθέσεων κρατικών ενισχύσεων, ειδικότερα όσων είναι στο στάδιο της εξέτασης από την Επιτροπή ή όσων αφορούν ανάκτηση παράνομων κρατικών ενισχύσεων. Η Κεντρική Μονάδα Κρατικών Ενισχύσεων βοηθά στη διαμόρφωση απαντήσεων προς την Επιτροπή σε θέματα που σχετίζονται με τις Κρατικές Ενισχύσεις.</w:t>
      </w:r>
    </w:p>
    <w:p>
      <w:pPr>
        <w:spacing w:before="240" w:after="240"/>
        <w:rPr>
          <w:lang w:val="el" w:eastAsia="el"/>
        </w:rPr>
      </w:pPr>
      <w:r>
        <w:rPr>
          <w:lang w:val="el" w:eastAsia="el"/>
        </w:rPr>
        <w:t>ε. Ελέγχει όλες τις απαντήσεις πριν την υποβολή τους στην Επιτροπή. Μεριμνά για την τήρηση προθεσμιών και καταληκτικών ημερομηνιών που έχουν τεθεί από την Επιτροπή.</w:t>
      </w:r>
    </w:p>
    <w:p>
      <w:pPr>
        <w:spacing w:before="240" w:after="240"/>
        <w:rPr>
          <w:lang w:val="el" w:eastAsia="el"/>
        </w:rPr>
      </w:pPr>
      <w:r>
        <w:rPr>
          <w:lang w:val="el" w:eastAsia="el"/>
        </w:rPr>
        <w:t>στ. Συμμετέχει στη διαμόρφωση της πολιτικής των κρατικών ενισχύσεων και τον έλεγχο της συμβατότητας των χορηγούμενων από δημόσιους φορείς και αρχές σχεδίων Κρατικών ενισχύσεων, σύμφωνα με τα άρθρα 107 και 108 της ΣΛΕΕ.</w:t>
      </w:r>
    </w:p>
    <w:p>
      <w:pPr>
        <w:spacing w:before="240" w:after="240"/>
        <w:rPr>
          <w:lang w:val="el" w:eastAsia="el"/>
        </w:rPr>
      </w:pPr>
      <w:r>
        <w:rPr>
          <w:lang w:val="el" w:eastAsia="el"/>
        </w:rPr>
        <w:t>ζ. Συμμετέχει στη διαμόρφωση και τον έλεγχο της συμβατότητας της πολιτικής των Υπηρεσιών Γενικού Οικονομικού Συμφέροντος, σύμφωνα με το άρθρο 106 της ΣΛΕΕ. Συνεργάζεται με τους αρμόδιους φορείς και συντάσσει την περιοδική έκθεση για τις Υπηρεσίες Γενικού Οικονομικού Συμφέροντος.</w:t>
      </w:r>
    </w:p>
    <w:p>
      <w:pPr>
        <w:spacing w:before="240" w:after="240"/>
        <w:rPr>
          <w:lang w:val="el" w:eastAsia="el"/>
        </w:rPr>
      </w:pPr>
      <w:r>
        <w:rPr>
          <w:lang w:val="el" w:eastAsia="el"/>
        </w:rPr>
        <w:t>η. Παρακολουθεί και συντάσσει τον ετήσιο πίνακα Κρατικών Ενισχύσεων SARI (State Aid Reporting Interactive: Διαδραστική Αναφορά Κρατικών Ενισχύσεων).</w:t>
      </w:r>
    </w:p>
    <w:p>
      <w:pPr>
        <w:spacing w:before="240" w:after="240"/>
        <w:rPr>
          <w:lang w:val="el" w:eastAsia="el"/>
        </w:rPr>
      </w:pPr>
      <w:r>
        <w:rPr>
          <w:lang w:val="el" w:eastAsia="el"/>
        </w:rPr>
        <w:t>θ. Συμμετέχει στα συμβουλευτικά όργανα της Γενικής Διεύθυνσης Ανταγωνισμού της Επιτροπής για τον καθορισμό των νέων κανόνων- ανακοινώσεων και διαδικασιών στα θέματα κρατικών ενισχύσεων.</w:t>
      </w:r>
    </w:p>
    <w:p>
      <w:pPr>
        <w:spacing w:before="240" w:after="240"/>
        <w:rPr>
          <w:lang w:val="el" w:eastAsia="el"/>
        </w:rPr>
      </w:pPr>
      <w:r>
        <w:rPr>
          <w:lang w:val="el" w:eastAsia="el"/>
        </w:rPr>
        <w:t>ι. Παρέχει εκπαίδευση και τεχνογνωσία σε θέματα κρατικών ενισχύσεων στις αποκεντρωμένες μονάδες, σε συνεργασία με αρμόδιους φορείς.</w:t>
      </w:r>
    </w:p>
    <w:p>
      <w:pPr>
        <w:spacing w:before="240" w:after="240"/>
        <w:rPr>
          <w:lang w:val="el" w:eastAsia="el"/>
        </w:rPr>
      </w:pPr>
      <w:r>
        <w:rPr>
          <w:lang w:val="el" w:eastAsia="el"/>
        </w:rPr>
        <w:t>ια. Παρέχει υποστηρικτικό υλικό στις αποκεντρωμένες μονάδες σε θέματα πολιτικής και διαδικασιών κρατικών ενισχύσεων.</w:t>
      </w:r>
    </w:p>
    <w:p>
      <w:pPr>
        <w:spacing w:before="240" w:after="240"/>
        <w:rPr>
          <w:lang w:val="el" w:eastAsia="el"/>
        </w:rPr>
      </w:pPr>
      <w:r>
        <w:rPr>
          <w:lang w:val="el" w:eastAsia="el"/>
        </w:rPr>
        <w:t>ιβ. Τηρεί κεντρικό πληροφοριακό σύστημα μητρώου όλων των υφιστάμενων κρατικών ενισχύσεων κατά τα οριζόμενα στην υποπαράγραφο Β.8. του παρόντος νόμου.</w:t>
      </w:r>
    </w:p>
    <w:p>
      <w:pPr>
        <w:spacing w:before="240" w:after="240"/>
        <w:rPr>
          <w:lang w:val="el" w:eastAsia="el"/>
        </w:rPr>
      </w:pPr>
      <w:r>
        <w:rPr>
          <w:lang w:val="el" w:eastAsia="el"/>
        </w:rPr>
        <w:t>ιγ. Με απόφαση του Υπουργού Οικονομικών, κατόπιν εισηγήσεως του Προϊσταμένου της Κεντρικής Μονάδας Κρατικών Ενισχύσεων, καθορίζονται περαιτέρω λεπτομέρειες - διευρυμένα καθήκοντα σχετικά με το ρόλο και τις αρμοδιότητες της Κεντρικής Μονάδας Κρατικών Ενισχύσεων σύμφωνα με τις αναθεωρήσεις της πολιτικής των κρατικών ενισχύσεων, όπως αυτή χαράσσεται από τα αρμόδια όργανα της Ευρωπαϊκής Ένωσης.</w:t>
      </w:r>
    </w:p>
    <w:p>
      <w:pPr>
        <w:spacing w:before="240" w:after="240"/>
        <w:rPr>
          <w:lang w:val="el" w:eastAsia="el"/>
        </w:rPr>
      </w:pPr>
      <w:r>
        <w:rPr>
          <w:lang w:val="el" w:eastAsia="el"/>
        </w:rPr>
        <w:t>ΥΠΟΠΑΡΑΓΡΑΦΟΣ Β.3.: ΣΤΕΛΕΧΩΣΗ ΤΗΣ ΚΕΝΤΡΙΚΗΣ ΜΟΝΑΔΑΣ ΚΡΑΤΙΚΩΝ ΕΝΙΣΧΥΣΕΩΝ</w:t>
      </w:r>
    </w:p>
    <w:p>
      <w:pPr>
        <w:pStyle w:val="MainText"/>
        <w:spacing w:before="120" w:after="0"/>
        <w:rPr>
          <w:lang w:val="el" w:eastAsia="el"/>
        </w:rPr>
      </w:pPr>
      <w:r>
        <w:rPr>
          <w:b/>
          <w:bCs/>
          <w:lang w:val="el" w:eastAsia="el"/>
        </w:rPr>
        <w:t>1.</w:t>
      </w:r>
      <w:r>
        <w:rPr>
          <w:lang w:val="el" w:eastAsia="el"/>
        </w:rPr>
        <w:t xml:space="preserve"> Συνιστάται στην Κεντρική Μονάδα θέση Προϊσταμένου αυτής με βαθμό Διευθυντή. Ως προϊστάμενος της Κεντρικής Μονάδας Κρατικών Ενισχύσεων ορίζεται δημόσιος υπάλληλος κατηγορίας ΠΕ του Υπουργείου Οικονομικών ή υπάλληλος από το στενό και ευρύτερο δημόσιο τομέα και τις ανεξάρτητες αρχές, κατά τη διαδικασία του άρθρου 55 παρ. 21 του Ν. 4002/2011 (Α΄ 180) και, μετά τη λήξη ισχύος των διατάξεων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κατά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Η ανωτέρω Μονάδα στελεχώνεται από υπαλλήλους όλων των κλάδων κατηγοριών και ειδικοτήτων του Υπουργείου Οικονομικών, καθώς και από υπαλλήλους από το στενό και ευρύτερο δημόσιο τομέα και τις ανεξάρτητες αρχές, οι οποίοι αποσπώνται για το σκοπό αυτό στην Κεντρική Μονάδα. Κατά παρέκκλιση των κειμένων διατάξεων στη Μονάδα μπορούν να αποσπασθούν υπάλληλοι από τη Μονάδα Οργάνωσης Διαχείρισης (ΜΟΔ) Α.Ε. και τα Όργανα της Ευρωπαϊκής Ένωσης. Το προσωπικό της Μονάδας που μεταφέρεται ή αποσπάται είναι έως είκοσι (20) άτομα. Οι υπηρετούντες στο Υπουργείο Οικονομικών δικηγόροι με έμμισθη εντολή υποστηρίζουν νομικά το έργο της Κεντρικής Μονάδας Κρατικών Ενισχύσεων.</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μπορεί να απασχολεί υπαλλήλους της κατηγορίας Ειδικού Επιστημονικού Προσωπικού.</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ορίζεται: α. η διάρθρωση και ο αριθμός των υπαλλήλων που απαιτούνται για τις ανάγκες στελέχωσης της Κεντρικής Μονάδας Κρατικών Ενισχύσεων, ανά κατηγορία, κλάδο και ειδικότητα. Οι υπάλληλοι μεταφέρονται και αποσπώνται σε αυτή με την ίδια εργασιακή σχέση, την οργανική θέση, βαθμό, κλάδο και ειδικότητα που κατέχουν, με συνεκτίμηση της αίτησής τους και των αναγκών της Μονάδας,</w:t>
      </w:r>
    </w:p>
    <w:p>
      <w:pPr>
        <w:spacing w:before="240" w:after="240"/>
        <w:rPr>
          <w:lang w:val="el" w:eastAsia="el"/>
        </w:rPr>
      </w:pPr>
      <w:r>
        <w:rPr>
          <w:lang w:val="el" w:eastAsia="el"/>
        </w:rPr>
        <w:t>β. τα ειδικότερα και πρόσθετα τυπικά και ουσιαστικά τους προσόντα,</w:t>
      </w:r>
    </w:p>
    <w:p>
      <w:pPr>
        <w:spacing w:before="240" w:after="240"/>
        <w:rPr>
          <w:lang w:val="el" w:eastAsia="el"/>
        </w:rPr>
      </w:pPr>
      <w:r>
        <w:rPr>
          <w:lang w:val="el" w:eastAsia="el"/>
        </w:rPr>
        <w:t>γ. τα ειδικότερα και πρόσθετα τυπικά και ουσιαστικά προσόντα του Προϊσταμένου, καθώς και η θητεία του, σύμφωνα και με τις διατάξεις της παραγράφου 1 του παρόντος άρθρου,</w:t>
      </w:r>
    </w:p>
    <w:p>
      <w:pPr>
        <w:spacing w:before="240" w:after="240"/>
        <w:rPr>
          <w:lang w:val="el" w:eastAsia="el"/>
        </w:rPr>
      </w:pPr>
      <w:r>
        <w:rPr>
          <w:lang w:val="el" w:eastAsia="el"/>
        </w:rPr>
        <w:t>δ. η διαδικασία επιλογής του προϊσταμένου και των υπαλλήλων.</w:t>
      </w:r>
    </w:p>
    <w:p>
      <w:pPr>
        <w:spacing w:before="240" w:after="240"/>
        <w:rPr>
          <w:lang w:val="el" w:eastAsia="el"/>
        </w:rPr>
      </w:pPr>
      <w:r>
        <w:rPr>
          <w:lang w:val="el" w:eastAsia="el"/>
        </w:rPr>
        <w:t>ΥΠΟΠΑΡΑΓΡΑΦΟΣ Β.4.: ΔΙΚΤΥΟ ΑΠΟΚΕΝΤΡΩΜΕΝΩΝ ΜΟΝΑΔΩΝ ΚΡΑΤΙΚΩΝ ΕΝΙΣΧΥΣΕΩΝ</w:t>
      </w:r>
    </w:p>
    <w:p>
      <w:pPr>
        <w:pStyle w:val="MainText"/>
        <w:spacing w:before="120" w:after="0"/>
        <w:rPr>
          <w:lang w:val="el" w:eastAsia="el"/>
        </w:rPr>
      </w:pPr>
      <w:r>
        <w:rPr>
          <w:b/>
          <w:bCs/>
          <w:lang w:val="el" w:eastAsia="el"/>
        </w:rPr>
        <w:t>1.</w:t>
      </w:r>
      <w:r>
        <w:rPr>
          <w:lang w:val="el" w:eastAsia="el"/>
        </w:rPr>
        <w:t xml:space="preserve"> Η επιφορτισμένη με τις κρατικές ενισχύσεις υπηρεσία κάθε Υπουργείου μετονομάζεται σε «Αποκεντρωμένη Μονάδα Κρατικών Ενισχύσεων».</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αρμοδίου καθ΄ ύλην Υπουργού μπορεί να συνιστάται, όπου δεν υπάρχει ήδη κατά τη δημοσίευση του παρόντος, Αποκεντρωμένη Μονάδα Κρατικών Ενισχύσεων στα Υπουργεία και στους φορείς της εποπτείας τους, που ενδέχεται να χορηγούν κρατικές ενισχύσεις. Κύριο έργο των Αποκεντρωμένων Μονάδων είναι η προετοιμασία και η προώθηση σχεδίων για γνωμοδότηση ή και έγκριση από την Κεντρική Μονάδα Κρατικών Ενισχύσεων. Η Αποκεντρωμένη Μονάδα κάθε Υπουργείου είναι επίσης αρμόδια και υπεύθυνη για τα σχέδια που προετοιμάζονται και προωθούνται από τους εποπτευόμενους φορείς της.</w:t>
      </w:r>
    </w:p>
    <w:p>
      <w:pPr>
        <w:pStyle w:val="MainText"/>
        <w:spacing w:before="120" w:after="0"/>
        <w:rPr>
          <w:lang w:val="el" w:eastAsia="el"/>
        </w:rPr>
      </w:pPr>
      <w:r>
        <w:rPr>
          <w:b/>
          <w:bCs/>
          <w:lang w:val="el" w:eastAsia="el"/>
        </w:rPr>
        <w:t>3.</w:t>
      </w:r>
      <w:r>
        <w:rPr>
          <w:lang w:val="el" w:eastAsia="el"/>
        </w:rPr>
        <w:t xml:space="preserve"> Έργο των Αποκεντρωμένων Μονάδων είναι επίσης:</w:t>
      </w:r>
    </w:p>
    <w:p>
      <w:pPr>
        <w:spacing w:before="240" w:after="240"/>
        <w:rPr>
          <w:lang w:val="el" w:eastAsia="el"/>
        </w:rPr>
      </w:pPr>
      <w:r>
        <w:rPr>
          <w:lang w:val="el" w:eastAsia="el"/>
        </w:rPr>
        <w:t>α. Ο έλεγχος αναφορικά με την ύπαρξη κρατικών ενισχύσεων, όλων των σχεδίων νόμου που εισάγονται προς ψήφιση από τον φορέα στον οποίο ανήκει ή που εποπτεύει η εκάστοτε Αποκεντρωμένη Μονάδα.</w:t>
      </w:r>
    </w:p>
    <w:p>
      <w:pPr>
        <w:spacing w:before="240" w:after="240"/>
        <w:rPr>
          <w:lang w:val="el" w:eastAsia="el"/>
        </w:rPr>
      </w:pPr>
      <w:r>
        <w:rPr>
          <w:lang w:val="el" w:eastAsia="el"/>
        </w:rPr>
        <w:t>β. Ο έλεγχος αναφορικά με την ύπαρξη κρατικών ενισχύσεων, όλων των λοιπών πράξεων που εκδίδονται από τον φορέα στον οποίο ανήκει ή που εποπτεύει η εκάστοτε Αποκεντρωμένη Μονάδα.</w:t>
      </w:r>
    </w:p>
    <w:p>
      <w:pPr>
        <w:spacing w:before="240" w:after="240"/>
        <w:rPr>
          <w:lang w:val="el" w:eastAsia="el"/>
        </w:rPr>
      </w:pPr>
      <w:r>
        <w:rPr>
          <w:lang w:val="el" w:eastAsia="el"/>
        </w:rPr>
        <w:t>γ. Η έγκριση όλων των σχεδίων κρατικών ενισχύσεων που δεν απαιτούν κοινοποίηση (όπως οι ενισχύσεις ήσσονος σημασίας) κατόπιν οδηγιών της Κεντρικής Μονάδας.</w:t>
      </w:r>
    </w:p>
    <w:p>
      <w:pPr>
        <w:spacing w:before="240" w:after="240"/>
        <w:rPr>
          <w:lang w:val="el" w:eastAsia="el"/>
        </w:rPr>
      </w:pPr>
      <w:r>
        <w:rPr>
          <w:lang w:val="el" w:eastAsia="el"/>
        </w:rPr>
        <w:t>δ. Η προώθηση στην Κεντρική Μονάδα Κρατικών Ενισχύσεων όλων των σχεδίων που ενδεχομένως εμπεριέχουν μεταφορά και διάθεση κρατικών πόρων σε κάποιον ωφελούμενο, που συνοδεύονται από αναλυτική περιγραφή και τεκμηρίωση. Η Αποκεντρωμένη Μονάδα μπορεί να προτείνει βελτιώσεις πριν από την προώθηση του σχεδίου στην Κεντρική Μονάδα Κρατικών Ενισχύσεων.</w:t>
      </w:r>
    </w:p>
    <w:p>
      <w:pPr>
        <w:spacing w:before="240" w:after="240"/>
        <w:rPr>
          <w:lang w:val="el" w:eastAsia="el"/>
        </w:rPr>
      </w:pPr>
      <w:r>
        <w:rPr>
          <w:lang w:val="el" w:eastAsia="el"/>
        </w:rPr>
        <w:t>ε. Σε περίπτωση κοινοποίησης ενός σχεδίου από την Κεντρική Μονάδα Κρατικών Ενισχύσεων στην Ευρωπαϊκή Επιτροπή, η Αποκεντρωμένη Μονάδα υποχρεούται να παρέχει στην Κεντρική Μονάδα κάθε είδους βοήθεια και υποστήριξη που θα της ζητηθεί.</w:t>
      </w:r>
    </w:p>
    <w:p>
      <w:pPr>
        <w:spacing w:before="240" w:after="240"/>
        <w:rPr>
          <w:lang w:val="el" w:eastAsia="el"/>
        </w:rPr>
      </w:pPr>
      <w:r>
        <w:rPr>
          <w:lang w:val="el" w:eastAsia="el"/>
        </w:rPr>
        <w:t>στ. Τα σχέδια κοινοποιούνται μέσω του ηλεκτρονικού συστήματος SANI και καταχωρούνται από τον επικυρωμένο χρήστη της Αποκεντρωμένης Μονάδας στο εν λόγω σύστημα.</w:t>
      </w:r>
    </w:p>
    <w:p>
      <w:pPr>
        <w:spacing w:before="240" w:after="240"/>
        <w:rPr>
          <w:lang w:val="el" w:eastAsia="el"/>
        </w:rPr>
      </w:pPr>
      <w:r>
        <w:rPr>
          <w:lang w:val="el" w:eastAsia="el"/>
        </w:rPr>
        <w:t>ζ. Στο τέλος κάθε έτους, οι Αποκεντρωμένες Μονάδες υποχρεούνται στην ηλεκτρονική υποβολή της ετήσιας έκθεσης κρατικών ενισχύσεων μέσω του διαδραστικού συστήματος SARI, που περιλαμβάνει τις δαπάνες που έχουν πραγματοποιηθεί για τις υφιστάμενες κρατικές ενισχύσεις του φορέα τους. Η ηλεκτρονική αυτή υποβολή πραγματοποιείται επίσης από επικυρωμένο χρήστη. Οι επικυρωμένοι χρήστες και στις δύο περιπτώσεις ορίζονται μετά από αίτηση της Αποκεντρωμένης Μονάδας προς την Κεντρική Μονάδα Κρατικών Ενισχύσεων.</w:t>
      </w:r>
    </w:p>
    <w:p>
      <w:pPr>
        <w:spacing w:before="240" w:after="240"/>
        <w:rPr>
          <w:lang w:val="el" w:eastAsia="el"/>
        </w:rPr>
      </w:pPr>
      <w:r>
        <w:rPr>
          <w:lang w:val="el" w:eastAsia="el"/>
        </w:rPr>
        <w:t>η. Φροντίζουν για την ενημέρωση του μητρώου παρακολούθησης κρατικών ενισχύσεων του άρθρου 30 του παρόντος νόμου, ως προς τα μέτρα αρμοδιότητάς τους.</w:t>
      </w:r>
    </w:p>
    <w:p>
      <w:pPr>
        <w:spacing w:before="240" w:after="240"/>
        <w:rPr>
          <w:lang w:val="el" w:eastAsia="el"/>
        </w:rPr>
      </w:pPr>
      <w:r>
        <w:rPr>
          <w:lang w:val="el" w:eastAsia="el"/>
        </w:rPr>
        <w:t>ΥΠΟΠΑΡΑΓΡΑΦΟΣ Β.5.: ΔΙΥΠΟΥΡΓΙΚΗ ΕΠΙΤΡΟΠΗ ΚΡΑΤΙΚΩΝ ΕΝΙΣΧΥΣΕΩΝ</w:t>
      </w:r>
    </w:p>
    <w:p>
      <w:pPr>
        <w:pStyle w:val="MainText"/>
        <w:spacing w:before="120" w:after="0"/>
        <w:rPr>
          <w:lang w:val="el" w:eastAsia="el"/>
        </w:rPr>
      </w:pPr>
      <w:r>
        <w:rPr>
          <w:b/>
          <w:bCs/>
          <w:lang w:val="el" w:eastAsia="el"/>
        </w:rPr>
        <w:t>1.</w:t>
      </w:r>
      <w:r>
        <w:rPr>
          <w:lang w:val="el" w:eastAsia="el"/>
        </w:rPr>
        <w:t xml:space="preserve"> Με απόφαση του Υπουργικού Συμβουλίου που εκδίδεται κατόπιν προτάσεως του Πρωθυπουργού, συγκροτείται Διυπουργική Επιτροπή Κρατικών Ενισχύσεων η οποία δημοσιεύεται στην Εφημερίδα της Κυβερνήσεως, σύμφωνα με το άρθρο 15 παρ. 2β και το άρθρο 16 παρ. 6 του Π.Δ. 63/2005 «Κωδικοποίηση της νομοθεσίας για την Κυβέρνηση και τα κυβερνητικά όργανα» (Α΄ 98/2005). Η Επιτροπή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Τον Υπουργό Οικονομικών, ο οποίος προεδρεύει, με αναπληρωτή του τον Γενικό Γραμματέα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Τους Υπουργούς Εξωτερικών, Ανάπτυξης, Υποδομών, Μεταφορών και Δικτύων και τους εκάστοτε αρμόδιους Υπουργούς, θέματα στην αρμοδιότητα των οποίων έρχονται προς συζήτηση. Αναπληρωτές ορίζονται οι αντίστοιχοι Γενικοί Γραμματείς των Υπουργείων.</w:t>
      </w:r>
    </w:p>
    <w:p>
      <w:pPr>
        <w:pStyle w:val="StructureList1"/>
        <w:spacing w:before="120" w:after="0"/>
        <w:rPr>
          <w:lang w:val="el" w:eastAsia="el"/>
        </w:rPr>
      </w:pPr>
      <w:r>
        <w:rPr>
          <w:lang w:val="el" w:eastAsia="el"/>
        </w:rPr>
        <w:t>γ)</w:t>
      </w:r>
      <w:r>
        <w:rPr>
          <w:lang w:val="en" w:eastAsia="en"/>
        </w:rPr>
        <w:tab/>
      </w:r>
      <w:r>
        <w:rPr>
          <w:lang w:val="el" w:eastAsia="el"/>
        </w:rPr>
        <w:t>Γραμματέας της Επιτροπής ορίζεται ο υπάλληλος της Κεντρικής Μονάδας Κρατικών Ενισχύσεων.</w:t>
      </w:r>
    </w:p>
    <w:p>
      <w:pPr>
        <w:pStyle w:val="MainText"/>
        <w:spacing w:before="120" w:after="0"/>
        <w:rPr>
          <w:lang w:val="el" w:eastAsia="el"/>
        </w:rPr>
      </w:pPr>
      <w:r>
        <w:rPr>
          <w:b/>
          <w:bCs/>
          <w:lang w:val="el" w:eastAsia="el"/>
        </w:rPr>
        <w:t>2.</w:t>
      </w:r>
      <w:r>
        <w:rPr>
          <w:lang w:val="el" w:eastAsia="el"/>
        </w:rPr>
        <w:t xml:space="preserve"> Έργο της Επιτροπής είναι η διερεύνηση και επίλυση: α) Των θεμάτων κρατικών ενισχύσεων που έχουν σημαντικό αντίκτυπο στην οικονομική δραστηριότητα της Ελληνικής Δημοκρατίας.</w:t>
      </w:r>
    </w:p>
    <w:p>
      <w:pPr>
        <w:pStyle w:val="StructureList1"/>
        <w:spacing w:before="120" w:after="0"/>
        <w:rPr>
          <w:lang w:val="el" w:eastAsia="el"/>
        </w:rPr>
      </w:pPr>
      <w:r>
        <w:rPr>
          <w:lang w:val="el" w:eastAsia="el"/>
        </w:rPr>
        <w:t>β)</w:t>
      </w:r>
      <w:r>
        <w:rPr>
          <w:lang w:val="en" w:eastAsia="en"/>
        </w:rPr>
        <w:tab/>
      </w:r>
      <w:r>
        <w:rPr>
          <w:lang w:val="el" w:eastAsia="el"/>
        </w:rPr>
        <w:t>Των υποθέσεων κρατικών ενισχύσεων όπου υπάρχουν διαφορετικές προσεγγίσεις ανάμεσα στους αρμόδιους φορείς και στην Κεντρική Μονάδα Κρατικών Ενισχύσεων ή/και των αρμόδιων φορέων μεταξύ τους.</w:t>
      </w:r>
    </w:p>
    <w:p>
      <w:pPr>
        <w:pStyle w:val="StructureList1"/>
        <w:spacing w:before="120" w:after="0"/>
        <w:rPr>
          <w:lang w:val="el" w:eastAsia="el"/>
        </w:rPr>
      </w:pPr>
      <w:r>
        <w:rPr>
          <w:lang w:val="el" w:eastAsia="el"/>
        </w:rPr>
        <w:t>γ)</w:t>
      </w:r>
      <w:r>
        <w:rPr>
          <w:lang w:val="en" w:eastAsia="en"/>
        </w:rPr>
        <w:tab/>
      </w:r>
      <w:r>
        <w:rPr>
          <w:lang w:val="el" w:eastAsia="el"/>
        </w:rPr>
        <w:t>Των θεμάτων που αποτελούν αντικείμενο διαπραγμάτευσης σε υψηλό επίπεδο με τα αρμόδια όργανα της Ευρωπαϊκής Επιτροπής.</w:t>
      </w:r>
    </w:p>
    <w:p>
      <w:pPr>
        <w:pStyle w:val="MainText"/>
        <w:spacing w:before="120" w:after="0"/>
        <w:rPr>
          <w:lang w:val="el" w:eastAsia="el"/>
        </w:rPr>
      </w:pPr>
      <w:r>
        <w:rPr>
          <w:b/>
          <w:bCs/>
          <w:lang w:val="el" w:eastAsia="el"/>
        </w:rPr>
        <w:t>3.</w:t>
      </w:r>
      <w:r>
        <w:rPr>
          <w:lang w:val="el" w:eastAsia="el"/>
        </w:rPr>
        <w:t xml:space="preserve"> Η Επιτροπή μπορεί να προσκαλεί κατά περίπτωση εκπροσώπους Δημόσιων Φορέων, Ανεξάρτητων Αρχών και Δημοσίων Επιχειρήσεων, κατά την εξέταση θεμάτων.</w:t>
      </w:r>
    </w:p>
    <w:p>
      <w:pPr>
        <w:pStyle w:val="MainText"/>
        <w:spacing w:before="120" w:after="0"/>
        <w:rPr>
          <w:lang w:val="el" w:eastAsia="el"/>
        </w:rPr>
      </w:pPr>
      <w:r>
        <w:rPr>
          <w:b/>
          <w:bCs/>
          <w:lang w:val="el" w:eastAsia="el"/>
        </w:rPr>
        <w:t>4.</w:t>
      </w:r>
      <w:r>
        <w:rPr>
          <w:lang w:val="el" w:eastAsia="el"/>
        </w:rPr>
        <w:t xml:space="preserve"> Η Επιτροπή συγκαλείται μετά από πρόσκληση του Προϊσταμένου της Κεντρικής Μονάδας Κρατικών Ενισχύσεων ή ενός εκ των μελών της Επιτροπής. Ο προϊστάμενος της Κεντρικής Μονάδας Κρατικών Ενισχύσεων συμμετέχει σε όλες τις συνεδριάσεις της επιτροπής ως εισηγητής χωρίς δικαίωμα ψήφου.</w:t>
      </w:r>
    </w:p>
    <w:p>
      <w:pPr>
        <w:pStyle w:val="MainText"/>
        <w:spacing w:before="120" w:after="0"/>
        <w:rPr>
          <w:lang w:val="el" w:eastAsia="el"/>
        </w:rPr>
      </w:pPr>
      <w:r>
        <w:rPr>
          <w:b/>
          <w:bCs/>
          <w:lang w:val="el" w:eastAsia="el"/>
        </w:rPr>
        <w:t>5.</w:t>
      </w:r>
      <w:r>
        <w:rPr>
          <w:lang w:val="el" w:eastAsia="el"/>
        </w:rPr>
        <w:t xml:space="preserve"> Οι αποφάσεις της Επιτροπής είναι δεσμευτικές για το σύνολο των εμπλεκόμενων φορέων. Τηρούνται γραπτά πρακτικά, στα οποία παρατίθενται αναλυτικά οι λόγοι που οδήγησαν στη λήψη της απόφασης.</w:t>
      </w:r>
    </w:p>
    <w:p>
      <w:pPr>
        <w:spacing w:before="240" w:after="240"/>
        <w:rPr>
          <w:lang w:val="el" w:eastAsia="el"/>
        </w:rPr>
      </w:pPr>
      <w:r>
        <w:rPr>
          <w:lang w:val="el" w:eastAsia="el"/>
        </w:rPr>
        <w:t>Οι αποφάσεις της Επιτροπής λαμβάνονται κατά πλειοψηφία, τηρουμένων των διατάξεων του Κώδικα Διοικητικής Διαδικασίας.</w:t>
      </w:r>
    </w:p>
    <w:p>
      <w:pPr>
        <w:spacing w:before="240" w:after="240"/>
        <w:rPr>
          <w:lang w:val="el" w:eastAsia="el"/>
        </w:rPr>
      </w:pPr>
      <w:r>
        <w:rPr>
          <w:lang w:val="el" w:eastAsia="el"/>
        </w:rPr>
        <w:t>ΥΠΟΠΑΡΑΓΡΑΦΟΣ Β.6.: ΔΙΑΔΙΚΑΣΙΑ ΓΝΩΜΟΔΟΤΗΣΗΣ ΑΠΟ ΤΗΝ ΚΕΝΤΡΙΚΗ ΜΟΝΑΔΑ ΚΡΑΤΙΚΩΝ ΕΝΙΣΧΥΣΕΩΝ</w:t>
      </w:r>
    </w:p>
    <w:p>
      <w:pPr>
        <w:spacing w:before="240" w:after="240"/>
        <w:rPr>
          <w:lang w:val="el" w:eastAsia="el"/>
        </w:rPr>
      </w:pPr>
      <w:r>
        <w:rPr>
          <w:lang w:val="el" w:eastAsia="el"/>
        </w:rPr>
        <w:t>Τα σχέδια, τα οποία μπορεί να περιέχουν μεταφορά και διάθεση κρατικών πόρων προς δημόσιους ή ιδιωτικούς φορείς, που ασκούν οικονομική δραστηριότητα, συ</w:t>
      </w:r>
      <w:r>
        <w:rPr>
          <w:lang w:val="el" w:eastAsia="el"/>
        </w:rPr>
        <w:softHyphen/>
        <w:t>μπεριλαμβανομένων εγγυήσεων, χορηγήσεων, εκχωρήσεων, φορολογικών και άλλων απαλλαγών, αποκρατικοποιήσεων, επενδύσεων, υπόκεινται σε αναλυτικό έλεγχο για πιθανή ύπαρξη κρατικών ενισχύσεων.</w:t>
      </w:r>
    </w:p>
    <w:p>
      <w:pPr>
        <w:spacing w:before="240" w:after="240"/>
        <w:rPr>
          <w:lang w:val="el" w:eastAsia="el"/>
        </w:rPr>
      </w:pPr>
      <w:r>
        <w:rPr>
          <w:lang w:val="el" w:eastAsia="el"/>
        </w:rPr>
        <w:t>Η διαδικασία γνωμοδότησης από την Κεντρική Μονάδα Κρατικών Ενισχύσεων είναι η εξής:</w:t>
      </w:r>
    </w:p>
    <w:p>
      <w:pPr>
        <w:pStyle w:val="MainText"/>
        <w:spacing w:before="120" w:after="0"/>
        <w:rPr>
          <w:lang w:val="el" w:eastAsia="el"/>
        </w:rPr>
      </w:pPr>
      <w:r>
        <w:rPr>
          <w:b/>
          <w:bCs/>
          <w:lang w:val="el" w:eastAsia="el"/>
        </w:rPr>
        <w:t>1.</w:t>
      </w:r>
      <w:r>
        <w:rPr>
          <w:lang w:val="el" w:eastAsia="el"/>
        </w:rPr>
        <w:t xml:space="preserve"> Η χορηγούσα αρχή ετοιμάζει το προσχέδιο και το υποβάλει για εξέταση στην Αποκεντρωμένη Μονάδα Κρατικών Ενισχύσεων, στην οποία υπόκειται.</w:t>
      </w:r>
    </w:p>
    <w:p>
      <w:pPr>
        <w:pStyle w:val="MainText"/>
        <w:spacing w:before="120" w:after="0"/>
        <w:rPr>
          <w:lang w:val="el" w:eastAsia="el"/>
        </w:rPr>
      </w:pPr>
      <w:r>
        <w:rPr>
          <w:b/>
          <w:bCs/>
          <w:lang w:val="el" w:eastAsia="el"/>
        </w:rPr>
        <w:t>2.</w:t>
      </w:r>
      <w:r>
        <w:rPr>
          <w:lang w:val="el" w:eastAsia="el"/>
        </w:rPr>
        <w:t xml:space="preserve"> Η Αποκεντρωμένη Μονάδα διενεργεί εντός είκοσι εργάσιμων ημερών προκαταρκτικό έλεγχο για την ύπαρξη κρατικών ενισχύσεων. Κατά τον έλεγχο, συμπληρώ</w:t>
      </w:r>
      <w:r>
        <w:rPr>
          <w:lang w:val="el" w:eastAsia="el"/>
        </w:rPr>
        <w:softHyphen/>
        <w:t>νεται αντίστοιχο ερωτηματολόγιο κατά το πρότυπο των ερωτηματολογίων της Ε. Ε. που εκπονείται από το Κέντρο Διεθνούς και Ευρωπαϊκού Οικονομικού Δικαίου (ΚΔΕΟΔ) σε συνεργασία με την Κεντρική Μονάδα Κρατικών Ενισχύσεων.</w:t>
      </w:r>
    </w:p>
    <w:p>
      <w:pPr>
        <w:pStyle w:val="MainText"/>
        <w:spacing w:before="120" w:after="0"/>
        <w:rPr>
          <w:lang w:val="el" w:eastAsia="el"/>
        </w:rPr>
      </w:pPr>
      <w:r>
        <w:rPr>
          <w:b/>
          <w:bCs/>
          <w:lang w:val="el" w:eastAsia="el"/>
        </w:rPr>
        <w:t>3.</w:t>
      </w:r>
      <w:r>
        <w:rPr>
          <w:lang w:val="el" w:eastAsia="el"/>
        </w:rPr>
        <w:t xml:space="preserve"> Τα σχέδια, νομοθετικής ή διοικητικής φύσης, τα οποία μπορεί να περιέχουν άμεση ή έμμεση κρατική ενίσχυση υποβάλλονται για γνωμοδότηση στην Κεντρική Μονάδα Κρατικών Ενισχύσεων, προ της υπογραφής τους από το αρμόδιο όργανο ή της ψήφισής τους από το Κοινοβούλιο.</w:t>
      </w:r>
    </w:p>
    <w:p>
      <w:pPr>
        <w:pStyle w:val="MainText"/>
        <w:spacing w:before="120" w:after="0"/>
        <w:rPr>
          <w:lang w:val="el" w:eastAsia="el"/>
        </w:rPr>
      </w:pPr>
      <w:r>
        <w:rPr>
          <w:b/>
          <w:bCs/>
          <w:lang w:val="el" w:eastAsia="el"/>
        </w:rPr>
        <w:t>4.</w:t>
      </w:r>
      <w:r>
        <w:rPr>
          <w:lang w:val="el" w:eastAsia="el"/>
        </w:rPr>
        <w:t xml:space="preserve"> Ανάλογα με την περίπτωση, η Κεντρική Μονάδα αποφασίζει και ενεργεί ως εξής:</w:t>
      </w:r>
    </w:p>
    <w:p>
      <w:pPr>
        <w:pStyle w:val="StructureList1"/>
        <w:spacing w:before="120" w:after="0"/>
        <w:rPr>
          <w:lang w:val="el" w:eastAsia="el"/>
        </w:rPr>
      </w:pPr>
      <w:r>
        <w:rPr>
          <w:lang w:val="el" w:eastAsia="el"/>
        </w:rPr>
        <w:t>α)</w:t>
      </w:r>
      <w:r>
        <w:rPr>
          <w:lang w:val="en" w:eastAsia="en"/>
        </w:rPr>
        <w:tab/>
      </w:r>
      <w:r>
        <w:rPr>
          <w:lang w:val="el" w:eastAsia="el"/>
        </w:rPr>
        <w:t>Αν το σχέδιο δεν περιέχει κρατική ενίσχυση, η Κεντρική Μονάδα Κρατικών Ενισχύσεων εκφράζει προ της υιοθέτησης του σχεδίου, έγγραφη θετική γνώμη εντός είκοσι εργάσιμων ημερών, η οποία προσαρτάται και συνοδεύει το σχέδιο. Με τη θετική γνώμη, το σχέδιο υιοθετείται.</w:t>
      </w:r>
    </w:p>
    <w:p>
      <w:pPr>
        <w:pStyle w:val="StructureList1"/>
        <w:spacing w:before="120" w:after="0"/>
        <w:rPr>
          <w:lang w:val="el" w:eastAsia="el"/>
        </w:rPr>
      </w:pPr>
      <w:r>
        <w:rPr>
          <w:lang w:val="el" w:eastAsia="el"/>
        </w:rPr>
        <w:t>β)</w:t>
      </w:r>
      <w:r>
        <w:rPr>
          <w:lang w:val="en" w:eastAsia="en"/>
        </w:rPr>
        <w:tab/>
      </w:r>
      <w:r>
        <w:rPr>
          <w:lang w:val="el" w:eastAsia="el"/>
        </w:rPr>
        <w:t>Αν το σχέδιο εμπεριέχει στοιχεία κρατικών ενισχύσεων, η Κεντρική Μονάδα Κρατικών Ενισχύσεων γνωμοδοτεί προς τη χορηγούσα αρχή, μέσω των Αποκεντρωμένων Μονάδων, ως προς απαιτούμενες βελτιώσεις προκειμένου το μέτρο να είναι συμβατό με τους κανόνες κρατικών ενισχύσεων, όπως αυτοί διαμορφώνονται από την Επιτροπή. Εάν κριθεί αναγκαίο, το σχέδιο κοινοποιείται στην Επιτροπή σύμφωνα με το άρθρο 108 της ΣΛΕΕ.</w:t>
      </w:r>
    </w:p>
    <w:p>
      <w:pPr>
        <w:pStyle w:val="MainText"/>
        <w:spacing w:before="120" w:after="0"/>
        <w:rPr>
          <w:lang w:val="el" w:eastAsia="el"/>
        </w:rPr>
      </w:pPr>
      <w:r>
        <w:rPr>
          <w:b/>
          <w:bCs/>
          <w:lang w:val="el" w:eastAsia="el"/>
        </w:rPr>
        <w:t>5.</w:t>
      </w:r>
      <w:r>
        <w:rPr>
          <w:lang w:val="el" w:eastAsia="el"/>
        </w:rPr>
        <w:t xml:space="preserve"> Ένα σχέδιο δεν μπορεί να υλοποιηθεί χωρίς τη θετική γνώμη της Κεντρικής Μονάδας Κρατικών Ενισχύσεων. Σε περίπτωση διαφωνίας μεταξύ της Κεντρικής Μονάδας και της χορηγούσας αρχής, η υπόθεση παραπέμπεται στη Διυπουργική Επιτροπή, σύμφωνα με τα όσα ορίζονται στην υποπαράγραφο Β.5.</w:t>
      </w:r>
    </w:p>
    <w:p>
      <w:pPr>
        <w:pStyle w:val="MainText"/>
        <w:spacing w:before="120" w:after="0"/>
        <w:rPr>
          <w:lang w:val="el" w:eastAsia="el"/>
        </w:rPr>
      </w:pPr>
      <w:r>
        <w:rPr>
          <w:b/>
          <w:bCs/>
          <w:lang w:val="el" w:eastAsia="el"/>
        </w:rPr>
        <w:t>6.</w:t>
      </w:r>
      <w:r>
        <w:rPr>
          <w:lang w:val="el" w:eastAsia="el"/>
        </w:rPr>
        <w:t xml:space="preserve"> Σε περίπτωση που θεσπιστεί ρύθμιση η οποία δεν έχει υποβληθεί στη Μονάδα Κρατικών Ενισχύσεων, η Μονάδα Κρατικών Ενισχύσεων ενημερώνει σχετικά τον αρ</w:t>
      </w:r>
      <w:r>
        <w:rPr>
          <w:lang w:val="el" w:eastAsia="el"/>
        </w:rPr>
        <w:softHyphen/>
        <w:t>μόδιο φορέα, ο οποίος οφείλει να απόσχει από την υλοποίηση του μέτρου, μέχρι την έκδοση γνώμης.</w:t>
      </w:r>
    </w:p>
    <w:p>
      <w:pPr>
        <w:pStyle w:val="MainText"/>
        <w:spacing w:before="120" w:after="0"/>
        <w:rPr>
          <w:lang w:val="el" w:eastAsia="el"/>
        </w:rPr>
      </w:pPr>
      <w:r>
        <w:rPr>
          <w:b/>
          <w:bCs/>
          <w:lang w:val="el" w:eastAsia="el"/>
        </w:rPr>
        <w:t>7.</w:t>
      </w:r>
      <w:r>
        <w:rPr>
          <w:lang w:val="el" w:eastAsia="el"/>
        </w:rPr>
        <w:t xml:space="preserve"> Οι αποφάσεις μεταφοράς κρατικών πόρων συνυπογράφονται από τον Υπουργό Οικονομικών, ύστερα από γνώμη της Μονάδας Κρατικών Ενισχύσεων.</w:t>
      </w:r>
    </w:p>
    <w:p>
      <w:pPr>
        <w:spacing w:before="240" w:after="240"/>
        <w:rPr>
          <w:lang w:val="el" w:eastAsia="el"/>
        </w:rPr>
      </w:pPr>
      <w:r>
        <w:rPr>
          <w:lang w:val="el" w:eastAsia="el"/>
        </w:rPr>
        <w:t>ΥΠΟΠΑΡΑΓΡΑΦΟΣ Β.7.: ΥΠΟΣΤΗΡΙΞΗ ΑΠΟ ΚΔΕΟΔ</w:t>
      </w:r>
    </w:p>
    <w:p>
      <w:pPr>
        <w:spacing w:before="240" w:after="240"/>
        <w:rPr>
          <w:lang w:val="el" w:eastAsia="el"/>
        </w:rPr>
      </w:pPr>
      <w:r>
        <w:rPr>
          <w:lang w:val="el" w:eastAsia="el"/>
        </w:rPr>
        <w:t>Όλα τα στάδια της διαδικασίας των υποπαραγράφων Β.2., Β.4. και Β.6. του παρόντος νόμου συνεπικουρούνται από τη Μονάδα Κρατικών Ενισχύσεων του ΚΔΕΟΔ, η οποία υποχρεούται να εξετάζει κατά προτεραιότητα τα θέματα που της υποβάλλονται από την Κεντρική και τις Αποκεντρωμένες Μονάδες Κρατικών Ενισχύσεων.</w:t>
      </w:r>
    </w:p>
    <w:p>
      <w:pPr>
        <w:spacing w:before="240" w:after="240"/>
        <w:rPr>
          <w:lang w:val="el" w:eastAsia="el"/>
        </w:rPr>
      </w:pPr>
      <w:r>
        <w:rPr>
          <w:lang w:val="el" w:eastAsia="el"/>
        </w:rPr>
        <w:t>ΥΠΟΠΑΡΑΓΡΑΦΟΣ Β.8.: ΚΕΝΤΡΙΚΟ ΠΛΗΡΟΦΟΡΙΑΚΟ ΣΥΣΤΗΜΑ ΚΡΑΤΙΚΩΝ ΕΝΙΣΧΥΣΕΩΝ</w:t>
      </w:r>
    </w:p>
    <w:p>
      <w:pPr>
        <w:pStyle w:val="MainText"/>
        <w:spacing w:before="120" w:after="0"/>
        <w:rPr>
          <w:lang w:val="el" w:eastAsia="el"/>
        </w:rPr>
      </w:pPr>
      <w:r>
        <w:rPr>
          <w:b/>
          <w:bCs/>
          <w:lang w:val="el" w:eastAsia="el"/>
        </w:rPr>
        <w:t>1.</w:t>
      </w:r>
      <w:r>
        <w:rPr>
          <w:lang w:val="el" w:eastAsia="el"/>
        </w:rPr>
        <w:t xml:space="preserve"> Δημιουργείται Κεντρικό Πληροφοριακό Σύστημα Κρατικών Ενισχύσεων, στο οποίο θα συνδεθούν όλα τα υφιστάμενα, καθώς και τα υπό προκήρυξη περιφερειακά συστήματα του δικτύου των Αποκεντρωμένων Μονάδων Κρατικών Ενισχύσεων.</w:t>
      </w:r>
    </w:p>
    <w:p>
      <w:pPr>
        <w:pStyle w:val="MainText"/>
        <w:spacing w:before="120" w:after="0"/>
        <w:rPr>
          <w:lang w:val="el" w:eastAsia="el"/>
        </w:rPr>
      </w:pPr>
      <w:r>
        <w:rPr>
          <w:b/>
          <w:bCs/>
          <w:lang w:val="el" w:eastAsia="el"/>
        </w:rPr>
        <w:t>2.</w:t>
      </w:r>
      <w:r>
        <w:rPr>
          <w:lang w:val="el" w:eastAsia="el"/>
        </w:rPr>
        <w:t xml:space="preserve"> Το Κεντρικό Πληροφοριακό Σύστημα θα περιλαμβάνει όλες τις κρατικές ενισχύσεις, που έχουν δοθεί στην ελληνική επικράτεια κατόπιν εγκριτικής απόφασης της ΕΕ, τις ενισχύσεις που έχουν δοθεί βάσει του κανονισμού 1998/2006 (L 379/5 EL της 28.12.2006), καθώς και αυτές του Γενικού Απαλλακτικού Κανονισμού 800/2008 (L 214/3 EL της 9.8.2008).</w:t>
      </w:r>
    </w:p>
    <w:p>
      <w:pPr>
        <w:pStyle w:val="MainText"/>
        <w:spacing w:before="120" w:after="0"/>
        <w:rPr>
          <w:lang w:val="el" w:eastAsia="el"/>
        </w:rPr>
      </w:pPr>
      <w:r>
        <w:rPr>
          <w:b/>
          <w:bCs/>
          <w:lang w:val="el" w:eastAsia="el"/>
        </w:rPr>
        <w:t>3.</w:t>
      </w:r>
      <w:r>
        <w:rPr>
          <w:lang w:val="el" w:eastAsia="el"/>
        </w:rPr>
        <w:t xml:space="preserve"> Για τον καθορισμό των τεχνικών προδιαγραφών συγκροτείται με απόφαση του Υπουργού Οικονομικών Ομάδα Διοίκησης Έργου με αντικείμενο το σχεδιασμό, υλοποίηση, υποστήριξη και διαχείριση του Πληροφοριακού Συστήματος.</w:t>
      </w:r>
    </w:p>
    <w:p>
      <w:pPr>
        <w:spacing w:before="240" w:after="240"/>
        <w:rPr>
          <w:lang w:val="el" w:eastAsia="el"/>
        </w:rPr>
      </w:pPr>
      <w:r>
        <w:rPr>
          <w:lang w:val="el" w:eastAsia="el"/>
        </w:rPr>
        <w:t>ΥΠΟΠΑΡΑΓΡΑΦΟΣ Β.9.: ΕΦΑΡΜΟΓΗ ΤΗΣ ΥΠΟΧΡΕΩΣΗΣ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Η Κεντρική Μονάδα Κρατικών Ενισχύσεων σε συνεργασία με τις Αποκεντρωμένες Μονάδες είναι υπεύθυνη για την εφαρμογή των αποφάσεων που αφορούν ανάκτηση παράνομων κρατικών ενισχύσεων.</w:t>
      </w:r>
    </w:p>
    <w:p>
      <w:pPr>
        <w:spacing w:before="240" w:after="240"/>
        <w:rPr>
          <w:lang w:val="el" w:eastAsia="el"/>
        </w:rPr>
      </w:pPr>
      <w:r>
        <w:rPr>
          <w:lang w:val="el" w:eastAsia="el"/>
        </w:rPr>
        <w:t>Ειδικότερα:</w:t>
      </w:r>
    </w:p>
    <w:p>
      <w:pPr>
        <w:spacing w:before="240" w:after="240"/>
        <w:rPr>
          <w:lang w:val="el" w:eastAsia="el"/>
        </w:rPr>
      </w:pPr>
      <w:r>
        <w:rPr>
          <w:lang w:val="el" w:eastAsia="el"/>
        </w:rPr>
        <w:t>α. Σε περίπτωση που η απόφαση της Ε.Ε. δεν περιέχει αναλυτικές πληροφορίες για την ταυτότητα των αποδεκτών ούτε για τα ποσά της ενίσχυσης που πρέπει να ανακτηθούν, η Κεντρική Μονάδα συντονίζει και καθοδηγεί τις Αποκεντρωμένες Μονάδες, οι οποίες προσδιορίζουν χωρίς καθυστέρηση τις επιχειρήσεις που αφορά η απόφαση, καθώς και το ακριβές ποσό της ενίσχυσης που πρέπει να ανακτηθεί από κάθε επιχείρηση (C 272/05 EL της 15.11.2007 Ανακοίνωσης της Ευρωπαϊκής Επιτροπής για αποτελεσματική εφαρμογή των ανακτήσεων).</w:t>
      </w:r>
    </w:p>
    <w:p>
      <w:pPr>
        <w:spacing w:before="240" w:after="240"/>
        <w:rPr>
          <w:lang w:val="el" w:eastAsia="el"/>
        </w:rPr>
      </w:pPr>
      <w:r>
        <w:rPr>
          <w:lang w:val="el" w:eastAsia="el"/>
        </w:rPr>
        <w:t>β. Η Κεντρική Μονάδα συντονίζει τις ενέργειες της Ελληνικής Δημοκρατίας σχετικά με την ανάκτηση της ενίσχυσης από τους τελικούς αποδέκτες σύμφωνα με οριζόμενα στο άρθρο 14 παρ. 1 του υπ΄ αριθμ. 659/1999 Διαδικαστικού Κανονισμού της Ευρωπαϊκής Επιτροπής για τη θέσπιση λεπτομερών κανόνων εφαρμογής του άρθρου 108 της ΣΛΕΕ όπως ισχύει.</w:t>
      </w:r>
    </w:p>
    <w:p>
      <w:pPr>
        <w:spacing w:before="240" w:after="240"/>
        <w:rPr>
          <w:lang w:val="el" w:eastAsia="el"/>
        </w:rPr>
      </w:pPr>
      <w:r>
        <w:rPr>
          <w:lang w:val="el" w:eastAsia="el"/>
        </w:rPr>
        <w:t>γ. Η Κεντρική Μονάδα είναι το κεντρικό σημείο επαφής με την Ε.Ε. αναφορικά με την εφαρμογή της ανάκτησης. Σε περίπτωση δυσκολιών, ενημερώνει την Επιτροπή προτείνοντας απαραίτητες ρυθμίσεις για την εφαρμογή της απόφασης.</w:t>
      </w:r>
    </w:p>
    <w:p>
      <w:pPr>
        <w:spacing w:before="240" w:after="240"/>
        <w:rPr>
          <w:lang w:val="el" w:eastAsia="el"/>
        </w:rPr>
      </w:pPr>
      <w:r>
        <w:rPr>
          <w:lang w:val="el" w:eastAsia="el"/>
        </w:rPr>
        <w:t>δ. Η Κεντρική Μονάδα συμβουλεύει τις αποκεντρωμένες Μονάδες ως προς τον υπολογισμό των τόκων της ανάκτησης, χρησιμοποιώντας το επιτόκιο αναφοράς και τη μέθοδο ανατοκισμού όπως αυτή έχει προσδιοριστεί στο Κεφάλαιο V του Κανονισμού ΕΚ 794/2004 και υπολογίζονται από την ημερομηνία κατά την οποία η ενίσχυση τέθηκε στη διάθεση του δικαιούχου μέχρι την πραγματική της επιστροφή. Επίσης, ελέγχει τα τελικά ποσά πριν τα υποβάλει στην Ευρωπαϊκή Επιτροπή.</w:t>
      </w:r>
    </w:p>
    <w:p>
      <w:pPr>
        <w:pStyle w:val="MainText"/>
        <w:spacing w:before="120" w:after="0"/>
        <w:rPr>
          <w:lang w:val="el" w:eastAsia="el"/>
        </w:rPr>
      </w:pPr>
      <w:r>
        <w:rPr>
          <w:b/>
          <w:bCs/>
          <w:lang w:val="el" w:eastAsia="el"/>
        </w:rPr>
        <w:t>2.</w:t>
      </w:r>
      <w:r>
        <w:rPr>
          <w:lang w:val="el" w:eastAsia="el"/>
        </w:rPr>
        <w:t xml:space="preserve"> Οι Αποκεντρωμένες Μονάδες:</w:t>
      </w:r>
    </w:p>
    <w:p>
      <w:pPr>
        <w:spacing w:before="240" w:after="240"/>
        <w:rPr>
          <w:lang w:val="el" w:eastAsia="el"/>
        </w:rPr>
      </w:pPr>
      <w:r>
        <w:rPr>
          <w:lang w:val="el" w:eastAsia="el"/>
        </w:rPr>
        <w:t>α. Παρέχουν στην Κεντρική Μονάδα τις απαραίτητες πληροφορίες για τον προσδιορισμό των τελικών αποδεκτών της ενίσχυσης και υπολογίζουν το προς ανάκτηση (κατά το μέρος που τα παραπάνω δεν προσδιορίζονται στην απόφαση της Ε.Ε).</w:t>
      </w:r>
    </w:p>
    <w:p>
      <w:pPr>
        <w:spacing w:before="240" w:after="240"/>
        <w:rPr>
          <w:lang w:val="el" w:eastAsia="el"/>
        </w:rPr>
      </w:pPr>
      <w:r>
        <w:rPr>
          <w:lang w:val="el" w:eastAsia="el"/>
        </w:rPr>
        <w:t>β. Παίρνουν όλα τα απαραίτητα μέτρα για την εφαρμογή της ανάκτησης, σε συνεργασία και συμφωνία με τις οδηγίες της Κεντρικής Μονάδας.</w:t>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Με την ενημέρωσή της για απόφαση της Ευρωπαϊκής Επιτροπής που αφορά ανάκτηση από την Ελληνική Δημοκρατία παράνομων κρατικών ενισχύσεων, η Κεντρική Μονάδα έρχεται σε επαφή με τη χορηγούσα αρχή, ώστε να συλλέξει όλη την απαραίτητη πληροφόρηση.</w:t>
      </w:r>
    </w:p>
    <w:p>
      <w:pPr>
        <w:pStyle w:val="MainText"/>
        <w:spacing w:before="120" w:after="0"/>
        <w:rPr>
          <w:lang w:val="el" w:eastAsia="el"/>
        </w:rPr>
      </w:pPr>
      <w:r>
        <w:rPr>
          <w:b/>
          <w:bCs/>
          <w:lang w:val="el" w:eastAsia="el"/>
        </w:rPr>
        <w:t>2.</w:t>
      </w:r>
      <w:r>
        <w:rPr>
          <w:lang w:val="el" w:eastAsia="el"/>
        </w:rPr>
        <w:t xml:space="preserve"> Η Κεντρική Μονάδα συμβουλεύει τις Αποκεντρωμένες Μονάδες στον προσδιορισμό των ωφελούμενων από την ενίσχυση φορέων, των ποσών των ενισχύσεων, αν αυτά δεν προσδιορίζονται στην απόφαση ανάκτησης της Ευρωπαϊκής Επιτροπής, και των αναλογούντων τόκων. Επίσης, προσδιορίζει τις ενέργειες που θα οδηγήσουν στην ανάκτηση και ζητά από τις Αποκεντρωμένες Μονάδες να τις υιοθετήσει άμεσα. Οι Αποκεντρωμένες Μονάδες υποχρεούνται να εφαρμόσουν τις ενέργειες αυτές μέσα στην οριζόμενη προθεσμία και να αναφέρουν τα αποτελέσματα στην Κεντρική Μονάδα.</w:t>
      </w:r>
    </w:p>
    <w:p>
      <w:pPr>
        <w:spacing w:before="240" w:after="240"/>
        <w:rPr>
          <w:lang w:val="el" w:eastAsia="el"/>
        </w:rPr>
      </w:pPr>
      <w:r>
        <w:rPr>
          <w:lang w:val="el" w:eastAsia="el"/>
        </w:rPr>
        <w:t>Η Κεντρική Μονάδα ενημερώνει την Ευρωπαϊκή Επιτροπή για τις ενέργειες και τα μέτρα που έχουν ληφθεί για την ανάκτηση της παράνομης κρατικής ενίσχυσης και συνεχίζει την τακτική ενημέρωση για την πορεία της ανάκτησης.</w:t>
      </w:r>
    </w:p>
    <w:p>
      <w:pPr>
        <w:pStyle w:val="MainText"/>
        <w:spacing w:before="120" w:after="0"/>
        <w:rPr>
          <w:lang w:val="el" w:eastAsia="el"/>
        </w:rPr>
      </w:pPr>
      <w:r>
        <w:rPr>
          <w:b/>
          <w:bCs/>
          <w:lang w:val="el" w:eastAsia="el"/>
        </w:rPr>
        <w:t>3.</w:t>
      </w:r>
      <w:r>
        <w:rPr>
          <w:lang w:val="el" w:eastAsia="el"/>
        </w:rPr>
        <w:t xml:space="preserve"> Οι ωφελούμενοι από παράνομη κρατική ενίσχυση είναι υποχρεωμένοι να επιστρέψουν το ποσό με τους αναλογούντες τόκους, σύμφωνα με τις διαδικασίες που ορίζονται από το Ν. 4002/2011 όπως κάθε φορά ισχύει, υπό την προϋπόθεση ότι εξασφαλίζεται η άμεση και αποτελεσματική εφαρμογή των διατάξεων της παραγράφου 3 του άρθρου 14 του υπ΄ αριθμ. 659/1999 Διαδικαστικού Κανονισμού της Ευρωπαϊκής Επιτροπής για τη θέσπιση λεπτομερών κανόνων εφαρμογής του άρθρου 108 της ΣΛΕΕ, όπως ισχύει (L 83 EL της 27.3.1999).</w:t>
      </w:r>
    </w:p>
    <w:p>
      <w:pPr>
        <w:spacing w:before="240" w:after="240"/>
        <w:rPr>
          <w:lang w:val="el" w:eastAsia="el"/>
        </w:rPr>
      </w:pPr>
      <w:r>
        <w:rPr>
          <w:lang w:val="el" w:eastAsia="el"/>
        </w:rPr>
        <w:t>Κατ' εξαίρεση, όταν η ανάκτηση αφορά κρατική ενίσχυση που έχει χορηγηθεί σε παραλήπτες που δραστηριοποιούνται σε παραμεθόριες περιοχές της Ελλάδας, λαμβάνεται ειδική μέριμνα για τις συγκεκριμένες προϋποθέσεις που αφορούν στους παραλήπτες αυτούς, κατά τη διάρκεια της διαδικασίας έκδοσης απόφασης ανάκτησης της Ευρωπαϊκής Επιτροπής, σύμφωνα με τις γενικές αρχές του δικαίου της Ευρωπαϊκής Ένωσης.</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lang w:val="el" w:eastAsia="el"/>
        </w:rPr>
        <w:t xml:space="preserve"> Αναστέλλεται η χορήγηση κάθε συμβιβάσιμης ενίσχυσης σε οποιονδήποτε αποδέκτη οφείλει να επιστρέψει παράνομη και ασυμβίβαστη ενίσχυση που υπόκειται σε προηγούμενη απόφαση ανάκτησης μέχρις ότου ο εν λόγω αποδέκτης έχει επιστρέψει την παλαιά παράνομη και ασυμβίβαστη ενίσχυση.</w:t>
      </w:r>
    </w:p>
    <w:p>
      <w:pPr>
        <w:pStyle w:val="MainText"/>
        <w:spacing w:before="120" w:after="0"/>
        <w:rPr>
          <w:lang w:val="el" w:eastAsia="el"/>
        </w:rPr>
      </w:pPr>
      <w:r>
        <w:rPr>
          <w:b/>
          <w:bCs/>
          <w:lang w:val="el" w:eastAsia="el"/>
        </w:rPr>
        <w:t>5.</w:t>
      </w:r>
      <w:r>
        <w:rPr>
          <w:lang w:val="el" w:eastAsia="el"/>
        </w:rPr>
        <w:t xml:space="preserve"> Σε περίπτωση εταιρειών σε καθεστώς πτώχευσης, οι Αποκεντρωμένες Μονάδες, υποβοηθούμενες από την Κεντρική Μονάδα, διασφαλίζουν ότι τα ποσά της ανάκτησης εγγράφονται στον πίνακα των απαιτήσεων σύμφωνα με τα προβλεπόμενα στον Πτωχευτικό Κώδικα, ο οποίος κυρώθηκε με το Ν. 3588/2007 (Α΄ 153), όπως αυτός ισχύει, άρθρο 135 επόμενα.</w:t>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Το άρθρο 22 του Ν. 4002/2011 (Α΄ 180) τροποποιείται ως εξής:</w:t>
      </w:r>
    </w:p>
    <w:p>
      <w:pPr>
        <w:spacing w:before="240" w:after="240"/>
        <w:rPr>
          <w:lang w:val="el" w:eastAsia="el"/>
        </w:rPr>
      </w:pPr>
      <w:r>
        <w:rPr>
          <w:lang w:val="el" w:eastAsia="el"/>
        </w:rPr>
        <w:t>α. Στην περίπτωση β΄ της παραγράφου 1 του άρθρου 22 οι λέξεις «καθώς και ο τρόπος καταβολής (εφάπαξ ή δόσεις, ημερομηνία καταβολής)» αντικαθίστανται με τις λέξεις «καθώς και ο χρόνος καταβολής που δεν μπορεί να υπερβαίνει την προθεσμία ανάκτησης που τίθεται στην απόφαση της παραγράφου 1.».</w:t>
      </w:r>
    </w:p>
    <w:p>
      <w:pPr>
        <w:spacing w:before="240" w:after="240"/>
        <w:rPr>
          <w:lang w:val="el" w:eastAsia="el"/>
        </w:rPr>
      </w:pPr>
      <w:r>
        <w:rPr>
          <w:lang w:val="el" w:eastAsia="el"/>
        </w:rPr>
        <w:t>β. Στην παράγραφο 3 του άρθρου 22 οι λέξεις «για τη σύνταξη και αποστολή του χρηματικού καταλόγου στην αρμόδια ΔΟΥ» αντικαθίστανται με τις λέξεις «κατά την έννοια των περιπτώσεων α΄ και β΄ της παραγράφου 1» και προστίθεται εδάφιο ως εξής:</w:t>
      </w:r>
    </w:p>
    <w:p>
      <w:pPr>
        <w:spacing w:before="240" w:after="240"/>
        <w:rPr>
          <w:lang w:val="el" w:eastAsia="el"/>
        </w:rPr>
      </w:pPr>
      <w:r>
        <w:rPr>
          <w:lang w:val="el" w:eastAsia="el"/>
        </w:rPr>
        <w:t>«Αν η ανακτητέα κρατική ενίσχυση αφορά περισσότερες της μίας δραστηριότητες που εμπίπτουν στην αρμοδιότητα περισσοτέρων υπηρεσιών, αρμόδια είναι η υπηρεσία που εποπτεύει την κύρια δραστηριότητα του νομικού προσώπου.»</w:t>
      </w:r>
    </w:p>
    <w:p>
      <w:pPr>
        <w:spacing w:before="240" w:after="240"/>
        <w:rPr>
          <w:lang w:val="el" w:eastAsia="el"/>
        </w:rPr>
      </w:pPr>
      <w:r>
        <w:rPr>
          <w:lang w:val="el" w:eastAsia="el"/>
        </w:rPr>
        <w:t>ΥΠΟΠΑΡΑΓΡΑΦΟΣ Β.11.: ΤΕΛΙΚΕΣ ΜΕΤΑΒΑΤΙΚΕΣ ΔΙΑΤΑΞΕΙΣ</w:t>
      </w:r>
    </w:p>
    <w:p>
      <w:pPr>
        <w:spacing w:before="240" w:after="240"/>
        <w:rPr>
          <w:lang w:val="el" w:eastAsia="el"/>
        </w:rPr>
      </w:pPr>
      <w:r>
        <w:rPr>
          <w:lang w:val="el" w:eastAsia="el"/>
        </w:rPr>
        <w:t>Η στελέχωση της Μονάδας Κρατικών Ενισχύσεων όπως αυτή προβλέπεται στο άρθρο 26 του παρόντος νόμου ολοκληρώνεται εντός προθεσμίας 3 μηνών από τη δημοσίευση του παρόντος. Μέχρι την ολοκλήρωση της στελέχωσης αυτής, οι σχετικές με τις κρατικές ενισχύσεις αρμοδιότητες της Διεύθυνσης Ευρωπαϊκής Ένωσης της Γενικής Διεύθυνσης Οικονομικής Πολιτικής του Υπουργείου Οικονομικών εξακολουθούν να ασκούνται από αυτή στη συνέχεια οι αρμοδιότητες αυτές μεταφέρονται στην Κεντρική Μονάδα Κρατικών Ενισχύσεων της υποπαραγράφου Β.2. του παρόντος νόμου.</w:t>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p>
    <w:p>
      <w:pPr>
        <w:spacing w:before="240" w:after="240"/>
        <w:rPr>
          <w:lang w:val="el" w:eastAsia="el"/>
        </w:rPr>
      </w:pPr>
      <w:r>
        <w:rPr>
          <w:lang w:val="el" w:eastAsia="el"/>
        </w:rPr>
        <w:t>Για τους σκοπούς της παραγράφου Γ του παρόντος νόμου ισχύουν οι ακόλουθοι ορισμοί:</w:t>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υποπαραγράφου Γ.2. του παρόντος νόμου και έχει καταχωρηθεί στο Μητρώο Πιστοποιημένων Εκτιμητών του Υπουργείου Οικονομικών, που προβλέπεται στο ίδιο άρθρο.</w:t>
      </w:r>
    </w:p>
    <w:p>
      <w:pPr>
        <w:spacing w:before="240" w:after="240"/>
        <w:rPr>
          <w:lang w:val="el" w:eastAsia="el"/>
        </w:rPr>
      </w:pPr>
      <w:r>
        <w:rPr>
          <w:lang w:val="el" w:eastAsia="el"/>
        </w:rPr>
        <w:t>«Αρμόδια Διοικητική Αρχή »: Ορίζεται η Διεύθυνση Τομέων Παραγωγής της Γενικής Διεύθυνσης Οικονομικής Πολιτικής του Υπουργείου Οικονομικών.</w:t>
      </w:r>
    </w:p>
    <w:p>
      <w:pPr>
        <w:spacing w:before="240" w:after="240"/>
        <w:rPr>
          <w:lang w:val="el" w:eastAsia="el"/>
        </w:rPr>
      </w:pPr>
      <w:r>
        <w:rPr>
          <w:lang w:val="el" w:eastAsia="el"/>
        </w:rPr>
        <w:t>ΥΠΟΠΑΡΑΓΡΑΦΟΣ Γ.2.: ΕΓΓΡΑΦΗ ΣΤΟ ΜΗΤΡΩΟ</w:t>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ασκείται ελεύθερα μετά πάροδο τριμήνου από την αναγγελία έναρξής του στην Αρμόδια Διοικητική Αρχή και την εγγραφή του πιστοποιημένου εκτιμητή στο Μητρώο Πιστοποιημένων Εκτιμητών.</w:t>
      </w:r>
    </w:p>
    <w:p>
      <w:pPr>
        <w:spacing w:before="240" w:after="240"/>
        <w:rPr>
          <w:lang w:val="el" w:eastAsia="el"/>
        </w:rPr>
      </w:pPr>
      <w:r>
        <w:rPr>
          <w:lang w:val="el" w:eastAsia="el"/>
        </w:rPr>
        <w:t>Το Μητρώο Πιστοποιημένων Εκτιμητών τηρείται στην Αρμόδια Διοικητική Αρχή και δημοσιεύεται στην ιστοσελίδα του Υπουργείου Οικονομικών. 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όπου αναφέρεται ο συγκεκριμένος ή οι συγκεκριμένοι κλάδοι στους οποίους επιθυμεί να πιστοποιηθεί ο ενδιαφερόμενος, συνοδευόμενη από βιογραφικό σημείωμα.</w:t>
      </w:r>
    </w:p>
    <w:p>
      <w:pPr>
        <w:spacing w:before="240" w:after="240"/>
        <w:rPr>
          <w:lang w:val="el" w:eastAsia="el"/>
        </w:rPr>
      </w:pPr>
      <w:r>
        <w:rPr>
          <w:lang w:val="el" w:eastAsia="el"/>
        </w:rPr>
        <w:t>β. Πιστοποιητικό ποινικού μητρώου γενικής χρήσης, το οποίο ανανεώνεται κάθε δύο έτη με επιμέλεια της Αρμόδιας Διοικητικής Αρχής. Ο αιτών πρέπει να μην έχει κα</w:t>
      </w:r>
      <w:r>
        <w:rPr>
          <w:lang w:val="el" w:eastAsia="el"/>
        </w:rPr>
        <w:softHyphen/>
        <w:t>ταδικαστεί αμετακλήτως για οποιοδήποτε κακούργημα ή για τα πλημμελήματα της κλοπής, υπεξαίρεσης, απάτης, υπεξαίρεσης στην υπηρεσία, πλαστογραφίας, απιστίας, ψευδορκίας, δόλιας χρεοκοπίας, καταδολίευσης δανειστών, τοκογλυφίας ή για κάποιο άλλο οικονομικής φύσεως έγκλημα.</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δ. 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υποπαραγράφου Γ.8..</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στ. Πιστοποιητικό, από το οποίο αποδεικνύεται ότι ο αιτών εκπληρώνει τουλάχιστον μία από τις κάτωθι προϋποθέσεις:</w:t>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αρμόδιο φορέα διαπιστευμένο κατά ISO/IEC 17024, για το σχήμα του εκτιμητή, από το Εθνικό Σύστημα Διαπίστευσης (Ε ΣΥΔ), μέσω διαδικασίας εξετάσεων, προϋπόθεση για συμμετοχή στις οποίες αποτελεί η προσκόμιση πτυχίου ανώτερης ή ανώτατης σχολής της ημεδαπής ή της αλλοδαπής. Οι τίτλοι σπουδών που προέρχονται από ιδρύματα της αλλοδαπής πρέπει να είναι αναγνωρισμένοι από τον αρμόδιο Διεπιστημονικό Οργανισμό Αναγνώρισης Τίτλων Ακαδημαϊκών και Πληροφόρησης (ΔΟΑΤΑΠ) ως ισότιμοι και αντίστοιχοι ή ως ισότιμοι προς τους απονεμόμενους από τα ελληνικά ανώτατα εκπαιδευτικά ιδρύματα. Εναλλακτικά, να έχει πιστοποιηθεί ως εκτιμητής από επαγγελματική εκτιμητική ένωση ή από εκτιμητικό οργανισμό που πληρούν τις προϋποθέσεις της παραγράφου 2 του άρθρου 3 του Π.Δ. 38/2010 (Α' 78).</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ββ)</w:t>
      </w:r>
      <w:r>
        <w:rPr>
          <w:lang w:val="en" w:eastAsia="en"/>
        </w:rPr>
        <w:tab/>
      </w:r>
      <w:r>
        <w:rPr>
          <w:lang w:val="el" w:eastAsia="el"/>
        </w:rPr>
        <w:t>Ασκεί νόμιμα το επάγγελμα του εκτιμητή σε οποιοδήποτε κράτος -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 μέλους ή του τρίτου κράτους.</w:t>
      </w:r>
    </w:p>
    <w:p>
      <w:pPr>
        <w:pStyle w:val="StructureList1"/>
        <w:spacing w:before="120" w:after="0"/>
        <w:rPr>
          <w:lang w:val="el" w:eastAsia="el"/>
        </w:rPr>
      </w:pPr>
      <w:r>
        <w:rPr>
          <w:lang w:val="el" w:eastAsia="el"/>
        </w:rPr>
        <w:t>γγ)</w:t>
      </w:r>
      <w:r>
        <w:rPr>
          <w:lang w:val="en" w:eastAsia="en"/>
        </w:rPr>
        <w:tab/>
      </w:r>
      <w:r>
        <w:rPr>
          <w:lang w:val="el" w:eastAsia="el"/>
        </w:rPr>
        <w:t>(…)</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ζ. Αποδεικτικό φορολογικής ενημερότητας, το οποίο πρέπει να ανανεώνεται κάθε έτος από τον ενδιαφερόμενο.</w:t>
      </w:r>
    </w:p>
    <w:p>
      <w:pPr>
        <w:spacing w:before="240" w:after="240"/>
        <w:rPr>
          <w:lang w:val="el" w:eastAsia="el"/>
        </w:rPr>
      </w:pPr>
      <w:r>
        <w:rPr>
          <w:lang w:val="el" w:eastAsia="el"/>
        </w:rPr>
        <w:t>η. Αποδεικτικό ασφαλιστικής ενημερότητας, το οποίο πρέπει να ανανεώνεται κάθε έτος από τον ενδιαφερόμενο.</w:t>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στην οποία θα αναφέρεται ο συγκεκριμένος ή οι συγκεκριμένοι κλάδοι, στους οποίους επιθυμεί να πιστοποιηθεί.</w:t>
      </w:r>
    </w:p>
    <w:p>
      <w:pPr>
        <w:spacing w:before="240" w:after="240"/>
        <w:rPr>
          <w:lang w:val="el" w:eastAsia="el"/>
        </w:rPr>
      </w:pPr>
      <w:r>
        <w:rPr>
          <w:lang w:val="el" w:eastAsia="el"/>
        </w:rPr>
        <w:t>β. Αποδεικτικό φορολογικής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γ. Αποδεικτικό ασφαλιστικής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δ. Επικυρωμένο αντίγραφο του ιδρυτικού του εγγράφου ή τυχόν τροποποιητικού αυτού, από το οποίο να προκύπτει ότι στο σκοπό του προβλέπεται η παροχή εκτιμητικών υπηρεσιών.</w:t>
      </w:r>
    </w:p>
    <w:p>
      <w:pPr>
        <w:spacing w:before="240" w:after="240"/>
        <w:rPr>
          <w:lang w:val="el" w:eastAsia="el"/>
        </w:rPr>
      </w:pPr>
      <w:r>
        <w:rPr>
          <w:lang w:val="el" w:eastAsia="el"/>
        </w:rPr>
        <w:t>ε. Αποδεικτικά έγγραφα από τα οποία προκύπτει ότι στο νομικό πρόσωπο απασχολείται ένας ή περισσότεροι πιστοποιημένοι εκτιμητές, οι οποίοι είναι και οι μόνοι αρμόδιοι να διενεργούν εκτιμήσεις για λογαριασμό του νομικού προσώπου.</w:t>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εφόσον δεν πληρούνται οι ανωτέρω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γνωστοποιώντας του και τους σχετικούς λόγους.</w:t>
      </w:r>
    </w:p>
    <w:p>
      <w:pPr>
        <w:pStyle w:val="MainText"/>
        <w:spacing w:before="120" w:after="0"/>
        <w:rPr>
          <w:lang w:val="el" w:eastAsia="el"/>
        </w:rPr>
      </w:pPr>
      <w:r>
        <w:rPr>
          <w:b/>
          <w:bCs/>
          <w:lang w:val="el" w:eastAsia="el"/>
        </w:rPr>
        <w:t>5.</w:t>
      </w:r>
      <w:r>
        <w:rPr>
          <w:lang w:val="el" w:eastAsia="el"/>
        </w:rPr>
        <w:t xml:space="preserve"> Εφόσον πληρούνται όλες οι ανωτέρω προϋποθέσεις, η Αρμόδια Διοικητική Αρχή εγγράφει τον ενδιαφερόμενο στο Μητρώο Πιστοποιημένων Εκτιμητών, εντός τριών μηνών, στον κλάδο ή στους κλάδους στους οποίους έχει πιστοποιηθεί και εκδίδει σχετικό πιστοποιητικό.</w:t>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2 (…)</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ΥΠΟΠΑΡΑΓΡΑΦΟΣ Γ.4.: ΚΛΑΔΟΙ ΠΙΣΤΟΠΟΙΗΜΕΝΩΝ ΕΚΤΙΜΗΤΩΝ</w:t>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w:t>
      </w:r>
    </w:p>
    <w:p>
      <w:pPr>
        <w:pStyle w:val="StructureList1"/>
        <w:spacing w:before="120" w:after="0"/>
        <w:rPr>
          <w:lang w:val="el" w:eastAsia="el"/>
        </w:rPr>
      </w:pPr>
      <w:r>
        <w:rPr>
          <w:lang w:val="el" w:eastAsia="el"/>
        </w:rPr>
        <w:t>α)</w:t>
      </w:r>
      <w:r>
        <w:rPr>
          <w:lang w:val="en" w:eastAsia="en"/>
        </w:rPr>
        <w:tab/>
      </w:r>
      <w:r>
        <w:rPr>
          <w:lang w:val="el" w:eastAsia="el"/>
        </w:rPr>
        <w:t>Ακίνητα</w:t>
      </w:r>
    </w:p>
    <w:p>
      <w:pPr>
        <w:pStyle w:val="StructureList1"/>
        <w:spacing w:before="120" w:after="0"/>
        <w:rPr>
          <w:lang w:val="el" w:eastAsia="el"/>
        </w:rPr>
      </w:pPr>
      <w:r>
        <w:rPr>
          <w:lang w:val="el" w:eastAsia="el"/>
        </w:rPr>
        <w:t>β)</w:t>
      </w:r>
      <w:r>
        <w:rPr>
          <w:lang w:val="en" w:eastAsia="en"/>
        </w:rPr>
        <w:tab/>
      </w:r>
      <w:r>
        <w:rPr>
          <w:lang w:val="el" w:eastAsia="el"/>
        </w:rPr>
        <w:t>μηχανολογικές εγκαταστάσεις και εξοπλισμός,</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γ)</w:t>
      </w:r>
      <w:r>
        <w:rPr>
          <w:lang w:val="en" w:eastAsia="en"/>
        </w:rPr>
        <w:tab/>
      </w:r>
      <w:r>
        <w:rPr>
          <w:lang w:val="el" w:eastAsia="el"/>
        </w:rPr>
        <w:t>επιχειρήσεις και άυλα αγαθά,</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δ)</w:t>
      </w:r>
      <w:r>
        <w:rPr>
          <w:lang w:val="en" w:eastAsia="en"/>
        </w:rPr>
        <w:tab/>
      </w:r>
      <w:r>
        <w:rPr>
          <w:lang w:val="el" w:eastAsia="el"/>
        </w:rPr>
        <w:t>κινητά κάθε είδους.</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w:t>
      </w:r>
    </w:p>
    <w:p>
      <w:pPr>
        <w:spacing w:before="240" w:after="240"/>
        <w:rPr>
          <w:lang w:val="el" w:eastAsia="el"/>
        </w:rPr>
      </w:pPr>
      <w:r>
        <w:rPr>
          <w:lang w:val="el" w:eastAsia="el"/>
        </w:rPr>
        <w:t>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στην υποπαράγραφο Γ8 του παρόντος νόμου.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ΥΠΟΠΑΡΑΓΡΑΦΟΣ Γ.8.: ΥΠΟΧΡΕΩΣΕΙΣ ΠΙΣΤΟΠΟΙΗΜΕΝΩΝ ΕΚΤΙΜΗΤΩΝ</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μηνών από τη δημοσίευση του παρόντος, θεσπίζεται Κώδικας Δεοντολογίας των πιστοποιημένων εκτιμητών.</w:t>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νόμου και του Κώδικα Δεοντολογίας.</w:t>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ανά διετία να προσκομίζουν στην αρμόδια Διοικητική Αρχή σχετική βεβαίωση, επαγγελματική ταυτότητα ή άλλο πρόσφατο - πρόσφορο αποδεικτικό στοιχείο, από το οποίο να προκύπτει η διαρκής συμμόρφωσή τους με τις προϋποθέσεις των υποπεριπτώσεων αα΄ και ββ΄ της υποπεριπτώσεως στ΄ της περίπτωσης 2 της υποπαραγράφου Γ.2. του παρόντος νόμου. Μέσα σε προθεσμία που δεν υπερβαίνει τους δύο μήνες από τη λήξη της ισχύος των ανωτέρω στοιχείων.</w:t>
      </w:r>
    </w:p>
    <w:p>
      <w:pPr>
        <w:pStyle w:val="MainText"/>
        <w:spacing w:before="120" w:after="0"/>
        <w:rPr>
          <w:lang w:val="el" w:eastAsia="el"/>
        </w:rPr>
      </w:pPr>
      <w:r>
        <w:rPr>
          <w:b/>
          <w:bCs/>
          <w:lang w:val="el" w:eastAsia="el"/>
        </w:rPr>
        <w:t>4.</w:t>
      </w:r>
      <w:r>
        <w:rPr>
          <w:lang w:val="el" w:eastAsia="el"/>
        </w:rPr>
        <w:t xml:space="preserve"> Σε περίπτωση κατά την οποία διαπιστωθεί η μη πλήρωση των ανωτέρω προϋποθέσεων, ο Υπουργός Οικονομικών, μετά από σχετική πρόταση της Αρμόδιας Διοικητικής Αρχής, μπορεί να προβεί σε οριστική ή προσωρινή ανάκληση της πιστοποίησης, ανάλογα με τη βαρύτητα της παράβασης ή την καθ΄ υποτροπή συμπεριφορά του πιστοποιημένου εκτιμητή, σε περίπτωση μη πλήρωσης των προϋποθέσεων της περίπτωσης 3 της παρούσας υποπαραγράφου, αφού θέσει στον ενδιαφερόμενο εύλογη προθεσμία για την υποβολή των στοιχείων που προβλέπονται στην περίπτωση 3 και αυτή παρέλθει άπρακτη.</w:t>
      </w:r>
    </w:p>
    <w:p>
      <w:pPr>
        <w:spacing w:before="240" w:after="240"/>
        <w:rPr>
          <w:lang w:val="el" w:eastAsia="el"/>
        </w:rPr>
      </w:pPr>
      <w:r>
        <w:rPr>
          <w:lang w:val="el" w:eastAsia="el"/>
        </w:rPr>
        <w:t>ΥΠΟΠΑΡΑΓΡΑΦΟΣ Γ.9. : ΠΕΙΘΑΡΧΙΚΟ ΣΥΜΒΟΥΛΙΟ</w:t>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μηνών από τη δημοσίευση του παρόντος, πενταμελές Πειθαρχικό Συμβούλιο πιστοποιημένων εκτιμητών, το οποίο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Πάρεδρο του Συμβουλίου της Επικρατείας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Έναν Πάρεδρο του Ελεγκτικού Συνεδρίου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Τομέων Παραγωγής της Γενικής Διεύθυνσης Οικονομικής Πολιτικής του Υπουργείου Οικονομικών,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Δύο πιστοποιημένους εκτιμητές με ελάχιστη εκτιμητική εμπειρία 10 ετών, με τους αναπληρωτές τους, οι οποίοι επιλέγονται μετά από κλήρωση.</w:t>
      </w:r>
    </w:p>
    <w:p>
      <w:pPr>
        <w:spacing w:before="240" w:after="240"/>
        <w:rPr>
          <w:lang w:val="el" w:eastAsia="el"/>
        </w:rPr>
      </w:pPr>
      <w:r>
        <w:rPr>
          <w:lang w:val="el" w:eastAsia="el"/>
        </w:rPr>
        <w:t>Πρόεδρος του Πειθαρχικού Συμβουλίου ορίζεται ο αρχαιότερος εκ των δύο Παρέδρων και γραμματέας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του Πειθαρχικού Συμβουλίου είναι τριετής με δυνατότητα ανανέωσης.</w:t>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παραβάσεων της νομοθεσίας και του εκάστοτε ρυθμιστικού πλαισίου που διέπει τις εργασίες των πιστοποιημένων εκτιμητών, περιπτώσεων πλημμελούς ασκήσεως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ζ. τους κανόνες για τον προσδιορισμό του ασυμβίβαστου και για το χαρακτηρισμό οποιασδήποτε κατάστασης ως σύγκρουση συμφερόντων για τα μέλη του Οργάνου Διοίκησης.</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Κάθε φυσικό ή νομικό πρόσωπο για την άσκηση εμπορίας λιπασμάτων και παραγωγής και εμπορίας πολλαπλασιαστικού υλικού φυτικών ειδών, υποχρεούται να απασχολεί υπεύθυνο επιστήμονα πλήρους απασχόλησης, σε κάθε σημείο εμπορίας των λιπασμάτων και του πολλαπλασιαστικού υλικού και σε κάθε επιχείρηση παραγωγής πολλαπλασιαστικού υλικού σε κάθε σημείο εμπορίας των λιπασμάτων. Οι πολύ μικρές και μικρές επιχειρήσεις εμπορίας λιπασμάτων και παραγωγής και εμπορίας πολλαπλασιαστικού υλικού φυτικών ειδών, όπως οι κατηγορίες των επιχειρήσεων προσδιορίζονται στη Σύσταση αριθ. 2003/361/ΕΚ της Επιτροπής (L 124/36/20.5.2003), δύνανται να απασχολούν υπεύθυνο επιστήμονα μερικής απασχόλησης.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καθορίζεται κάθε θέμα σχετικό με την εφαρμογή της παρούσας περίπτωσης.</w:t>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ευρύτερου δημόσιου τομέα, όπως ορίζονται στην παράγραφο 1 του άρθρου 1 Β του Ν. 2362/1995 (Α 247), που προστέθηκε με το άρθρο 2 του Ν. 3871/2010 (Α 141), όπως ισχύει, που παρέχουν υγειονομική μέριμνα και είναι κατάλληλα αναγνωρισμένα για το σκοπό αυτόν, καθώς και ο ΕΟΠΥΥ ( άρθρο 18 του Ν. 3918/2011 ).</w:t>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 χρόνο πληρωμής ή τις συνέπειες της καθυστέρησης της πληρωμής της αμοιβής.</w:t>
      </w:r>
    </w:p>
    <w:p>
      <w:pPr>
        <w:spacing w:before="240" w:after="240"/>
        <w:rPr>
          <w:lang w:val="el" w:eastAsia="el"/>
        </w:rPr>
      </w:pPr>
      <w:r>
        <w:rPr>
          <w:lang w:val="el" w:eastAsia="el"/>
        </w:rPr>
        <w:t>Στη συλλογική αγωγή του προηγούμενου εδαφίου εφαρμόζονται αναλόγως οι διατάξεις των παραγράφων 17 έως 19 του άρθρου 10 του Ν. 2251/1994 (Α΄ 191).</w:t>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6"/>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 ΘΕΜΑΤΑ ΠΡΟΣΒΑΣΗΣ ΣΤΑ ΔΙΚΤΥΑ</w:t>
      </w:r>
    </w:p>
    <w:p>
      <w:pPr>
        <w:pStyle w:val="MainText"/>
        <w:spacing w:before="120" w:after="0"/>
        <w:rPr>
          <w:lang w:val="el" w:eastAsia="el"/>
        </w:rPr>
      </w:pPr>
      <w:r>
        <w:rPr>
          <w:b/>
          <w:bCs/>
          <w:lang w:val="el" w:eastAsia="el"/>
        </w:rPr>
        <w:t>1.</w:t>
      </w:r>
      <w:r>
        <w:rPr>
          <w:lang w:val="el" w:eastAsia="el"/>
        </w:rPr>
        <w:t xml:space="preserve"> Η περίπτωση α της παραγράφου 4 του άρθρου 8 του Ν. 3468/2006 (Α 129) αντικαθίσταται ως εξής:</w:t>
      </w:r>
    </w:p>
    <w:p>
      <w:pPr>
        <w:spacing w:before="240" w:after="240"/>
        <w:rPr>
          <w:lang w:val="el" w:eastAsia="el"/>
        </w:rPr>
      </w:pPr>
      <w:r>
        <w:rPr>
          <w:lang w:val="el" w:eastAsia="el"/>
        </w:rPr>
        <w:t>« α) για τους οποίους απαιτείται έκδοση άδειας παραγωγής, ο υποψήφιος παραγωγός προσκομίζει στον αρμόδιο Διαχειριστή την απόφαση ΕΠΟ ή πρότυπων περιβαλλοντικών δεσμεύσεων (Π.Π.Δ.) του σταθμού, εφόσον απαιτείται κατά περίπτωση, προκειμένου για την έκδοση οριστικής Προσφοράς Σύνδεσης, που δεσμεύει τον αρμόδιο Διαχειριστή και τον δικαιούχο για τρία (3) έτη.»</w:t>
      </w:r>
    </w:p>
    <w:p>
      <w:pPr>
        <w:pStyle w:val="MainText"/>
        <w:spacing w:before="120" w:after="0"/>
        <w:rPr>
          <w:lang w:val="el" w:eastAsia="el"/>
        </w:rPr>
      </w:pPr>
      <w:r>
        <w:rPr>
          <w:b/>
          <w:bCs/>
          <w:lang w:val="el" w:eastAsia="el"/>
        </w:rPr>
        <w:t>2.</w:t>
      </w:r>
      <w:r>
        <w:rPr>
          <w:lang w:val="el" w:eastAsia="el"/>
        </w:rPr>
        <w:t xml:space="preserve"> Στο τέλος της παρ. 4 του άρθρου 8 του Ν. 3468/2006 προστίθενται νέα εδάφια ως εξής:</w:t>
      </w:r>
    </w:p>
    <w:p>
      <w:pPr>
        <w:spacing w:before="240" w:after="240"/>
        <w:rPr>
          <w:lang w:val="el" w:eastAsia="el"/>
        </w:rPr>
      </w:pPr>
      <w:r>
        <w:rPr>
          <w:lang w:val="el" w:eastAsia="el"/>
        </w:rPr>
        <w:t>« Εφόσον κατά την ημερομηνία λήξης ισχύος της οριστικής Προσφοράς Σύνδεσης που χορηγήθηκε για σταθμό του άρθρου 4 έχει υποβληθεί πλήρης φάκελος για τη σύναψη της σχετικής Σύμβασης Σύνδεσης, η διάρκεια ισχύος της Προσφοράς Σύνδεσης παρατείνεται έως την ημερομηνία υλοποίησης των έργων από τον διαχειριστή σύμφωνα με τους όρους της Σύμβασης Σύνδεσης. Η συνολική διάρκεια ισχύος Οριστικών Προσφορών Σύνδεσης που χορηγούνται για σταθμούς του άρθρου 4, συνυπολογιζομένης της παράτασης του προηγούμενου εδαφίου, δεν μπορεί να υπερβαίνει από τη χορήγησή της:</w:t>
      </w:r>
    </w:p>
    <w:p>
      <w:pPr>
        <w:spacing w:before="240" w:after="240"/>
        <w:rPr>
          <w:lang w:val="el" w:eastAsia="el"/>
        </w:rPr>
      </w:pPr>
      <w:r>
        <w:rPr>
          <w:lang w:val="el" w:eastAsia="el"/>
        </w:rPr>
        <w:t>α) τους δεκαοκτώ (18) μήνες για σταθμούς που συνδέονται στο Δίκτυο, εφόσον δεν απαιτούνται εργασίες σε υποσταθμούς ΥΤ/ΜΤ και</w:t>
      </w:r>
    </w:p>
    <w:p>
      <w:pPr>
        <w:spacing w:before="240" w:after="240"/>
        <w:rPr>
          <w:lang w:val="el" w:eastAsia="el"/>
        </w:rPr>
      </w:pPr>
      <w:r>
        <w:rPr>
          <w:lang w:val="el" w:eastAsia="el"/>
        </w:rPr>
        <w:t>β) τους είκοσι τέσσερις (24) μήνες για σταθμούς που συνδέονται στο Δίκτυο, εφόσον απαιτούνται εργασίες σε υποσταθμούς ΥΤ/ΜΤ.</w:t>
      </w:r>
    </w:p>
    <w:p>
      <w:pPr>
        <w:spacing w:before="240" w:after="240"/>
        <w:rPr>
          <w:lang w:val="el" w:eastAsia="el"/>
        </w:rPr>
      </w:pPr>
      <w:r>
        <w:rPr>
          <w:lang w:val="el" w:eastAsia="el"/>
        </w:rPr>
        <w:t>Εάν με ειδικά αιτιολογημένη απόφασή του, που κοινοποιείται στη ΡΑΕ, ο διαχειριστής θέτει μεγαλύτερη προθεσμία για την υλοποίηση των έργων σύνδεσης για τους σταθμούς του άρθρου 4, η διάρκεια ισχύος της Προσφοράς Σύνδεσης παρατείνεται μέχρι την παρέλευση της προθεσμίας αυτής. Σε περίπτωση που τα έργα σύνδεσης υλοποιούνται από τον παραγωγό, η συνολική διάρκεια ισχύος των Οριστικών Προσφορών Σύνδεσης δεν μπορεί να υπερβαίνει τη διάρκεια ισχύος που ορίζεται με τις αμέσως ανωτέρω περιπτώσεις α ή β .</w:t>
      </w:r>
    </w:p>
    <w:p>
      <w:pPr>
        <w:spacing w:before="240" w:after="240"/>
        <w:rPr>
          <w:lang w:val="el" w:eastAsia="el"/>
        </w:rPr>
      </w:pPr>
      <w:r>
        <w:rPr>
          <w:lang w:val="el" w:eastAsia="el"/>
        </w:rPr>
        <w:t>Για το Διασυνδεδεμένο Σύστημα και το Δίκτυο της ηπειρωτικής χώρας, τα αιτήματα χορήγησης Προσφοράς Σύνδεσης για σταθμούς ΑΠΕ και ΣΗΘΥΑ ισχύος έως και 8 MW υποβάλλονται από τους ενδιαφερόμενους στον Διαχειριστή του Δικτύου (ΔΕΔΔΗΕ Α.Ε.) ενώ τα αιτήματα για σταθμούς ισχύος άνω των 8 MW υποβάλλονται από τους ενδιαφερόμενους στον Διαχειριστή του Συστήματος (ΑΔΜΗΕ Α.Ε.). Οι Διαχειριστές του Συστήματος και του Δικτύου, συνεργαζόμενοι όπου αυτό απαιτείται, χορηγούν τις σχετικές Προσφορές Σύνδεσης σε σταθμούς που συνδέονται στο Σύστημα και το Δίκτυο αντίστοιχα, παρέχοντας συνολικά τη βέλτιστη τεχνοοικονομικά λύση σε συνδυασμό με την ορθολογική ανάπτυξη του Συστήματος και του Δικτύου. Είναι δυνατή η υποβολή κοινού αιτήματος για χορήγηση Προσφοράς Σύνδεσης στην ΑΔΜΗΕ Α.Ε. που αφορά σε περισσότερους σταθμούς του άρθρου 3, όταν η συνολική ισχύς αυτών ξεπερνά το όριο των 8 MW, εφόσον η σύνδεση γίνεται μέσω νέου αποκλειστικού δικτύου και κατασκευή νέου υποσταθμού μέσης τάσης προς υψηλή. Με το αίτημα του προηγούμενου εδαφίου ορίζεται ποιος από τους ενδιαφερόμενους, κάτοχος άδειας παραγωγής, του προηγούμενου εδαφίου θα αναλάβει τη διαχείριση των έργων σύνδεσης του προηγούμενου εδαφίου, καθώς και την ευθύνη για την υλοποίησή τους.»</w:t>
      </w:r>
    </w:p>
    <w:p>
      <w:pPr>
        <w:pStyle w:val="MainText"/>
        <w:spacing w:before="120" w:after="0"/>
        <w:rPr>
          <w:lang w:val="el" w:eastAsia="el"/>
        </w:rPr>
      </w:pPr>
      <w:r>
        <w:rPr>
          <w:b/>
          <w:bCs/>
          <w:lang w:val="el" w:eastAsia="el"/>
        </w:rPr>
        <w:t>3.</w:t>
      </w:r>
      <w:r>
        <w:rPr>
          <w:lang w:val="el" w:eastAsia="el"/>
        </w:rPr>
        <w:t xml:space="preserve"> Με την αποδοχή της Οριστικής Προσφοράς Σύνδεσης για σταθμούς ΑΠΕ και ΣΗΘΥΑ των άρθρων 3 και 4 του Ν. 3468/2006 , συνυποβάλλεται στον διαχειριστή εγγυητική επιστολή απευθυνόμενη στον εν λόγω διαχειριστή. Η αποδοχή της Οριστικής Προσφοράς Σύνδεσης γίνεται το αργότερο εντός δύο (2) μηνών από τη χορήγησή της. Η μη αποδοχή της Οριστικής Προσφοράς Σύνδεσης εντός της προθεσμίας του προηγούμενου εδαφίου συνεπάγεται την αυτοδίκαιη λήξη της. Η διάρκεια της εγγυητικής επιστολής είναι κατ΄ ελάχιστον διετής, υποχρεωτικά ανανεούμενη προ της λήξεώς της, και μέχρι τη θέση του σταθμού σε δοκιμαστική λειτουργία ή, εάν δεν προβλέπεται περίοδος δοκιμαστικής λειτουργίας, μέχρι την ενεργοποίηση της σύνδεσής του. Το ύψος της εγγυητικής επιστολής ορίζεται, ανά μονάδα ονομαστικής ισχύος του αιτήματος σε μεγαβάτ (MW), σε εξήντα χιλιάδες (60.000) ευρώ για το τμήμα της ισχύος έως και 1 MW, μειούμενου αναλογικά για ισχύ μικρότερη του 1 MW, τριάντα χιλιάδες (30.000) ευρώ για το τμήμα της ισχύος από 1 MW έως και 10 MW, είκοσι χιλιάδες (20.000) ευρώ για το τμήμα της ισχύος από 10 MW έως και 100 MW και δέκα χιλιάδες (10.000) ευρώ για το τμήμα της ισχύος πάνω από 100 MW. Η ανωτέρω εγγυητική επιστολή καταπίπτει υπέρ του ειδικού λογαριασμού του άρθρου 40 του Ν. 2773/1999 , εάν δεν ανανεωθεί τουλάχιστον τρεις (3) εργάσιμες ημέρες πριν από τη λήξη της ή εάν εντός του χρονικού διαστήματος ισχύος της οριστικής προσφοράς σύνδεσης δεν έχει τεθεί σε ισχύ η σχετική σύμβαση σύνδεσης. Με τη θέση σε ισχύ της σύμβασης σύνδεσης το ποσό της εγγυητικής επιστολής μειώνεται στο ένα τέταρτο του αρχικού ποσού.</w:t>
      </w:r>
    </w:p>
    <w:p>
      <w:pPr>
        <w:spacing w:before="240" w:after="240"/>
        <w:rPr>
          <w:lang w:val="el" w:eastAsia="el"/>
        </w:rPr>
      </w:pPr>
      <w:r>
        <w:rPr>
          <w:lang w:val="el" w:eastAsia="el"/>
        </w:rPr>
        <w:t>Στην περίπτωση χορήγησης μίας κοινής Οριστικής Προσφοράς Σύνδεσης για τη σύνδεση περισσοτέρων των δύο (2) σταθμών διαφορετικού ενδιαφερόμενου στο Σύστημα ή το Δίκτυο, η εγγυητική επιστολή επιστρέφεται στους ενδιαφερόμενους, μετά από αίτημά τους, εάν εντός διαστήματος ενός (1) έτους από τη χορήγησή της δηλωθεί υπαναχώρηση ενός από αυτούς για την κατασκευή του σταθμού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Η εγγυητική επιστολή δύναται να επιστρέφεται στον ενδιαφερόμενο μετά από αίτημά του σε περίπτωση που ο σταθμός δεν μπορεί να υλοποιηθεί λόγω έκδοσης από την αρμόδια αρχή απόφασης απόρριψης σχετικού αιτήματος για χορήγηση άδειας χρήσης νερού για τη λειτουργία του σταθμού, όπου αυτή προβλέπεται ως προαπαιτούμενο από τις κείμενες διατάξεις,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Με απόφαση του Υπουργού Περιβάλλοντος, Ενέργειας και Κλιματικής Αλλαγής καθορίζεται ο τύπος των ανωτέρω εγγυητικών επιστολών, οι ειδικότεροι όροι και προϋποθέσεις για την κατάπτωσή τους, ο τρόπος διάθεσης των εσόδων από αυτές στη ΛΑΓΗΕ Α. Ε. και κάθε άλλη σχετική λεπτομέρεια. Με όμοια απόφαση, μετά από γνώμη της ΡΑΕ, μπορεί να μεταβάλλεται το ύψος και η διάρκεια των εγγυητικών επιστολών, καθώς και τα αντίστοιχα όρια ηλεκτρικής ισχύος του σχετικού αιτήματος χορήγησης Οριστικής Προσφοράς Σύνδεσης. Με όμοια απόφαση, μετά από γνώμη της ΡΑΕ, μπορεί να προβλέπονται ειδικότερες προϋποθέσεις για την υποβολή και επιστροφή των εγγυητικών επιστολών, καθώς και για το ύψος αυτών για σταθμούς που περιγράφονται στις περιπτώσεις α έως γ του τελευταίου εδαφίου της παρ. 10 του άρθρου 8 του Ν. 3468/2006 , λαμβάνοντας υπόψη το βαθμό δυσκολίας κατασκευής και το σημείο σύνδεσης στο ηλεκτρικό Σύστημα. Η συνδρομή των προϋποθέσεων που καθορίζονται στην απόφαση του προηγούμενου εδαφίου σε κάθε συγκεκριμένη περίπτωση διαπιστώνεται με απόφαση της ΡΑΕ, μετά από αίτημα του ενδιαφερομένου.</w:t>
      </w:r>
    </w:p>
    <w:p>
      <w:pPr>
        <w:spacing w:before="240" w:after="240"/>
        <w:rPr>
          <w:lang w:val="el" w:eastAsia="el"/>
        </w:rPr>
      </w:pPr>
      <w:r>
        <w:rPr>
          <w:lang w:val="el" w:eastAsia="el"/>
        </w:rPr>
        <w:t>Από την υποχρέωση υποβολής της ανωτέρω εγγυητικής επιστολής εξαιρούνται οι σταθμοί ΑΠΕ που εγκαθίστανται σε κτίρια, ανεξαρτήτως ισχύος. Η διάταξη του προηγούμενου εδαφίου δεν εφαρμόζεται σε περίπτωση κτιρίου που έχει κατασκευαστεί με σκοπό τη στέγαση εξοπλισμού του σταθμού ΑΠΕ ή που χρησιμοποιείται για το σκοπό αυτόν.</w:t>
      </w:r>
    </w:p>
    <w:p>
      <w:pPr>
        <w:spacing w:before="240" w:after="240"/>
        <w:rPr>
          <w:lang w:val="el" w:eastAsia="el"/>
        </w:rPr>
      </w:pPr>
      <w:r>
        <w:rPr>
          <w:lang w:val="el" w:eastAsia="el"/>
        </w:rPr>
        <w:t>Η ισχύς της παρούσας περίπτωσης αρχίζει από την 1 η Μαΐου 2014.</w:t>
      </w:r>
    </w:p>
    <w:p>
      <w:pPr>
        <w:pStyle w:val="MainText"/>
        <w:spacing w:before="120" w:after="0"/>
        <w:rPr>
          <w:lang w:val="el" w:eastAsia="el"/>
        </w:rPr>
      </w:pPr>
      <w:r>
        <w:rPr>
          <w:b/>
          <w:bCs/>
          <w:lang w:val="el" w:eastAsia="el"/>
        </w:rPr>
        <w:t>4.</w:t>
      </w:r>
      <w:r>
        <w:rPr>
          <w:lang w:val="el" w:eastAsia="el"/>
        </w:rPr>
        <w:t xml:space="preserve"> Η υποχρέωση υποβολής της εγγυητικής επιστολής της περίπτωσης 3 καταλαμβάνει και όλες τις περιπτώσεις για τις οποίες έχει χορηγηθεί Οριστική Προσφορά Σύνδεσης πριν από την έναρξη ισχύος της παρούσας περίπτωσης, εφόσον κατά την έναρξη ισχύος της παρούσας περίπτωσης δεν βρίσκεται σε ισχύ σχετική σύμβαση σύνδεσης. Η εγγυητική επιστολή του προηγούμενου εδαφίου υποβάλλεται στον διαχειριστή, ο οποίος έχει χορηγήσει ή διαχειρίζεται, βάσει της περίπτωσης 2 της υποπαραγράφου Ι.5 του παρόντος, την οριστική προσφορά σύνδεσης, εντός διαστήματος ενός μήνα από την έναρξη ισχύος της παρούσας περίπτωσης. Το ύψος της εγγυητικής επιστολής ισούται με το ήμισυ της προβλεπόμενης στην περίπτωση 3 και μειώνεται βάσει των διατάξεων της ίδιας περίπτωσης της παρούσης υποπαραγράφου. Εάν δεν υποβληθεί εγκαίρως κατά τα ανωτέρω η εγγυητική επιστολή, η οριστική προσφορά σύνδεσης παύει να ισχύει αυτοδικαίως με την παρέλευση του ανωτέρω διαστήματος του ενός μήνα. Προϋπόθεση για τη χορήγηση Οριστικής Προσφοράς Σύνδεσης από τον Διαχειριστή για αιτήματα που έχουν υποβληθεί μέχρι την έναρξη ισχύος της παρούσας περίπτωσης για χορήγηση Οριστικής Προσφοράς Σύνδεσης είναι η υποβολή από τον ενδιαφερόμενο της εγγυητικής επιστολής της περίπτωσης 3.</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Η ισχύς της παρούσας περίπτωσης αρχίζει από την 1 η Μαΐου 2014.</w:t>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Ενέργειας και Κλιματικής Αλλαγής, μετά από γνώμη της ΡΑΕ, μπορεί να προβλέπεται η καταβολή διαχειριστικής αμοιβής υπέρ του αρμόδιου διαχειριστή για την εξέταση των αιτημάτων για χορήγηση Προσφοράς Σύνδεσης για σταθμούς ΑΠΕ και ΣΗΘΥΑ. Με την ίδια απόφαση καθορί</w:t>
      </w:r>
      <w:r>
        <w:rPr>
          <w:lang w:val="el" w:eastAsia="el"/>
        </w:rPr>
        <w:softHyphen/>
        <w:t>ζεται το ύψος της διαχειριστικής αμοιβής, η κλιμάκωσή του και κάθε σχετική λεπτομέρεια για την καταβολή της.</w:t>
      </w:r>
    </w:p>
    <w:p>
      <w:pPr>
        <w:pStyle w:val="MainText"/>
        <w:spacing w:before="120" w:after="0"/>
        <w:rPr>
          <w:lang w:val="el" w:eastAsia="el"/>
        </w:rPr>
      </w:pPr>
      <w:r>
        <w:rPr>
          <w:b/>
          <w:bCs/>
          <w:lang w:val="el" w:eastAsia="el"/>
        </w:rPr>
        <w:t>6.</w:t>
      </w:r>
      <w:r>
        <w:rPr>
          <w:lang w:val="el" w:eastAsia="el"/>
        </w:rPr>
        <w:t xml:space="preserve"> Η παρ. 5 του άρθρου 39 του Ν. 4062/2012 αντικαθίσταται ως ακολούθως:</w:t>
      </w:r>
    </w:p>
    <w:p>
      <w:pPr>
        <w:spacing w:before="240" w:after="240"/>
        <w:rPr>
          <w:lang w:val="el" w:eastAsia="el"/>
        </w:rPr>
      </w:pPr>
      <w:r>
        <w:rPr>
          <w:lang w:val="el" w:eastAsia="el"/>
        </w:rPr>
        <w:t>«5. Αιτήσεις για χορήγηση προσφορών σύνδεσης σταθμών ηλεκτροπαραγωγής των περιπτώσεων δ , ε και ζ έως και ιε του πίνακα τιμολόγησης παραγόμενης ηλεκτρικής ενέργειας, της περίπτωσης β της παρ. 1 του άρθρου 13 του Ν. 3468/2006 (Α 129), όπως αντικαταστάθηκε με την παρ. 2 του άρθρου 5 του Ν. 3851/2010 (Α 85), οι οποίες υποβάλλονται μέχρι τις 31.5.2013, εξετάζονται από τον αρμόδιο Διαχειριστή κατά προτεραιότητα έναντι λοιπών αιτήσεων.»</w:t>
      </w:r>
    </w:p>
    <w:p>
      <w:pPr>
        <w:pStyle w:val="MainText"/>
        <w:spacing w:before="120" w:after="0"/>
        <w:rPr>
          <w:lang w:val="el" w:eastAsia="el"/>
        </w:rPr>
      </w:pPr>
      <w:r>
        <w:rPr>
          <w:b/>
          <w:bCs/>
          <w:lang w:val="el" w:eastAsia="el"/>
        </w:rPr>
        <w:t>7.</w:t>
      </w:r>
      <w:r>
        <w:rPr>
          <w:lang w:val="el" w:eastAsia="el"/>
        </w:rPr>
        <w:t xml:space="preserve"> Με την υπογραφή της σύμβασης σύνδεσης για σταθμούς ΑΠΕ και ΣΗΘΥΑ των άρθρων 3 και 4 του Ν. 3468/2006, ή στην περίπτωση που η σύμβαση σύνδεσης έχει υπογραφεί πριν την έκδοση της άδειας εγκατάστασης, εντός μηνός από την έκδοση της άδειας αυτής, καταβάλλεται το σύνολο του συμβατικού τιμήματος που αφορά στο τμήμα / σύνολο των έργων που κατασκευάζει ο αρμόδιος διαχειριστής και όχι πάνω από διακόσιες πενήντα χιλιάδες (250.000) ευρώ. Ο τρόπος καταβολής του τιμήματος πάνω από τις διακόσιες πενήντα χιλιάδες (250.000) ευρώ καθορίζεται στη σύμβαση σύνδεσης. Προϋπόθεση για να τεθεί σε ισχύ η σύμβαση σύνδεσης είναι η καταβολή του συμβατικού τιμήματος κατά τα ανωτέρω. Εάν ο σταθμός δεν υλοποιηθεί εντός του χρόνου που προβλέπεται από την οικεία άδεια εγκατάστασης ή εντός του χρόνου ισχύος οριστικής προσφοράς σύνδεσης, για τους σταθμούς του άρθρου 4 του Ν. 3468/2006, όπως ορίζεται στις διατάξεις της παραγράφου 4 του άρθρου 8 του Ν. 3468/2006 , το ποσό που καταβλήθηκε σύμφωνα με το προηγούμενο εδάφιο δεν επιστρέφεται αλλά καταπίπτει υπέρ του Ειδικού Λογαριασμού του άρθρου 40 του Ν. 2773/1999 πλην του τμήματος του εν λόγω ποσού που αντιστοιχεί σε τμήμα των έργων που έχουν ήδη κατασκευαστεί. Με απόφαση του Υπουργού Περιβάλλοντος, Ενέργειας και Κλιματικής Αλλαγής, μετά από εισήγηση του αρμόδιου Διαχειριστή και γνώμη της Ρ.Α.Ε., μπορεί να καθορίζονται συγκεκριμένος τύπος, περιεχόμενο και διαδικασία κατάρτισης των συμβάσεων σύνδεσης, και να ρυθμίζεται κάθε ειδικότερο θέμα και αναγκαία λεπτομέρεια.</w:t>
      </w:r>
    </w:p>
    <w:p>
      <w:pPr>
        <w:pStyle w:val="MainText"/>
        <w:spacing w:before="120" w:after="0"/>
        <w:rPr>
          <w:lang w:val="el" w:eastAsia="el"/>
        </w:rPr>
      </w:pPr>
      <w:r>
        <w:rPr>
          <w:b/>
          <w:bCs/>
          <w:lang w:val="el" w:eastAsia="el"/>
        </w:rPr>
        <w:t>8.</w:t>
      </w:r>
      <w:r>
        <w:rPr>
          <w:lang w:val="el" w:eastAsia="el"/>
        </w:rPr>
        <w:t xml:space="preserve"> Οι διατάξεις του άρθρου 11 του Ν. 3468/2006 εφαρμόζονται αναλογικά και για τη σύνδεση σταθμού ηλεκτροπαραγωγής από Α.Π.Ε. στο δίκτυο υψηλής τάσης των Μη Διασυνδεδεμένων Νησιών.</w:t>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καταβάλλουν εντός του πρώτου τριμήνου κάθε ημερολογιακού έτους στη ΛΑΓΗΕ Α.Ε., υπέρ του ειδικού διαχειριστικού Λογαριασμού του άρθρου 40 του Ν. 2773/1999 (Α 286), ετήσιο τέλος ύψους χιλίων ευρώ ανά μεγαβάτ (1.000 €/MW).</w:t>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p>
    <w:p>
      <w:pPr>
        <w:spacing w:before="240" w:after="240"/>
        <w:rPr>
          <w:lang w:val="el" w:eastAsia="el"/>
        </w:rPr>
      </w:pPr>
      <w:r>
        <w:rPr>
          <w:lang w:val="el" w:eastAsia="el"/>
        </w:rPr>
        <w:t>α. για φωτοβολταϊκούς σταθμούς, μετά την παρέλευση ενός (1) έτους από τη χορήγηση άδειας παραγωγής,</w:t>
      </w:r>
    </w:p>
    <w:p>
      <w:pPr>
        <w:spacing w:before="240" w:after="240"/>
        <w:rPr>
          <w:lang w:val="el" w:eastAsia="el"/>
        </w:rPr>
      </w:pPr>
      <w:r>
        <w:rPr>
          <w:lang w:val="el" w:eastAsia="el"/>
        </w:rPr>
        <w:t>β. για σταθμούς που περιγράφονται στις περιπτώσεις α έως γ του τελευταίου εδαφίου της παραγράφου 10 του άρθρου 8 του Ν. 3468/2006 , μετά την παρέλευση τεσσάρων (4) ετών από τη χορήγηση άδειας παραγωγής,</w:t>
      </w:r>
    </w:p>
    <w:p>
      <w:pPr>
        <w:spacing w:before="240" w:after="240"/>
        <w:rPr>
          <w:lang w:val="el" w:eastAsia="el"/>
        </w:rPr>
      </w:pPr>
      <w:r>
        <w:rPr>
          <w:lang w:val="el" w:eastAsia="el"/>
        </w:rPr>
        <w:t>γ. για λοιπούς, πλην φωτοβολταϊκών, σταθμούς ΑΠΕ ή ΣΗΘΥΑ του άρθρου 3 του ν. 3468/2006, μετά την παρέλευση τριών (3) ετών από τη χορήγηση άδειας παραγωγής και λήγει με την υποβολή της εγγυητικής επιστολής της περίπτωσης 3 της υποπαραγράφου Ι.1..</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3.</w:t>
      </w:r>
      <w:r>
        <w:rPr>
          <w:lang w:val="el" w:eastAsia="el"/>
        </w:rPr>
        <w:t xml:space="preserve"> Σε περιπτώσεις αδειών παραγωγής που έχουν εκδοθεί μέχρι την έναρξη ισχύος του παρόντος, η υποχρέωση της περίπτωσης 1 γεννάται μετά την παρέλευση δύο (2)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από την 1.1.2014, και λήγει με την υποβολή της εγγυητικής επιστολής της περίπτωσης 4 της υποπαραγράφου Ι.1.. Ειδικά για το έτος 2014 η καταβολή του τέλους της περίπτωσης 1 για τις άδειες του προηγουμένου εδαφίου γίνεται έως 30.6.2014.</w:t>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Το ετήσιο τέλος της περίπτωσης 1 της παρούσης υποπαραγράφου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5.</w:t>
      </w:r>
      <w:r>
        <w:rPr>
          <w:lang w:val="el" w:eastAsia="el"/>
        </w:rPr>
        <w:t xml:space="preserve"> Η μη εμπρόθεσμη καταβολή του ετήσιου τέλους που προβλέπεται στην περίπτωση 1 συνεπάγεται την αυτοδίκαιη παύση ισχύος της άδειας παραγωγής.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έτους από την ανωτέρω παύση ισχύος της άδειας παραγωγής. Η ΡΑΕ τηρεί μητρώο των αδειών παραγωγής, που παύουν να ισχύουν κατά τα ανωτέρω, το οποίο αναρτά στον διαδικτυακό τόπο της.</w:t>
      </w:r>
    </w:p>
    <w:p>
      <w:pPr>
        <w:pStyle w:val="MainText"/>
        <w:spacing w:before="120" w:after="0"/>
        <w:rPr>
          <w:lang w:val="el" w:eastAsia="el"/>
        </w:rPr>
      </w:pPr>
      <w:r>
        <w:rPr>
          <w:b/>
          <w:bCs/>
          <w:lang w:val="el" w:eastAsia="el"/>
        </w:rPr>
        <w:t>6.</w:t>
      </w:r>
      <w:r>
        <w:rPr>
          <w:lang w:val="el" w:eastAsia="el"/>
        </w:rPr>
        <w:t xml:space="preserve"> Το ύψος του ανωτέρω τέλους μπορεί να αναπροσαρμόζεται με ανώτατο όριο το ποσό των τριών χιλιάδων ευρώ ανά μεγαβάτ (3.000 €/MW) με απόφαση του Υπουργού Περιβάλλοντος, Ενέργειας και Κλιματικής Αλλαγής,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 α) για συγκεκριμένες γεωγραφικές περιοχές που έχουν χαρακτηριστεί ή έχει προταθεί να χαρακτηριστούν κορεσμένες και β) για συγκεκριμένες τεχνολογίες.</w:t>
      </w:r>
    </w:p>
    <w:p>
      <w:pPr>
        <w:pStyle w:val="MainText"/>
        <w:spacing w:before="120" w:after="0"/>
        <w:rPr>
          <w:lang w:val="el" w:eastAsia="el"/>
        </w:rPr>
      </w:pPr>
      <w:r>
        <w:rPr>
          <w:b/>
          <w:bCs/>
          <w:lang w:val="el" w:eastAsia="el"/>
        </w:rPr>
        <w:t>7.</w:t>
      </w:r>
      <w:r>
        <w:rPr>
          <w:lang w:val="el" w:eastAsia="el"/>
        </w:rPr>
        <w:t xml:space="preserve"> Με απόφαση του Υπουργού Περιβάλλοντος, Ενέργειας και Κλιματικής Αλλαγής, μετά από γνώμη της ΡΑΕ, μπορεί να καθορισθεί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ιδίου νόμου, όπως κάθε φορά θα ισχύει βάσει των διατάξεων της περίπτωσης 6 και να ρυθμιστούν οι προϋποθέσεις καταβολής του και οι συνέπειες από τη μη καταβολή του κατ΄ αναλογία των οριζόμενων στην παρούσα υποπαράγραφο, καθώς και κάθε σχετική λεπτομέρεια.</w:t>
      </w:r>
    </w:p>
    <w:p>
      <w:pPr>
        <w:pStyle w:val="MainText"/>
        <w:spacing w:before="120" w:after="0"/>
        <w:rPr>
          <w:lang w:val="el" w:eastAsia="el"/>
        </w:rPr>
      </w:pPr>
      <w:r>
        <w:rPr>
          <w:b/>
          <w:bCs/>
          <w:lang w:val="el" w:eastAsia="el"/>
        </w:rPr>
        <w:t>8.</w:t>
      </w:r>
      <w:r>
        <w:rPr>
          <w:lang w:val="el" w:eastAsia="el"/>
        </w:rPr>
        <w:t xml:space="preserve"> Ειδικά για τις περιοχές με κορεσμένα δίκτυα, το χρονικό διάστημα για το οποίο υφίσταται κορεσμός εξαιρείται κατά τον υπολογισμό των χρονικών περιόδων των περιπτώσεων 2 και 3 και δεν καταβάλλεται το τέλος της περίπτωσης 1 για όσο χρονικό διάστημα υφίσταται ο κορεσμός. Κατ΄ εξαίρεση από τα προβλεπόμενα στο αμέσως προηγούμενο εδάφιο, η υποχρέωση της περίπτωσης 1 υφίσταται για εκείνους τους σταθμούς ΑΠΕ ή ΣΗΘΥΑ του άρθρου 3 του Ν. 3468/2006 που στην οικεία άδεια παραγωγής προβλέπεται ότι θα συνδεθούν και θα εγχέουν ενέργεια σε σημείο του δικτύου για το οποίο δεν υφίσταται κορεσμός.</w:t>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περιπτώσεων μπορεί να αίρεται πριν από την 31η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της υποπαραγράφου Ι.1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w:t>
      </w:r>
      <w:r>
        <w:rPr>
          <w:sz w:val="30"/>
          <w:szCs w:val="30"/>
          <w:vertAlign w:val="superscript"/>
          <w:lang w:val="el" w:eastAsia="el"/>
        </w:rPr>
        <w:t>η</w:t>
      </w:r>
      <w:r>
        <w:rPr>
          <w:lang w:val="el" w:eastAsia="el"/>
        </w:rPr>
        <w:t xml:space="preserve"> Ιανουαρίου 2015.</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υποπαραγράφου Ι.2 της παραγράφου Ι'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 όπως ίσχυε πριν την αντικατάστασή της με την υποπαράγραφο 2 της παραγράφου Ι.2 του άρθρου πρώτου του ν. 4093/2012.</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7.</w:t>
      </w:r>
      <w:r>
        <w:rPr>
          <w:lang w:val="el" w:eastAsia="el"/>
        </w:rPr>
        <w:t xml:space="preserve"> Οι διατάξεις των περιπτώσεων 3 και 4 της υποπαραγράφου Ι.1 και οι διατάξεις της υποπαραγράφου Ι.2 της παρούσας παραγράφου δεν εφαρμόζονται στις περιπτώσεις υδροηλεκτρικών σταθμών εγκατεστημένης ισχύος άνω των 15 MW, καθώς και υδροηλεκτρικών σταθμών που διαθέτουν αντλητικό σύστημα και σύστημα αποθήκευσης ανεξάρτητα από το φορέα κατασκευής και λειτουργίας.</w:t>
      </w:r>
      <w:r>
        <w:rPr>
          <w:rStyle w:val="Hyperlink"/>
          <w:color w:val="000000"/>
          <w:sz w:val="20"/>
          <w:szCs w:val="20"/>
          <w:u w:val="none" w:color="0000EE"/>
          <w:vertAlign w:val="superscript"/>
          <w:lang w:val="el" w:eastAsia="el"/>
        </w:rPr>
        <w:footnoteReference w:id="33"/>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δύνανται μετά από αίτηση των οφειλετών και εφόσον συντρέχει πραγματική αδυναμία για την καταβολή τους, να ρυθμίζονται και να καταβάλλονται σε δώδεκα (12) ισόποσες μηνιαίες δόσεις.</w:t>
      </w:r>
    </w:p>
    <w:p>
      <w:pPr>
        <w:pStyle w:val="MainText"/>
        <w:spacing w:before="120" w:after="0"/>
        <w:rPr>
          <w:lang w:val="el" w:eastAsia="el"/>
        </w:rPr>
      </w:pPr>
      <w:r>
        <w:rPr>
          <w:b/>
          <w:bCs/>
          <w:lang w:val="el" w:eastAsia="el"/>
        </w:rPr>
        <w:t>2.</w:t>
      </w:r>
      <w:r>
        <w:rPr>
          <w:lang w:val="el" w:eastAsia="el"/>
        </w:rPr>
        <w:t xml:space="preserve"> H υπαγωγή στη ρύθμιση για οφειλές άνω των δέκα χιλιάδων (10.000,00) ευρώ γίνεται μόνο εφόσον οι ενδιαφερόμενοι αποδεικνύουν ότι μπορούν να ανταποκριθούν στο ύψος της μηνιαίας δόσης και εφόσον προσκομίσουν τα απαραίτητα στοιχεία που αποδεικνύουν την αδυναμία εξόφλησης των οφειλών τους τη δεδομένη χρονική στιγμή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w:t>
      </w:r>
      <w:r>
        <w:rPr>
          <w:lang w:val="el" w:eastAsia="el"/>
        </w:rPr>
        <w:softHyphen/>
        <w:t>ουν τη βιωσιμότητα του διακανονισμού, καθορίζονται με απόφαση του Υπουργού Εργασίας, Κοινωνικής Ασφάλισης και Πρόνοιας σύμφωνα με τα οριζόμενα στην περίπτωση 7 της υποπαραγράφου αυτής, σύμφωνα με τις κάτωθι κατηγοριοποιήσεις: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αα)</w:t>
      </w:r>
      <w:r>
        <w:rPr>
          <w:lang w:val="en" w:eastAsia="en"/>
        </w:rPr>
        <w:tab/>
      </w:r>
      <w:r>
        <w:rPr>
          <w:lang w:val="el" w:eastAsia="el"/>
        </w:rPr>
        <w:t>Για οφειλές από δέκα χιλιάδες (10.000,00) ευρώ έως πενήντα χιλιάδες (50.000,00) ευρώ κρίνεται από τον οικείο φορέα κοινωνικής ασφάλισης η αδυναμία εξόφλησης της οφειλής τη δεδομένη χρονική στιγμή, καθώς και η βιωσιμότητα του διακανονισμού.</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πενήντα χιλιάδων (50.000,00) ευρώ ο οφειλέτης πρέπει επιπλέον να προσκομίζει βεβαίωση από ανεξάρτητο τρίτο φορέα περί της ορθότητας των οικονομικών στοιχείων, καθώς και δικαιολογητικά τα οποία να αποδεικνύουν την αδυναμία εξόφλησης της οφειλής τη δεδομένη χρονική στιγμή και τη βιωσιμότητα του διακανονισμού, με δαπάνες που βαραίνουν τον ίδιο.</w:t>
      </w:r>
    </w:p>
    <w:p>
      <w:pPr>
        <w:pStyle w:val="StructureList1"/>
        <w:spacing w:before="120" w:after="0"/>
        <w:rPr>
          <w:lang w:val="el" w:eastAsia="el"/>
        </w:rPr>
      </w:pPr>
      <w:r>
        <w:rPr>
          <w:lang w:val="el" w:eastAsia="el"/>
        </w:rPr>
        <w:t>γγ)</w:t>
      </w:r>
      <w:r>
        <w:rPr>
          <w:lang w:val="en" w:eastAsia="en"/>
        </w:rPr>
        <w:tab/>
      </w:r>
      <w:r>
        <w:rPr>
          <w:lang w:val="el" w:eastAsia="el"/>
        </w:rPr>
        <w:t>Για οφειλές άνω των εκατόν πενήντα χιλιάδων (150.000,00) ευρώ ο οφειλέτης υποχρεούται πλέον των ανωτέρω να προβεί στη παροχή εγγυήσεων ή εμπράγματων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7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για φοροδιαφυγή.</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Οι πληρωμές θα διενεργούνται με τη διαδικασία αυτόματης χρέωσης τραπεζικού λογαριασμού.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5.</w:t>
      </w:r>
      <w:r>
        <w:rPr>
          <w:lang w:val="el" w:eastAsia="el"/>
        </w:rPr>
        <w:t xml:space="preserve"> Κατά τη διάρκεια της ρύθμισης και εφόσον τηρούνται με συνέπεια οι όροι αυτής:</w:t>
      </w:r>
    </w:p>
    <w:p>
      <w:pPr>
        <w:spacing w:before="240" w:after="240"/>
        <w:rPr>
          <w:lang w:val="el" w:eastAsia="el"/>
        </w:rPr>
      </w:pPr>
      <w:r>
        <w:rPr>
          <w:lang w:val="el" w:eastAsia="el"/>
        </w:rPr>
        <w:t>α. Χορηγείται στους υπόχρεους μηνιαίο πιστοποιητικό οφειλής, στο οποίο πιστοποιείται και το υπολειπόμενο ποσό οφειλής.</w:t>
      </w:r>
    </w:p>
    <w:p>
      <w:pPr>
        <w:spacing w:before="240" w:after="240"/>
        <w:rPr>
          <w:lang w:val="el" w:eastAsia="el"/>
        </w:rPr>
      </w:pPr>
      <w:r>
        <w:rPr>
          <w:lang w:val="el" w:eastAsia="el"/>
        </w:rPr>
        <w:t>β. 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spacing w:before="240" w:after="240"/>
        <w:rPr>
          <w:lang w:val="el" w:eastAsia="el"/>
        </w:rPr>
      </w:pPr>
      <w:r>
        <w:rPr>
          <w:lang w:val="el" w:eastAsia="el"/>
        </w:rPr>
        <w:t>γ. 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spacing w:before="240" w:after="240"/>
        <w:rPr>
          <w:lang w:val="el" w:eastAsia="el"/>
        </w:rPr>
      </w:pPr>
      <w:r>
        <w:rPr>
          <w:lang w:val="el" w:eastAsia="el"/>
        </w:rPr>
        <w:t>δ. Αναστέλλεται ο χρόνος παραγραφής των οφειλών, σύμφωνα με τα οριζόμενα στις διατάξεις της παραγράφου 8 του άρθρου 2 του Ν. 2556/1997 (Α 270).</w:t>
      </w:r>
    </w:p>
    <w:p>
      <w:pPr>
        <w:pStyle w:val="MainText"/>
        <w:spacing w:before="120" w:after="0"/>
        <w:rPr>
          <w:lang w:val="el" w:eastAsia="el"/>
        </w:rPr>
      </w:pPr>
      <w:r>
        <w:rPr>
          <w:b/>
          <w:bCs/>
          <w:lang w:val="el" w:eastAsia="el"/>
        </w:rPr>
        <w:t>6.</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έχουν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γγ της παραγράφου 2 του άρθρου αυτού.</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7.</w:t>
      </w:r>
      <w:r>
        <w:rPr>
          <w:lang w:val="el" w:eastAsia="el"/>
        </w:rPr>
        <w:t xml:space="preserve"> Η εφαρμογή των εδαφίων ββ' και γγ' της περίπτωσης 2, όπως ισχύει, ως προς τις προϋποθέσεις βεβαίωσης από ανεξάρτητο τρίτο φορέα, παροχής εγγύησης ή διασφάλισης ή εμπράγματης ασφάλειας, καθώς και της βιωσιμότητας του διακανονισμού αναστέλλεται για χρονικό διάστημα δύο ετών από τη δημοσίευση του παρόντος. Η αναστολή καταλαμβάνει και τις ήδη χορηγηθείσες ρυθμίσεις. Εγγυήσεις, διασφαλίσεις ή εμπράγματες ασφάλειες που τυχόν έχουν παρασχεθεί κατ' εφαρμογή των ανωτέρω διατάξεων εξακολουθούν να ισχύουν.</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8.</w:t>
      </w:r>
      <w:r>
        <w:rPr>
          <w:lang w:val="el" w:eastAsia="el"/>
        </w:rPr>
        <w:t xml:space="preserve"> Το ποσόν της κύριας οφειλής που υπάγεται στην παρούσα ρύθμιση επιβαρύνεται από το μήνα υπαγωγής στη ρύθμιση με επιτόκιο ίσο με το επιτόκιο αναχρηματοδότησης της Ευρωπαϊκής Κεντρικής Τράπεζας κατά το χρόνο υποβολής της αίτησης, προσαυξημένο πλέον πέντε (5) εκατοστιαίων μονάδων, ετησίως υπολογισμένο. Για τις οφειλές που έχουν ήδη υπαχθεί στην παρούσα ρύθμιση το επιτόκιο επαναπροσδιορίζεται σύμφωνα με τα οριζόμενα στο προηγούμενο εδάφιο για τον υπολειπόμενο αριθμό των ανεξόφλητων δόσεων.</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δέκα χιλιάδων (10.000,00)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 1846/1951 (Α' 179), όπως αντικαταστάθηκε και ισχύει με το άρθρο 21 του ν. 4075/2012 (Α' 89), παύουν να ισχύουν για ασφαλιστικές εισφορές ,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ΥΠΟΠΑΡΑΓΡΑΦΟΣ ΙΓ.1.: (…)</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ΥΠΟΠΑΡΑΓΡΑΦΟΣ ΙΓ.2.: (…)</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2(…)</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κ)</w:t>
      </w:r>
      <w:r>
        <w:rPr>
          <w:lang w:val="en" w:eastAsia="en"/>
        </w:rPr>
        <w:tab/>
      </w:r>
      <w:r>
        <w:rPr>
          <w:lang w:val="el" w:eastAsia="el"/>
        </w:rPr>
        <w:t>(…)</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ΥΠΟΠΑΡΑΓΡΑΦΟΣ ΙΓ.3.:(…)</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11(…)</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12.</w:t>
      </w:r>
      <w:r>
        <w:rPr>
          <w:lang w:val="el" w:eastAsia="el"/>
        </w:rPr>
        <w:t xml:space="preserve"> (…)</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13.</w:t>
      </w:r>
      <w:r>
        <w:rPr>
          <w:lang w:val="el" w:eastAsia="el"/>
        </w:rPr>
        <w:t xml:space="preserve"> (…)</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14.</w:t>
      </w:r>
      <w:r>
        <w:rPr>
          <w:lang w:val="el" w:eastAsia="el"/>
        </w:rPr>
        <w:t xml:space="preserve"> (…)</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15.</w:t>
      </w:r>
      <w:r>
        <w:rPr>
          <w:lang w:val="el" w:eastAsia="el"/>
        </w:rPr>
        <w:t xml:space="preserve"> (…)</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16.</w:t>
      </w:r>
      <w:r>
        <w:rPr>
          <w:lang w:val="el" w:eastAsia="el"/>
        </w:rPr>
        <w:t xml:space="preserve"> (…)</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17.</w:t>
      </w:r>
      <w:r>
        <w:rPr>
          <w:lang w:val="el" w:eastAsia="el"/>
        </w:rPr>
        <w:t xml:space="preserve"> (…)</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ΥΠΟΠΑΡΑΓΡΑΦΟΣ ΙΓ.4.: (…)</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ΥΠΟΠΑΡΑΓΡΑΦΟΣ ΙΓ.5.: (…)</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10"/>
      </w:r>
    </w:p>
    <w:p>
      <w:pPr>
        <w:spacing w:before="240" w:after="240"/>
        <w:rPr>
          <w:lang w:val="el" w:eastAsia="el"/>
        </w:rPr>
      </w:pPr>
      <w:r>
        <w:rPr>
          <w:lang w:val="el" w:eastAsia="el"/>
        </w:rPr>
        <w:t>α(…)</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12"/>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ΥΠΟΠΑΡΑΓΡΑΦΟΣ ΙΓ.6.: (…)</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19"/>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w:t>
      </w:r>
      <w:r>
        <w:rPr>
          <w:lang w:val="el" w:eastAsia="el"/>
        </w:rPr>
        <w:t xml:space="preserve"> Με σκοπό την άμεση ανάσχεση της ανεργίας και ως έκτακτο μέτρο, ο Οργανισμός Απασχόλησης Εργατικού Δυναμικού καταρτίζει Προγράμματα Κοινωφελούς Χαρακτήρα, συγχρηματοδοτούμενα από τους πόρους του ΕΣΠΑ, για την κάλυψη κοινωνικών αναγκών, με απασχόληση των ανέργων απευθείας σε Δήμους και περιφέρειες ή άλλες δημόσιες υπηρεσίες, όπως σε σχολεία και νοσοκομεία.</w:t>
      </w:r>
    </w:p>
    <w:p>
      <w:pPr>
        <w:spacing w:before="240" w:after="240"/>
        <w:rPr>
          <w:lang w:val="el" w:eastAsia="el"/>
        </w:rPr>
      </w:pPr>
      <w:r>
        <w:rPr>
          <w:lang w:val="el" w:eastAsia="el"/>
        </w:rPr>
        <w:t>Με κοινή απόφαση των υπουργών Οικονομικών, Εσωτερικών, Διοικητικής Μεταρρύθμισης και ηλεκτρονικής Διακυβέρνησης, Ανάπτυξης, Ανταγωνιστικότητας, Υποδομών, Μεταφορών και Δικτύων, Εργασίας, Κοινωνικής Ασφάλισης και Πρόνοιας καθορίζονται ιδίως τα παρακάτω:</w:t>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p>
    <w:p>
      <w:pPr>
        <w:pStyle w:val="StructureList1"/>
        <w:spacing w:before="120" w:after="0"/>
        <w:rPr>
          <w:lang w:val="el" w:eastAsia="el"/>
        </w:rPr>
      </w:pPr>
      <w:r>
        <w:rPr>
          <w:lang w:val="el" w:eastAsia="el"/>
        </w:rPr>
        <w:t>β)</w:t>
      </w:r>
      <w:r>
        <w:rPr>
          <w:lang w:val="en" w:eastAsia="en"/>
        </w:rPr>
        <w:tab/>
      </w:r>
      <w:r>
        <w:rPr>
          <w:lang w:val="el" w:eastAsia="el"/>
        </w:rPr>
        <w:t>οι δικαιούχοι φορείς,</w:t>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p>
    <w:p>
      <w:pPr>
        <w:spacing w:before="240" w:after="240"/>
        <w:rPr>
          <w:lang w:val="el" w:eastAsia="el"/>
        </w:rPr>
      </w:pPr>
      <w:r>
        <w:rPr>
          <w:lang w:val="el" w:eastAsia="el"/>
        </w:rPr>
        <w:t>ίν) το οικογενειακό εισόδημα,</w:t>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του προσωπικού των υποδειχθέντων ωφελουμένων από τον ΟΑΕΔ, σύμφωνα με τον οριστικό πίνακα κατάταξης,</w:t>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w:t>
      </w:r>
    </w:p>
    <w:p>
      <w:pPr>
        <w:spacing w:before="240" w:after="240"/>
        <w:rPr>
          <w:lang w:val="el" w:eastAsia="el"/>
        </w:rPr>
      </w:pPr>
      <w:r>
        <w:rPr>
          <w:lang w:val="el" w:eastAsia="el"/>
        </w:rPr>
        <w:t>« Το προσωπικό που προσλαμβάνεται σε Δήμους Περιφέρειες ή άλλες δημόσιες υπηρεσίες σε εκτέλεση Προγράμματος Κοινωφελούς Χαρακτήρα που καταρτίζεται από τον ΟΑΕΔ».</w:t>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δικαιούχου φορέα.</w:t>
      </w:r>
    </w:p>
    <w:p>
      <w:pPr>
        <w:pStyle w:val="MainText"/>
        <w:spacing w:before="120" w:after="0"/>
        <w:rPr>
          <w:lang w:val="el" w:eastAsia="el"/>
        </w:rPr>
      </w:pPr>
      <w:r>
        <w:rPr>
          <w:b/>
          <w:bCs/>
          <w:lang w:val="el" w:eastAsia="el"/>
        </w:rPr>
        <w:t>4.</w:t>
      </w:r>
      <w:r>
        <w:rPr>
          <w:lang w:val="el" w:eastAsia="el"/>
        </w:rPr>
        <w:t xml:space="preserve"> Οι ωφελούμενοι απολύονται αυτοδικαίως με τη λήξη του προγράμματος, χωρίς καμία αποζημίωση και χωρίς να απαιτείται η έκδοση διαπιστωτικής πράξης.</w:t>
      </w:r>
    </w:p>
    <w:p>
      <w:pPr>
        <w:pStyle w:val="MainText"/>
        <w:spacing w:before="120" w:after="0"/>
        <w:rPr>
          <w:lang w:val="el" w:eastAsia="el"/>
        </w:rPr>
      </w:pPr>
      <w:r>
        <w:rPr>
          <w:b/>
          <w:bCs/>
          <w:lang w:val="el" w:eastAsia="el"/>
        </w:rPr>
        <w:t>5.</w:t>
      </w:r>
      <w:r>
        <w:rPr>
          <w:lang w:val="el" w:eastAsia="el"/>
        </w:rPr>
        <w:t xml:space="preserve"> Οι καθαρές αμοιβές ορίζονται, κατά παρέκκλιση της ισχύουσας νομοθεσίας, σε 19,81 ευρώ ημερησίως και όχι μεγαλύτερες από 495,25 ευρώ μηνιαίως για ωφελούμενους ηλικίας 25 ετών και άνω και σε 17,27 ευρώ ημερησίως και όχι μεγαλύτερες από 431,75 ευρώ μηνιαίως για ωφελούμενους ηλικίας κάτω των 25 ετών. Εκτός από τα παραπάνω καταβαλλόμενα ποσά, οι δικαιούχοι φορείς δεν υποχρεούνται να καταβάλλουν οποιαδήποτε άλλη παροχή ή ενίσχυση στους ωφελούμενους.</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Ι.Κ.Α.−Ε.Τ.Α.Μ.− Ε.Τ.Ε.Α., με εξαίρεση ωφελούμενους, ασφαλισμένους μετά την 1.1.1993, που λόγω ιδιότητας ή άσκησης δραστηριότητας υπάγονται στην ασφάλιση του Ε.Τ.Α.Α.. Οι εισφορές που έχουν ήδη καταβληθεί για την ασφάλιση των ωφελούμενων στο Ι.Κ.Α.− Ε.Τ.Α.Μ. και Ε.Τ.Ε.Α. αποδίδονται στους αντίστοιχους τομείς Τ.Σ.Μ.Ε.Δ.Ε., Τ.Σ.ΑΥ. και Τ.Α.Ν. των Κλάδων κύριας και επικουρικής ασφάλισης του Ε.Τ.Α.Α., για την ασφαλιστική τους τακτοποίηση.</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7.</w:t>
      </w:r>
      <w:r>
        <w:rPr>
          <w:lang w:val="el" w:eastAsia="el"/>
        </w:rPr>
        <w:t xml:space="preserve"> Για την εφαρμογή και εκτέλεση των προγραμμάτων της περίπτωσης 1 της υποπαραγράφου αυτής οι δικαιούχοι φορείς υποχρεούνται να διασφαλίζουν την υγιεινή και ασφάλεια, στον τόπο παροχής εργασίας, των ωφελουμένων.</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w:t>
      </w:r>
    </w:p>
    <w:p>
      <w:pPr>
        <w:spacing w:before="240" w:after="240"/>
        <w:rPr>
          <w:lang w:val="el" w:eastAsia="el"/>
        </w:rPr>
      </w:pPr>
      <w:r>
        <w:rPr>
          <w:lang w:val="el" w:eastAsia="el"/>
        </w:rPr>
        <w:t>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1Γ/2008 που κυρώθηκε με την αριθμ. 259/11.2.2010 απόφαση του Γ΄ Τμήματος του Α.Σ.Ε.Π. (Γ΄146), ως ημερομηνία διορισμού, σε ό, τι αφορά αποκλειστικά τον τρόπο υπολογισμού των μισθολογικών τους αποδοχών και το βαθμολογικό τους καθεστώς, λογίζεται η ημερομηνία δημοσίευσης των οριστικών πινάκων του ΑΣΕΠ.Η ρύθμιση του προηγούμενου εδαφίου εφαρμόζεται από 1.6.2013.</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προϋποθέσεις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 w:history="1">
        <w:r>
          <w:rPr>
            <w:rStyle w:val="Hyperlink"/>
            <w:color w:val="0000EE"/>
            <w:u w:color="0000EE"/>
            <w:lang w:val="el" w:eastAsia="el"/>
          </w:rPr>
          <w:t>Τροποποίηση 4336/2015,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74" w:history="1">
        <w:r>
          <w:rPr>
            <w:rStyle w:val="Hyperlink"/>
            <w:color w:val="0000EE"/>
            <w:u w:color="0000EE"/>
            <w:lang w:val="el" w:eastAsia="el"/>
          </w:rPr>
          <w:t>Τροποποίηση 4174/2013, Άρθρο 74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74" w:history="1">
        <w:r>
          <w:rPr>
            <w:rStyle w:val="Hyperlink"/>
            <w:color w:val="0000EE"/>
            <w:u w:color="0000EE"/>
            <w:lang w:val="el" w:eastAsia="el"/>
          </w:rPr>
          <w:t>Τροποποίηση 4174/2013, Άρθρο 74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88" w:history="1">
        <w:r>
          <w:rPr>
            <w:rStyle w:val="Hyperlink"/>
            <w:color w:val="0000EE"/>
            <w:u w:color="0000EE"/>
            <w:lang w:val="el" w:eastAsia="el"/>
          </w:rPr>
          <w:t>Αφαίρεση 4172/2013, Άρθρο 88</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07" w:history="1">
        <w:r>
          <w:rPr>
            <w:rStyle w:val="Hyperlink"/>
            <w:color w:val="0000EE"/>
            <w:u w:color="0000EE"/>
            <w:lang w:val="el" w:eastAsia="el"/>
          </w:rPr>
          <w:t>Τροποποίηση 4316/2014, Άρθρο 107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73" w:history="1">
        <w:r>
          <w:rPr>
            <w:rStyle w:val="Hyperlink"/>
            <w:color w:val="0000EE"/>
            <w:u w:color="0000EE"/>
            <w:lang w:val="el" w:eastAsia="el"/>
          </w:rPr>
          <w:t>Τροποποίηση 4170/2013, Άρθρο 73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8" w:history="1">
        <w:r>
          <w:rPr>
            <w:rStyle w:val="Hyperlink"/>
            <w:color w:val="0000EE"/>
            <w:u w:color="0000EE"/>
            <w:lang w:val="el" w:eastAsia="el"/>
          </w:rPr>
          <w:t>Τροποποίηση 4223/2013, Άρθρο 38</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8" w:history="1">
        <w:r>
          <w:rPr>
            <w:rStyle w:val="Hyperlink"/>
            <w:color w:val="0000EE"/>
            <w:u w:color="0000EE"/>
            <w:lang w:val="el" w:eastAsia="el"/>
          </w:rPr>
          <w:t>Αφαίρεση 4223/2013, Άρθρο 38</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38" w:history="1">
        <w:r>
          <w:rPr>
            <w:rStyle w:val="Hyperlink"/>
            <w:color w:val="0000EE"/>
            <w:u w:color="0000EE"/>
            <w:lang w:val="el" w:eastAsia="el"/>
          </w:rPr>
          <w:t>Τροποποίηση 4223/2013, Άρθρο 38</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4254/2014, Άρθρο 1</w:t>
        </w:r>
      </w:hyperlink>
      <w:r>
        <w:rPr>
          <w:lang w:val="el" w:eastAsia="el"/>
        </w:rPr>
        <w:t xml:space="preserve">; </w:t>
      </w:r>
      <w:hyperlink r:id="rId11" w:anchor="art_38" w:history="1">
        <w:r>
          <w:rPr>
            <w:rStyle w:val="Hyperlink"/>
            <w:color w:val="0000EE"/>
            <w:u w:color="0000EE"/>
            <w:lang w:val="el" w:eastAsia="el"/>
          </w:rPr>
          <w:t>Προσθήκη 4223/2013, Άρθρο 38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Αφαίρεση 4254/2014, Άρθρο 1</w:t>
        </w:r>
      </w:hyperlink>
      <w:r>
        <w:rPr>
          <w:lang w:val="el" w:eastAsia="el"/>
        </w:rPr>
        <w:t xml:space="preserve">; </w:t>
      </w:r>
      <w:hyperlink r:id="rId13" w:anchor="art_73" w:history="1">
        <w:r>
          <w:rPr>
            <w:rStyle w:val="Hyperlink"/>
            <w:color w:val="0000EE"/>
            <w:u w:color="0000EE"/>
            <w:lang w:val="el" w:eastAsia="el"/>
          </w:rPr>
          <w:t>Τροποποίηση 4170/2013, Άρθρο 73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Αφαίρεση 4254/2014, Άρθρο 1</w:t>
        </w:r>
      </w:hyperlink>
      <w:r>
        <w:rPr>
          <w:lang w:val="el" w:eastAsia="el"/>
        </w:rPr>
        <w:t xml:space="preserve">; </w:t>
      </w:r>
      <w:hyperlink r:id="rId15" w:anchor="art_38" w:history="1">
        <w:r>
          <w:rPr>
            <w:rStyle w:val="Hyperlink"/>
            <w:color w:val="0000EE"/>
            <w:u w:color="0000EE"/>
            <w:lang w:val="el" w:eastAsia="el"/>
          </w:rPr>
          <w:t>Τροποποίηση 4223/2013, Άρθρο 38</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Αφαίρεση 4254/2014, Άρθρο 1</w:t>
        </w:r>
      </w:hyperlink>
      <w:r>
        <w:rPr>
          <w:lang w:val="el" w:eastAsia="el"/>
        </w:rPr>
        <w:t xml:space="preserve">; </w:t>
      </w:r>
      <w:hyperlink r:id="rId17" w:anchor="art_38" w:history="1">
        <w:r>
          <w:rPr>
            <w:rStyle w:val="Hyperlink"/>
            <w:color w:val="0000EE"/>
            <w:u w:color="0000EE"/>
            <w:lang w:val="el" w:eastAsia="el"/>
          </w:rPr>
          <w:t>Τροποποίηση 4223/2013, Άρθρο 38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Αφαίρεση 4254/2014, Άρθρο 1</w:t>
        </w:r>
      </w:hyperlink>
      <w:r>
        <w:rPr>
          <w:lang w:val="el" w:eastAsia="el"/>
        </w:rPr>
        <w:t xml:space="preserve">; </w:t>
      </w:r>
      <w:hyperlink r:id="rId19" w:anchor="art_38" w:history="1">
        <w:r>
          <w:rPr>
            <w:rStyle w:val="Hyperlink"/>
            <w:color w:val="0000EE"/>
            <w:u w:color="0000EE"/>
            <w:lang w:val="el" w:eastAsia="el"/>
          </w:rPr>
          <w:t>Αφαίρεση 4223/2013, Άρθρο 38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8" w:history="1">
        <w:r>
          <w:rPr>
            <w:rStyle w:val="Hyperlink"/>
            <w:color w:val="0000EE"/>
            <w:u w:color="0000EE"/>
            <w:lang w:val="el" w:eastAsia="el"/>
          </w:rPr>
          <w:t>Τροποποίηση 4223/2013, Άρθρο 38</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8" w:history="1">
        <w:r>
          <w:rPr>
            <w:rStyle w:val="Hyperlink"/>
            <w:color w:val="0000EE"/>
            <w:u w:color="0000EE"/>
            <w:lang w:val="el" w:eastAsia="el"/>
          </w:rPr>
          <w:t>Τροποποίηση 4223/2013, Άρθρο 38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8" w:history="1">
        <w:r>
          <w:rPr>
            <w:rStyle w:val="Hyperlink"/>
            <w:color w:val="0000EE"/>
            <w:u w:color="0000EE"/>
            <w:lang w:val="el" w:eastAsia="el"/>
          </w:rPr>
          <w:t>Τροποποίηση 4223/2013, Άρθρο 38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8" w:history="1">
        <w:r>
          <w:rPr>
            <w:rStyle w:val="Hyperlink"/>
            <w:color w:val="0000EE"/>
            <w:u w:color="0000EE"/>
            <w:lang w:val="el" w:eastAsia="el"/>
          </w:rPr>
          <w:t>Αφαίρεση 4223/2013, Άρθρο 38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38" w:history="1">
        <w:r>
          <w:rPr>
            <w:rStyle w:val="Hyperlink"/>
            <w:color w:val="0000EE"/>
            <w:u w:color="0000EE"/>
            <w:lang w:val="el" w:eastAsia="el"/>
          </w:rPr>
          <w:t>Αφαίρεση 4223/2013, Άρθρο 38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8" w:history="1">
        <w:r>
          <w:rPr>
            <w:rStyle w:val="Hyperlink"/>
            <w:color w:val="0000EE"/>
            <w:u w:color="0000EE"/>
            <w:lang w:val="el" w:eastAsia="el"/>
          </w:rPr>
          <w:t>Τροποποίηση 4223/2013, Άρθρο 38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99" w:history="1">
        <w:r>
          <w:rPr>
            <w:rStyle w:val="Hyperlink"/>
            <w:color w:val="0000EE"/>
            <w:u w:color="0000EE"/>
            <w:lang w:val="el" w:eastAsia="el"/>
          </w:rPr>
          <w:t>Αφαίρεση 4281/2014, Άρθρο 199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73" w:history="1">
        <w:r>
          <w:rPr>
            <w:rStyle w:val="Hyperlink"/>
            <w:color w:val="0000EE"/>
            <w:u w:color="0000EE"/>
            <w:lang w:val="el" w:eastAsia="el"/>
          </w:rPr>
          <w:t>Προσθήκη 4170/2013, Άρθρο 73</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40" w:history="1">
        <w:r>
          <w:rPr>
            <w:rStyle w:val="Hyperlink"/>
            <w:color w:val="0000EE"/>
            <w:u w:color="0000EE"/>
            <w:lang w:val="el" w:eastAsia="el"/>
          </w:rPr>
          <w:t>Αφαίρεση 4264/2014, Άρθρο 40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40" w:history="1">
        <w:r>
          <w:rPr>
            <w:rStyle w:val="Hyperlink"/>
            <w:color w:val="0000EE"/>
            <w:u w:color="0000EE"/>
            <w:lang w:val="el" w:eastAsia="el"/>
          </w:rPr>
          <w:t>Αφαίρεση 4264/2014, Άρθρο 40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0" w:history="1">
        <w:r>
          <w:rPr>
            <w:rStyle w:val="Hyperlink"/>
            <w:color w:val="0000EE"/>
            <w:u w:color="0000EE"/>
            <w:lang w:val="el" w:eastAsia="el"/>
          </w:rPr>
          <w:t>Αφαίρεση 4264/2014, Άρθρο 40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0" w:history="1">
        <w:r>
          <w:rPr>
            <w:rStyle w:val="Hyperlink"/>
            <w:color w:val="0000EE"/>
            <w:u w:color="0000EE"/>
            <w:lang w:val="el" w:eastAsia="el"/>
          </w:rPr>
          <w:t>Τροποποίηση 4203/2013, Άρθρο 20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0" w:history="1">
        <w:r>
          <w:rPr>
            <w:rStyle w:val="Hyperlink"/>
            <w:color w:val="0000EE"/>
            <w:u w:color="0000EE"/>
            <w:lang w:val="el" w:eastAsia="el"/>
          </w:rPr>
          <w:t>Τροποποίηση 4203/2013, Άρθρο 20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20" w:history="1">
        <w:r>
          <w:rPr>
            <w:rStyle w:val="Hyperlink"/>
            <w:color w:val="0000EE"/>
            <w:u w:color="0000EE"/>
            <w:lang w:val="el" w:eastAsia="el"/>
          </w:rPr>
          <w:t>Τροποποίηση 4203/2013, Άρθρο 20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0" w:history="1">
        <w:r>
          <w:rPr>
            <w:rStyle w:val="Hyperlink"/>
            <w:color w:val="0000EE"/>
            <w:u w:color="0000EE"/>
            <w:lang w:val="el" w:eastAsia="el"/>
          </w:rPr>
          <w:t>Τροποποίηση 4203/2013, Άρθρο 20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6" w:history="1">
        <w:r>
          <w:rPr>
            <w:rStyle w:val="Hyperlink"/>
            <w:color w:val="0000EE"/>
            <w:u w:color="0000EE"/>
            <w:lang w:val="el" w:eastAsia="el"/>
          </w:rPr>
          <w:t>Τροποποίηση 4296/2014, Άρθρο 6</w:t>
        </w:r>
      </w:hyperlink>
      <w:r>
        <w:rPr>
          <w:lang w:val="el" w:eastAsia="el"/>
        </w:rPr>
        <w:t xml:space="preserve">; </w:t>
      </w:r>
      <w:hyperlink r:id="rId36" w:anchor="art_20" w:history="1">
        <w:r>
          <w:rPr>
            <w:rStyle w:val="Hyperlink"/>
            <w:color w:val="0000EE"/>
            <w:u w:color="0000EE"/>
            <w:lang w:val="el" w:eastAsia="el"/>
          </w:rPr>
          <w:t>Τροποποίηση 4203/2013, Άρθρο 20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0" w:history="1">
        <w:r>
          <w:rPr>
            <w:rStyle w:val="Hyperlink"/>
            <w:color w:val="0000EE"/>
            <w:u w:color="0000EE"/>
            <w:lang w:val="el" w:eastAsia="el"/>
          </w:rPr>
          <w:t>Τροποποίηση 4203/2013, Άρθρο 20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8" w:history="1">
        <w:r>
          <w:rPr>
            <w:rStyle w:val="Hyperlink"/>
            <w:color w:val="0000EE"/>
            <w:u w:color="0000EE"/>
            <w:lang w:val="el" w:eastAsia="el"/>
          </w:rPr>
          <w:t>Προσθήκη 4203/2013, Άρθρο 28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425/2014, Άρθρο 12</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2" w:history="1">
        <w:r>
          <w:rPr>
            <w:rStyle w:val="Hyperlink"/>
            <w:color w:val="0000EE"/>
            <w:u w:color="0000EE"/>
            <w:lang w:val="el" w:eastAsia="el"/>
          </w:rPr>
          <w:t>Τροποποίηση 4225/2014, Άρθρο 12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2" w:history="1">
        <w:r>
          <w:rPr>
            <w:rStyle w:val="Hyperlink"/>
            <w:color w:val="0000EE"/>
            <w:u w:color="0000EE"/>
            <w:lang w:val="el" w:eastAsia="el"/>
          </w:rPr>
          <w:t>Αφαίρεση 4225/2014, Άρθρο 12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2" w:history="1">
        <w:r>
          <w:rPr>
            <w:rStyle w:val="Hyperlink"/>
            <w:color w:val="0000EE"/>
            <w:u w:color="0000EE"/>
            <w:lang w:val="el" w:eastAsia="el"/>
          </w:rPr>
          <w:t>Αφαίρεση 4336/2015, Άρθρο 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 w:history="1">
        <w:r>
          <w:rPr>
            <w:rStyle w:val="Hyperlink"/>
            <w:color w:val="0000EE"/>
            <w:u w:color="0000EE"/>
            <w:lang w:val="el" w:eastAsia="el"/>
          </w:rPr>
          <w:t>Προσθήκη 4336/2015, Άρθρο 2</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 w:history="1">
        <w:r>
          <w:rPr>
            <w:rStyle w:val="Hyperlink"/>
            <w:color w:val="0000EE"/>
            <w:u w:color="0000EE"/>
            <w:lang w:val="el" w:eastAsia="el"/>
          </w:rPr>
          <w:t>Προσθήκη 4336/2015, Άρθρο 2</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 w:history="1">
        <w:r>
          <w:rPr>
            <w:rStyle w:val="Hyperlink"/>
            <w:color w:val="0000EE"/>
            <w:u w:color="0000EE"/>
            <w:lang w:val="el" w:eastAsia="el"/>
          </w:rPr>
          <w:t>Τροποποίηση 4336/2015, Άρθρο 2</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2" w:history="1">
        <w:r>
          <w:rPr>
            <w:rStyle w:val="Hyperlink"/>
            <w:color w:val="0000EE"/>
            <w:u w:color="0000EE"/>
            <w:lang w:val="el" w:eastAsia="el"/>
          </w:rPr>
          <w:t>Αφαίρεση 4225/2014, Άρθρο 12</w:t>
        </w:r>
      </w:hyperlink>
      <w:r>
        <w:rPr>
          <w:lang w:val="el" w:eastAsia="el"/>
        </w:rPr>
        <w:t>; Τροποποίηση 4180/2013, Άρθρο 17</w:t>
      </w:r>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2" w:history="1">
        <w:r>
          <w:rPr>
            <w:rStyle w:val="Hyperlink"/>
            <w:color w:val="0000EE"/>
            <w:u w:color="0000EE"/>
            <w:lang w:val="el" w:eastAsia="el"/>
          </w:rPr>
          <w:t>Τροποποίηση 4225/2014, Άρθρο 12</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5" w:history="1">
        <w:r>
          <w:rPr>
            <w:rStyle w:val="Hyperlink"/>
            <w:color w:val="0000EE"/>
            <w:u w:color="0000EE"/>
            <w:lang w:val="el" w:eastAsia="el"/>
          </w:rPr>
          <w:t>Αφαίρεση 4320/2015, Άρθρο 15</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5" w:history="1">
        <w:r>
          <w:rPr>
            <w:rStyle w:val="Hyperlink"/>
            <w:color w:val="0000EE"/>
            <w:u w:color="0000EE"/>
            <w:lang w:val="el" w:eastAsia="el"/>
          </w:rPr>
          <w:t>Αφαίρεση 4320/2015, Άρθρο 15</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5" w:history="1">
        <w:r>
          <w:rPr>
            <w:rStyle w:val="Hyperlink"/>
            <w:color w:val="0000EE"/>
            <w:u w:color="0000EE"/>
            <w:lang w:val="el" w:eastAsia="el"/>
          </w:rPr>
          <w:t>Αφαίρεση 4320/2015, Άρθρο 15</w:t>
        </w:r>
      </w:hyperlink>
      <w:r>
        <w:rPr>
          <w:lang w:val="el" w:eastAsia="el"/>
        </w:rPr>
        <w:t xml:space="preserve">; </w:t>
      </w:r>
      <w:hyperlink r:id="rId50" w:anchor="art_69" w:history="1">
        <w:r>
          <w:rPr>
            <w:rStyle w:val="Hyperlink"/>
            <w:color w:val="0000EE"/>
            <w:u w:color="0000EE"/>
            <w:lang w:val="el" w:eastAsia="el"/>
          </w:rPr>
          <w:t>Τροποποίηση 4316/2014, Άρθρο 69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5" w:history="1">
        <w:r>
          <w:rPr>
            <w:rStyle w:val="Hyperlink"/>
            <w:color w:val="0000EE"/>
            <w:u w:color="0000EE"/>
            <w:lang w:val="el" w:eastAsia="el"/>
          </w:rPr>
          <w:t>Αφαίρεση 4320/2015, Άρθρο 15</w:t>
        </w:r>
      </w:hyperlink>
      <w:r>
        <w:rPr>
          <w:lang w:val="el" w:eastAsia="el"/>
        </w:rPr>
        <w:t xml:space="preserve">; </w:t>
      </w:r>
      <w:hyperlink r:id="rId52" w:anchor="art_69" w:history="1">
        <w:r>
          <w:rPr>
            <w:rStyle w:val="Hyperlink"/>
            <w:color w:val="0000EE"/>
            <w:u w:color="0000EE"/>
            <w:lang w:val="el" w:eastAsia="el"/>
          </w:rPr>
          <w:t>Προσθήκη 4316/2014, Άρθρο 69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15" w:history="1">
        <w:r>
          <w:rPr>
            <w:rStyle w:val="Hyperlink"/>
            <w:color w:val="0000EE"/>
            <w:u w:color="0000EE"/>
            <w:lang w:val="el" w:eastAsia="el"/>
          </w:rPr>
          <w:t>Αφαίρεση 4320/2015, Άρθρο 15</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5" w:history="1">
        <w:r>
          <w:rPr>
            <w:rStyle w:val="Hyperlink"/>
            <w:color w:val="0000EE"/>
            <w:u w:color="0000EE"/>
            <w:lang w:val="el" w:eastAsia="el"/>
          </w:rPr>
          <w:t>Αφαίρεση 4320/2015, Άρθρο 15</w:t>
        </w:r>
      </w:hyperlink>
      <w:r>
        <w:rPr>
          <w:lang w:val="el" w:eastAsia="el"/>
        </w:rPr>
        <w:t xml:space="preserve">; </w:t>
      </w:r>
      <w:hyperlink r:id="rId55" w:anchor="art_69" w:history="1">
        <w:r>
          <w:rPr>
            <w:rStyle w:val="Hyperlink"/>
            <w:color w:val="0000EE"/>
            <w:u w:color="0000EE"/>
            <w:lang w:val="el" w:eastAsia="el"/>
          </w:rPr>
          <w:t>Τροποποίηση 4316/2014, Άρθρο 69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5" w:history="1">
        <w:r>
          <w:rPr>
            <w:rStyle w:val="Hyperlink"/>
            <w:color w:val="0000EE"/>
            <w:u w:color="0000EE"/>
            <w:lang w:val="el" w:eastAsia="el"/>
          </w:rPr>
          <w:t>Αφαίρεση 4320/2015, Άρθρο 15</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5" w:history="1">
        <w:r>
          <w:rPr>
            <w:rStyle w:val="Hyperlink"/>
            <w:color w:val="0000EE"/>
            <w:u w:color="0000EE"/>
            <w:lang w:val="el" w:eastAsia="el"/>
          </w:rPr>
          <w:t>Αφαίρεση 4320/2015, Άρθρο 15</w:t>
        </w:r>
      </w:hyperlink>
      <w:r>
        <w:rPr>
          <w:lang w:val="el" w:eastAsia="el"/>
        </w:rPr>
        <w:t xml:space="preserve">; </w:t>
      </w:r>
      <w:hyperlink r:id="rId58" w:anchor="art_69" w:history="1">
        <w:r>
          <w:rPr>
            <w:rStyle w:val="Hyperlink"/>
            <w:color w:val="0000EE"/>
            <w:u w:color="0000EE"/>
            <w:lang w:val="el" w:eastAsia="el"/>
          </w:rPr>
          <w:t>Τροποποίηση 4316/2014, Άρθρο 69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5" w:history="1">
        <w:r>
          <w:rPr>
            <w:rStyle w:val="Hyperlink"/>
            <w:color w:val="0000EE"/>
            <w:u w:color="0000EE"/>
            <w:lang w:val="el" w:eastAsia="el"/>
          </w:rPr>
          <w:t>Αφαίρεση 4320/2015, Άρθρο 15</w:t>
        </w:r>
      </w:hyperlink>
      <w:r>
        <w:rPr>
          <w:lang w:val="el" w:eastAsia="el"/>
        </w:rPr>
        <w:t xml:space="preserve">; </w:t>
      </w:r>
      <w:hyperlink r:id="rId60" w:anchor="art_69" w:history="1">
        <w:r>
          <w:rPr>
            <w:rStyle w:val="Hyperlink"/>
            <w:color w:val="0000EE"/>
            <w:u w:color="0000EE"/>
            <w:lang w:val="el" w:eastAsia="el"/>
          </w:rPr>
          <w:t>Τροποποίηση 4316/2014, Άρθρο 69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5" w:history="1">
        <w:r>
          <w:rPr>
            <w:rStyle w:val="Hyperlink"/>
            <w:color w:val="0000EE"/>
            <w:u w:color="0000EE"/>
            <w:lang w:val="el" w:eastAsia="el"/>
          </w:rPr>
          <w:t>Αφαίρεση 4320/2015, Άρθρο 15</w:t>
        </w:r>
      </w:hyperlink>
      <w:r>
        <w:rPr>
          <w:lang w:val="el" w:eastAsia="el"/>
        </w:rPr>
        <w:t xml:space="preserve">; </w:t>
      </w:r>
      <w:hyperlink r:id="rId62" w:anchor="art_69" w:history="1">
        <w:r>
          <w:rPr>
            <w:rStyle w:val="Hyperlink"/>
            <w:color w:val="0000EE"/>
            <w:u w:color="0000EE"/>
            <w:lang w:val="el" w:eastAsia="el"/>
          </w:rPr>
          <w:t>Τροποποίηση 4316/2014, Άρθρο 69</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5" w:history="1">
        <w:r>
          <w:rPr>
            <w:rStyle w:val="Hyperlink"/>
            <w:color w:val="0000EE"/>
            <w:u w:color="0000EE"/>
            <w:lang w:val="el" w:eastAsia="el"/>
          </w:rPr>
          <w:t>Αφαίρεση 4320/2015, Άρθρο 15</w:t>
        </w:r>
      </w:hyperlink>
      <w:r>
        <w:rPr>
          <w:lang w:val="el" w:eastAsia="el"/>
        </w:rPr>
        <w:t xml:space="preserve">; </w:t>
      </w:r>
      <w:hyperlink r:id="rId64" w:anchor="art_69" w:history="1">
        <w:r>
          <w:rPr>
            <w:rStyle w:val="Hyperlink"/>
            <w:color w:val="0000EE"/>
            <w:u w:color="0000EE"/>
            <w:lang w:val="el" w:eastAsia="el"/>
          </w:rPr>
          <w:t>Τροποποίηση 4316/2014, Άρθρο 69</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5" w:history="1">
        <w:r>
          <w:rPr>
            <w:rStyle w:val="Hyperlink"/>
            <w:color w:val="0000EE"/>
            <w:u w:color="0000EE"/>
            <w:lang w:val="el" w:eastAsia="el"/>
          </w:rPr>
          <w:t>Αφαίρεση 4320/2015, Άρθρο 15</w:t>
        </w:r>
      </w:hyperlink>
      <w:r>
        <w:rPr>
          <w:lang w:val="el" w:eastAsia="el"/>
        </w:rPr>
        <w:t xml:space="preserve">; </w:t>
      </w:r>
      <w:hyperlink r:id="rId66" w:anchor="art_69" w:history="1">
        <w:r>
          <w:rPr>
            <w:rStyle w:val="Hyperlink"/>
            <w:color w:val="0000EE"/>
            <w:u w:color="0000EE"/>
            <w:lang w:val="el" w:eastAsia="el"/>
          </w:rPr>
          <w:t>Τροποποίηση 4316/2014, Άρθρο 69</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5" w:history="1">
        <w:r>
          <w:rPr>
            <w:rStyle w:val="Hyperlink"/>
            <w:color w:val="0000EE"/>
            <w:u w:color="0000EE"/>
            <w:lang w:val="el" w:eastAsia="el"/>
          </w:rPr>
          <w:t>Αφαίρεση 4320/2015, Άρθρο 15</w:t>
        </w:r>
      </w:hyperlink>
      <w:r>
        <w:rPr>
          <w:lang w:val="el" w:eastAsia="el"/>
        </w:rPr>
        <w:t xml:space="preserve">; </w:t>
      </w:r>
      <w:hyperlink r:id="rId68" w:anchor="art_69" w:history="1">
        <w:r>
          <w:rPr>
            <w:rStyle w:val="Hyperlink"/>
            <w:color w:val="0000EE"/>
            <w:u w:color="0000EE"/>
            <w:lang w:val="el" w:eastAsia="el"/>
          </w:rPr>
          <w:t>Τροποποίηση 4316/2014, Άρθρο 69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5" w:history="1">
        <w:r>
          <w:rPr>
            <w:rStyle w:val="Hyperlink"/>
            <w:color w:val="0000EE"/>
            <w:u w:color="0000EE"/>
            <w:lang w:val="el" w:eastAsia="el"/>
          </w:rPr>
          <w:t>Αφαίρεση 4320/2015, Άρθρο 15</w:t>
        </w:r>
      </w:hyperlink>
      <w:r>
        <w:rPr>
          <w:lang w:val="el" w:eastAsia="el"/>
        </w:rPr>
        <w:t xml:space="preserve">; </w:t>
      </w:r>
      <w:hyperlink r:id="rId70" w:anchor="art_69" w:history="1">
        <w:r>
          <w:rPr>
            <w:rStyle w:val="Hyperlink"/>
            <w:color w:val="0000EE"/>
            <w:u w:color="0000EE"/>
            <w:lang w:val="el" w:eastAsia="el"/>
          </w:rPr>
          <w:t>Τροποποίηση 4316/2014, Άρθρο 69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5" w:history="1">
        <w:r>
          <w:rPr>
            <w:rStyle w:val="Hyperlink"/>
            <w:color w:val="0000EE"/>
            <w:u w:color="0000EE"/>
            <w:lang w:val="el" w:eastAsia="el"/>
          </w:rPr>
          <w:t>Αφαίρεση 4320/2015, Άρθρο 15</w:t>
        </w:r>
      </w:hyperlink>
      <w:r>
        <w:rPr>
          <w:lang w:val="el" w:eastAsia="el"/>
        </w:rPr>
        <w:t xml:space="preserve">; </w:t>
      </w:r>
      <w:hyperlink r:id="rId72" w:anchor="art_69" w:history="1">
        <w:r>
          <w:rPr>
            <w:rStyle w:val="Hyperlink"/>
            <w:color w:val="0000EE"/>
            <w:u w:color="0000EE"/>
            <w:lang w:val="el" w:eastAsia="el"/>
          </w:rPr>
          <w:t>Τροποποίηση 4316/2014, Άρθρο 69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5" w:history="1">
        <w:r>
          <w:rPr>
            <w:rStyle w:val="Hyperlink"/>
            <w:color w:val="0000EE"/>
            <w:u w:color="0000EE"/>
            <w:lang w:val="el" w:eastAsia="el"/>
          </w:rPr>
          <w:t>Αφαίρεση 4320/2015, Άρθρο 15</w:t>
        </w:r>
      </w:hyperlink>
      <w:r>
        <w:rPr>
          <w:lang w:val="el" w:eastAsia="el"/>
        </w:rPr>
        <w:t xml:space="preserve">; </w:t>
      </w:r>
      <w:hyperlink r:id="rId74" w:anchor="art_69" w:history="1">
        <w:r>
          <w:rPr>
            <w:rStyle w:val="Hyperlink"/>
            <w:color w:val="0000EE"/>
            <w:u w:color="0000EE"/>
            <w:lang w:val="el" w:eastAsia="el"/>
          </w:rPr>
          <w:t>Τροποποίηση 4316/2014, Άρθρο 69</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5" w:history="1">
        <w:r>
          <w:rPr>
            <w:rStyle w:val="Hyperlink"/>
            <w:color w:val="0000EE"/>
            <w:u w:color="0000EE"/>
            <w:lang w:val="el" w:eastAsia="el"/>
          </w:rPr>
          <w:t>Αφαίρεση 4320/2015, Άρθρο 15</w:t>
        </w:r>
      </w:hyperlink>
      <w:r>
        <w:rPr>
          <w:lang w:val="el" w:eastAsia="el"/>
        </w:rPr>
        <w:t xml:space="preserve">; </w:t>
      </w:r>
      <w:hyperlink r:id="rId76" w:anchor="art_69" w:history="1">
        <w:r>
          <w:rPr>
            <w:rStyle w:val="Hyperlink"/>
            <w:color w:val="0000EE"/>
            <w:u w:color="0000EE"/>
            <w:lang w:val="el" w:eastAsia="el"/>
          </w:rPr>
          <w:t>Τροποποίηση 4316/2014, Άρθρο 69</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5" w:history="1">
        <w:r>
          <w:rPr>
            <w:rStyle w:val="Hyperlink"/>
            <w:color w:val="0000EE"/>
            <w:u w:color="0000EE"/>
            <w:lang w:val="el" w:eastAsia="el"/>
          </w:rPr>
          <w:t>Αφαίρεση 4320/2015, Άρθρο 15</w:t>
        </w:r>
      </w:hyperlink>
      <w:r>
        <w:rPr>
          <w:lang w:val="el" w:eastAsia="el"/>
        </w:rPr>
        <w:t xml:space="preserve">; </w:t>
      </w:r>
      <w:hyperlink r:id="rId78" w:anchor="art_69" w:history="1">
        <w:r>
          <w:rPr>
            <w:rStyle w:val="Hyperlink"/>
            <w:color w:val="0000EE"/>
            <w:u w:color="0000EE"/>
            <w:lang w:val="el" w:eastAsia="el"/>
          </w:rPr>
          <w:t>Τροποποίηση 4316/2014, Άρθρο 69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5" w:history="1">
        <w:r>
          <w:rPr>
            <w:rStyle w:val="Hyperlink"/>
            <w:color w:val="0000EE"/>
            <w:u w:color="0000EE"/>
            <w:lang w:val="el" w:eastAsia="el"/>
          </w:rPr>
          <w:t>Αφαίρεση 4320/2015, Άρθρο 15</w:t>
        </w:r>
      </w:hyperlink>
      <w:r>
        <w:rPr>
          <w:lang w:val="el" w:eastAsia="el"/>
        </w:rPr>
        <w:t xml:space="preserve">; </w:t>
      </w:r>
      <w:hyperlink r:id="rId80" w:anchor="art_69" w:history="1">
        <w:r>
          <w:rPr>
            <w:rStyle w:val="Hyperlink"/>
            <w:color w:val="0000EE"/>
            <w:u w:color="0000EE"/>
            <w:lang w:val="el" w:eastAsia="el"/>
          </w:rPr>
          <w:t>Τροποποίηση 4316/2014, Άρθρο 69</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5" w:history="1">
        <w:r>
          <w:rPr>
            <w:rStyle w:val="Hyperlink"/>
            <w:color w:val="0000EE"/>
            <w:u w:color="0000EE"/>
            <w:lang w:val="el" w:eastAsia="el"/>
          </w:rPr>
          <w:t>Αφαίρεση 4320/2015, Άρθρο 15</w:t>
        </w:r>
      </w:hyperlink>
      <w:r>
        <w:rPr>
          <w:lang w:val="el" w:eastAsia="el"/>
        </w:rPr>
        <w:t xml:space="preserve">; </w:t>
      </w:r>
      <w:hyperlink r:id="rId82" w:anchor="art_69" w:history="1">
        <w:r>
          <w:rPr>
            <w:rStyle w:val="Hyperlink"/>
            <w:color w:val="0000EE"/>
            <w:u w:color="0000EE"/>
            <w:lang w:val="el" w:eastAsia="el"/>
          </w:rPr>
          <w:t>Τροποποίηση 4316/2014, Άρθρο 69</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5" w:history="1">
        <w:r>
          <w:rPr>
            <w:rStyle w:val="Hyperlink"/>
            <w:color w:val="0000EE"/>
            <w:u w:color="0000EE"/>
            <w:lang w:val="el" w:eastAsia="el"/>
          </w:rPr>
          <w:t>Αφαίρεση 4320/2015, Άρθρο 15</w:t>
        </w:r>
      </w:hyperlink>
      <w:r>
        <w:rPr>
          <w:lang w:val="el" w:eastAsia="el"/>
        </w:rPr>
        <w:t xml:space="preserve">; </w:t>
      </w:r>
      <w:hyperlink r:id="rId84" w:anchor="art_69" w:history="1">
        <w:r>
          <w:rPr>
            <w:rStyle w:val="Hyperlink"/>
            <w:color w:val="0000EE"/>
            <w:u w:color="0000EE"/>
            <w:lang w:val="el" w:eastAsia="el"/>
          </w:rPr>
          <w:t>Τροποποίηση 4316/2014, Άρθρο 69</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5" w:history="1">
        <w:r>
          <w:rPr>
            <w:rStyle w:val="Hyperlink"/>
            <w:color w:val="0000EE"/>
            <w:u w:color="0000EE"/>
            <w:lang w:val="el" w:eastAsia="el"/>
          </w:rPr>
          <w:t>Αφαίρεση 4320/2015, Άρθρο 15</w:t>
        </w:r>
      </w:hyperlink>
      <w:r>
        <w:rPr>
          <w:lang w:val="el" w:eastAsia="el"/>
        </w:rPr>
        <w:t xml:space="preserve">; </w:t>
      </w:r>
      <w:hyperlink r:id="rId86" w:anchor="art_69" w:history="1">
        <w:r>
          <w:rPr>
            <w:rStyle w:val="Hyperlink"/>
            <w:color w:val="0000EE"/>
            <w:u w:color="0000EE"/>
            <w:lang w:val="el" w:eastAsia="el"/>
          </w:rPr>
          <w:t>Τροποποίηση 4316/2014, Άρθρο 69</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5" w:history="1">
        <w:r>
          <w:rPr>
            <w:rStyle w:val="Hyperlink"/>
            <w:color w:val="0000EE"/>
            <w:u w:color="0000EE"/>
            <w:lang w:val="el" w:eastAsia="el"/>
          </w:rPr>
          <w:t>Αφαίρεση 4320/2015, Άρθρο 15</w:t>
        </w:r>
      </w:hyperlink>
      <w:r>
        <w:rPr>
          <w:lang w:val="el" w:eastAsia="el"/>
        </w:rPr>
        <w:t xml:space="preserve">; </w:t>
      </w:r>
      <w:hyperlink r:id="rId88" w:anchor="art_69" w:history="1">
        <w:r>
          <w:rPr>
            <w:rStyle w:val="Hyperlink"/>
            <w:color w:val="0000EE"/>
            <w:u w:color="0000EE"/>
            <w:lang w:val="el" w:eastAsia="el"/>
          </w:rPr>
          <w:t>Τροποποίηση 4316/2014, Άρθρο 69</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5" w:history="1">
        <w:r>
          <w:rPr>
            <w:rStyle w:val="Hyperlink"/>
            <w:color w:val="0000EE"/>
            <w:u w:color="0000EE"/>
            <w:lang w:val="el" w:eastAsia="el"/>
          </w:rPr>
          <w:t>Αφαίρεση 4320/2015, Άρθρο 15</w:t>
        </w:r>
      </w:hyperlink>
      <w:r>
        <w:rPr>
          <w:lang w:val="el" w:eastAsia="el"/>
        </w:rPr>
        <w:t xml:space="preserve">; </w:t>
      </w:r>
      <w:hyperlink r:id="rId90" w:anchor="art_69" w:history="1">
        <w:r>
          <w:rPr>
            <w:rStyle w:val="Hyperlink"/>
            <w:color w:val="0000EE"/>
            <w:u w:color="0000EE"/>
            <w:lang w:val="el" w:eastAsia="el"/>
          </w:rPr>
          <w:t>Τροποποίηση 4316/2014, Άρθρο 69</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5" w:history="1">
        <w:r>
          <w:rPr>
            <w:rStyle w:val="Hyperlink"/>
            <w:color w:val="0000EE"/>
            <w:u w:color="0000EE"/>
            <w:lang w:val="el" w:eastAsia="el"/>
          </w:rPr>
          <w:t>Αφαίρεση 4320/2015, Άρθρο 15</w:t>
        </w:r>
      </w:hyperlink>
      <w:r>
        <w:rPr>
          <w:lang w:val="el" w:eastAsia="el"/>
        </w:rPr>
        <w:t xml:space="preserve">; </w:t>
      </w:r>
      <w:hyperlink r:id="rId92" w:anchor="art_69" w:history="1">
        <w:r>
          <w:rPr>
            <w:rStyle w:val="Hyperlink"/>
            <w:color w:val="0000EE"/>
            <w:u w:color="0000EE"/>
            <w:lang w:val="el" w:eastAsia="el"/>
          </w:rPr>
          <w:t>Τροποποίηση 4316/2014, Άρθρο 69</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5" w:history="1">
        <w:r>
          <w:rPr>
            <w:rStyle w:val="Hyperlink"/>
            <w:color w:val="0000EE"/>
            <w:u w:color="0000EE"/>
            <w:lang w:val="el" w:eastAsia="el"/>
          </w:rPr>
          <w:t>Αφαίρεση 4320/2015, Άρθρο 15</w:t>
        </w:r>
      </w:hyperlink>
      <w:r>
        <w:rPr>
          <w:lang w:val="el" w:eastAsia="el"/>
        </w:rPr>
        <w:t xml:space="preserve">; </w:t>
      </w:r>
      <w:hyperlink r:id="rId94" w:anchor="art_69" w:history="1">
        <w:r>
          <w:rPr>
            <w:rStyle w:val="Hyperlink"/>
            <w:color w:val="0000EE"/>
            <w:u w:color="0000EE"/>
            <w:lang w:val="el" w:eastAsia="el"/>
          </w:rPr>
          <w:t>Τροποποίηση 4316/2014, Άρθρο 69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5" w:history="1">
        <w:r>
          <w:rPr>
            <w:rStyle w:val="Hyperlink"/>
            <w:color w:val="0000EE"/>
            <w:u w:color="0000EE"/>
            <w:lang w:val="el" w:eastAsia="el"/>
          </w:rPr>
          <w:t>Αφαίρεση 4320/2015, Άρθρο 15</w:t>
        </w:r>
      </w:hyperlink>
      <w:r>
        <w:rPr>
          <w:lang w:val="el" w:eastAsia="el"/>
        </w:rPr>
        <w:t xml:space="preserve">; </w:t>
      </w:r>
      <w:hyperlink r:id="rId96" w:anchor="art_69" w:history="1">
        <w:r>
          <w:rPr>
            <w:rStyle w:val="Hyperlink"/>
            <w:color w:val="0000EE"/>
            <w:u w:color="0000EE"/>
            <w:lang w:val="el" w:eastAsia="el"/>
          </w:rPr>
          <w:t>Τροποποίηση 4316/2014, Άρθρο 69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5" w:history="1">
        <w:r>
          <w:rPr>
            <w:rStyle w:val="Hyperlink"/>
            <w:color w:val="0000EE"/>
            <w:u w:color="0000EE"/>
            <w:lang w:val="el" w:eastAsia="el"/>
          </w:rPr>
          <w:t>Αφαίρεση 4320/2015, Άρθρο 15</w:t>
        </w:r>
      </w:hyperlink>
      <w:r>
        <w:rPr>
          <w:lang w:val="el" w:eastAsia="el"/>
        </w:rPr>
        <w:t xml:space="preserve">; </w:t>
      </w:r>
      <w:hyperlink r:id="rId98" w:anchor="art_69" w:history="1">
        <w:r>
          <w:rPr>
            <w:rStyle w:val="Hyperlink"/>
            <w:color w:val="0000EE"/>
            <w:u w:color="0000EE"/>
            <w:lang w:val="el" w:eastAsia="el"/>
          </w:rPr>
          <w:t>Τροποποίηση 4316/2014, Άρθρο 69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5" w:history="1">
        <w:r>
          <w:rPr>
            <w:rStyle w:val="Hyperlink"/>
            <w:color w:val="0000EE"/>
            <w:u w:color="0000EE"/>
            <w:lang w:val="el" w:eastAsia="el"/>
          </w:rPr>
          <w:t>Αφαίρεση 4320/2015, Άρθρο 15</w:t>
        </w:r>
      </w:hyperlink>
      <w:r>
        <w:rPr>
          <w:lang w:val="el" w:eastAsia="el"/>
        </w:rPr>
        <w:t xml:space="preserve">; </w:t>
      </w:r>
      <w:hyperlink r:id="rId100" w:anchor="art_69" w:history="1">
        <w:r>
          <w:rPr>
            <w:rStyle w:val="Hyperlink"/>
            <w:color w:val="0000EE"/>
            <w:u w:color="0000EE"/>
            <w:lang w:val="el" w:eastAsia="el"/>
          </w:rPr>
          <w:t>Τροποποίηση 4316/2014, Άρθρο 69</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5" w:history="1">
        <w:r>
          <w:rPr>
            <w:rStyle w:val="Hyperlink"/>
            <w:color w:val="0000EE"/>
            <w:u w:color="0000EE"/>
            <w:lang w:val="el" w:eastAsia="el"/>
          </w:rPr>
          <w:t>Αφαίρεση 4320/2015, Άρθρο 15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5" w:history="1">
        <w:r>
          <w:rPr>
            <w:rStyle w:val="Hyperlink"/>
            <w:color w:val="0000EE"/>
            <w:u w:color="0000EE"/>
            <w:lang w:val="el" w:eastAsia="el"/>
          </w:rPr>
          <w:t>Αφαίρεση 4320/2015, Άρθρο 15</w:t>
        </w:r>
      </w:hyperlink>
      <w:r>
        <w:rPr>
          <w:lang w:val="el" w:eastAsia="el"/>
        </w:rPr>
        <w:t xml:space="preserve">; </w:t>
      </w:r>
      <w:hyperlink r:id="rId103" w:anchor="art_69" w:history="1">
        <w:r>
          <w:rPr>
            <w:rStyle w:val="Hyperlink"/>
            <w:color w:val="0000EE"/>
            <w:u w:color="0000EE"/>
            <w:lang w:val="el" w:eastAsia="el"/>
          </w:rPr>
          <w:t>Τροποποίηση 4316/2014, Άρθρο 69</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5" w:history="1">
        <w:r>
          <w:rPr>
            <w:rStyle w:val="Hyperlink"/>
            <w:color w:val="0000EE"/>
            <w:u w:color="0000EE"/>
            <w:lang w:val="el" w:eastAsia="el"/>
          </w:rPr>
          <w:t>Αφαίρεση 4320/2015, Άρθρο 15</w:t>
        </w:r>
      </w:hyperlink>
      <w:r>
        <w:rPr>
          <w:lang w:val="el" w:eastAsia="el"/>
        </w:rPr>
        <w:t xml:space="preserve">; </w:t>
      </w:r>
      <w:hyperlink r:id="rId105" w:anchor="art_69" w:history="1">
        <w:r>
          <w:rPr>
            <w:rStyle w:val="Hyperlink"/>
            <w:color w:val="0000EE"/>
            <w:u w:color="0000EE"/>
            <w:lang w:val="el" w:eastAsia="el"/>
          </w:rPr>
          <w:t>Τροποποίηση 4316/2014, Άρθρο 69</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5" w:history="1">
        <w:r>
          <w:rPr>
            <w:rStyle w:val="Hyperlink"/>
            <w:color w:val="0000EE"/>
            <w:u w:color="0000EE"/>
            <w:lang w:val="el" w:eastAsia="el"/>
          </w:rPr>
          <w:t>Αφαίρεση 4320/2015, Άρθρο 15</w:t>
        </w:r>
      </w:hyperlink>
      <w:r>
        <w:rPr>
          <w:lang w:val="el" w:eastAsia="el"/>
        </w:rPr>
        <w:t xml:space="preserve">; </w:t>
      </w:r>
      <w:hyperlink r:id="rId107" w:anchor="art_69" w:history="1">
        <w:r>
          <w:rPr>
            <w:rStyle w:val="Hyperlink"/>
            <w:color w:val="0000EE"/>
            <w:u w:color="0000EE"/>
            <w:lang w:val="el" w:eastAsia="el"/>
          </w:rPr>
          <w:t>Τροποποίηση 4316/2014, Άρθρο 69</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5" w:history="1">
        <w:r>
          <w:rPr>
            <w:rStyle w:val="Hyperlink"/>
            <w:color w:val="0000EE"/>
            <w:u w:color="0000EE"/>
            <w:lang w:val="el" w:eastAsia="el"/>
          </w:rPr>
          <w:t>Αφαίρεση 4320/2015, Άρθρο 15</w:t>
        </w:r>
      </w:hyperlink>
      <w:r>
        <w:rPr>
          <w:lang w:val="el" w:eastAsia="el"/>
        </w:rPr>
        <w:t xml:space="preserve">; </w:t>
      </w:r>
      <w:hyperlink r:id="rId109" w:anchor="art_69" w:history="1">
        <w:r>
          <w:rPr>
            <w:rStyle w:val="Hyperlink"/>
            <w:color w:val="0000EE"/>
            <w:u w:color="0000EE"/>
            <w:lang w:val="el" w:eastAsia="el"/>
          </w:rPr>
          <w:t>Τροποποίηση 4316/2014, Άρθρο 69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5" w:history="1">
        <w:r>
          <w:rPr>
            <w:rStyle w:val="Hyperlink"/>
            <w:color w:val="0000EE"/>
            <w:u w:color="0000EE"/>
            <w:lang w:val="el" w:eastAsia="el"/>
          </w:rPr>
          <w:t>Αφαίρεση 4320/2015, Άρθρο 15</w:t>
        </w:r>
      </w:hyperlink>
      <w:r>
        <w:rPr>
          <w:lang w:val="el" w:eastAsia="el"/>
        </w:rPr>
        <w:t xml:space="preserve">; </w:t>
      </w:r>
      <w:hyperlink r:id="rId111" w:anchor="art_69" w:history="1">
        <w:r>
          <w:rPr>
            <w:rStyle w:val="Hyperlink"/>
            <w:color w:val="0000EE"/>
            <w:u w:color="0000EE"/>
            <w:lang w:val="el" w:eastAsia="el"/>
          </w:rPr>
          <w:t>Τροποποίηση 4316/2014, Άρθρο 69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5" w:history="1">
        <w:r>
          <w:rPr>
            <w:rStyle w:val="Hyperlink"/>
            <w:color w:val="0000EE"/>
            <w:u w:color="0000EE"/>
            <w:lang w:val="el" w:eastAsia="el"/>
          </w:rPr>
          <w:t>Αφαίρεση 4320/2015, Άρθρο 15</w:t>
        </w:r>
      </w:hyperlink>
      <w:r>
        <w:rPr>
          <w:lang w:val="el" w:eastAsia="el"/>
        </w:rPr>
        <w:t xml:space="preserve">; </w:t>
      </w:r>
      <w:hyperlink r:id="rId113" w:anchor="art_69" w:history="1">
        <w:r>
          <w:rPr>
            <w:rStyle w:val="Hyperlink"/>
            <w:color w:val="0000EE"/>
            <w:u w:color="0000EE"/>
            <w:lang w:val="el" w:eastAsia="el"/>
          </w:rPr>
          <w:t>Τροποποίηση 4316/2014, Άρθρο 69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5" w:history="1">
        <w:r>
          <w:rPr>
            <w:rStyle w:val="Hyperlink"/>
            <w:color w:val="0000EE"/>
            <w:u w:color="0000EE"/>
            <w:lang w:val="el" w:eastAsia="el"/>
          </w:rPr>
          <w:t>Αφαίρεση 4320/2015, Άρθρο 15</w:t>
        </w:r>
      </w:hyperlink>
      <w:r>
        <w:rPr>
          <w:lang w:val="el" w:eastAsia="el"/>
        </w:rPr>
        <w:t xml:space="preserve">; </w:t>
      </w:r>
      <w:hyperlink r:id="rId115" w:anchor="art_69" w:history="1">
        <w:r>
          <w:rPr>
            <w:rStyle w:val="Hyperlink"/>
            <w:color w:val="0000EE"/>
            <w:u w:color="0000EE"/>
            <w:lang w:val="el" w:eastAsia="el"/>
          </w:rPr>
          <w:t>Τροποποίηση 4316/2014, Άρθρο 69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5" w:history="1">
        <w:r>
          <w:rPr>
            <w:rStyle w:val="Hyperlink"/>
            <w:color w:val="0000EE"/>
            <w:u w:color="0000EE"/>
            <w:lang w:val="el" w:eastAsia="el"/>
          </w:rPr>
          <w:t>Αφαίρεση 4320/2015, Άρθρο 15</w:t>
        </w:r>
      </w:hyperlink>
      <w:r>
        <w:rPr>
          <w:lang w:val="el" w:eastAsia="el"/>
        </w:rPr>
        <w:t xml:space="preserve">; </w:t>
      </w:r>
      <w:hyperlink r:id="rId117" w:anchor="art_69" w:history="1">
        <w:r>
          <w:rPr>
            <w:rStyle w:val="Hyperlink"/>
            <w:color w:val="0000EE"/>
            <w:u w:color="0000EE"/>
            <w:lang w:val="el" w:eastAsia="el"/>
          </w:rPr>
          <w:t>Τροποποίηση 4316/2014, Άρθρο 69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5" w:history="1">
        <w:r>
          <w:rPr>
            <w:rStyle w:val="Hyperlink"/>
            <w:color w:val="0000EE"/>
            <w:u w:color="0000EE"/>
            <w:lang w:val="el" w:eastAsia="el"/>
          </w:rPr>
          <w:t>Αφαίρεση 4320/2015, Άρθρο 15</w:t>
        </w:r>
      </w:hyperlink>
      <w:r>
        <w:rPr>
          <w:lang w:val="el" w:eastAsia="el"/>
        </w:rPr>
        <w:t xml:space="preserve">; </w:t>
      </w:r>
      <w:hyperlink r:id="rId119" w:anchor="art_69" w:history="1">
        <w:r>
          <w:rPr>
            <w:rStyle w:val="Hyperlink"/>
            <w:color w:val="0000EE"/>
            <w:u w:color="0000EE"/>
            <w:lang w:val="el" w:eastAsia="el"/>
          </w:rPr>
          <w:t>Τροποποίηση 4316/2014, Άρθρο 69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5" w:history="1">
        <w:r>
          <w:rPr>
            <w:rStyle w:val="Hyperlink"/>
            <w:color w:val="0000EE"/>
            <w:u w:color="0000EE"/>
            <w:lang w:val="el" w:eastAsia="el"/>
          </w:rPr>
          <w:t>Αφαίρεση 4320/2015, Άρθρο 15</w:t>
        </w:r>
      </w:hyperlink>
      <w:r>
        <w:rPr>
          <w:lang w:val="el" w:eastAsia="el"/>
        </w:rPr>
        <w:t xml:space="preserve">; </w:t>
      </w:r>
      <w:hyperlink r:id="rId121" w:anchor="art_69" w:history="1">
        <w:r>
          <w:rPr>
            <w:rStyle w:val="Hyperlink"/>
            <w:color w:val="0000EE"/>
            <w:u w:color="0000EE"/>
            <w:lang w:val="el" w:eastAsia="el"/>
          </w:rPr>
          <w:t>Τροποποίηση 4316/2014, Άρθρο 69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5" w:history="1">
        <w:r>
          <w:rPr>
            <w:rStyle w:val="Hyperlink"/>
            <w:color w:val="0000EE"/>
            <w:u w:color="0000EE"/>
            <w:lang w:val="el" w:eastAsia="el"/>
          </w:rPr>
          <w:t>Αφαίρεση 4320/2015, Άρθρο 15</w:t>
        </w:r>
      </w:hyperlink>
      <w:r>
        <w:rPr>
          <w:lang w:val="el" w:eastAsia="el"/>
        </w:rPr>
        <w:t xml:space="preserve">; </w:t>
      </w:r>
      <w:hyperlink r:id="rId123" w:anchor="art_69" w:history="1">
        <w:r>
          <w:rPr>
            <w:rStyle w:val="Hyperlink"/>
            <w:color w:val="0000EE"/>
            <w:u w:color="0000EE"/>
            <w:lang w:val="el" w:eastAsia="el"/>
          </w:rPr>
          <w:t>Τροποποίηση 4316/2014, Άρθρο 69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5" w:history="1">
        <w:r>
          <w:rPr>
            <w:rStyle w:val="Hyperlink"/>
            <w:color w:val="0000EE"/>
            <w:u w:color="0000EE"/>
            <w:lang w:val="el" w:eastAsia="el"/>
          </w:rPr>
          <w:t>Αφαίρεση 4320/2015, Άρθρο 15</w:t>
        </w:r>
      </w:hyperlink>
      <w:r>
        <w:rPr>
          <w:lang w:val="el" w:eastAsia="el"/>
        </w:rPr>
        <w:t xml:space="preserve">; </w:t>
      </w:r>
      <w:hyperlink r:id="rId125" w:anchor="art_69" w:history="1">
        <w:r>
          <w:rPr>
            <w:rStyle w:val="Hyperlink"/>
            <w:color w:val="0000EE"/>
            <w:u w:color="0000EE"/>
            <w:lang w:val="el" w:eastAsia="el"/>
          </w:rPr>
          <w:t>Τροποποίηση 4316/2014, Άρθρο 69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5" w:history="1">
        <w:r>
          <w:rPr>
            <w:rStyle w:val="Hyperlink"/>
            <w:color w:val="0000EE"/>
            <w:u w:color="0000EE"/>
            <w:lang w:val="el" w:eastAsia="el"/>
          </w:rPr>
          <w:t>Αφαίρεση 4320/2015, Άρθρο 15</w:t>
        </w:r>
      </w:hyperlink>
      <w:r>
        <w:rPr>
          <w:lang w:val="el" w:eastAsia="el"/>
        </w:rPr>
        <w:t xml:space="preserve">; </w:t>
      </w:r>
      <w:hyperlink r:id="rId127" w:anchor="art_69" w:history="1">
        <w:r>
          <w:rPr>
            <w:rStyle w:val="Hyperlink"/>
            <w:color w:val="0000EE"/>
            <w:u w:color="0000EE"/>
            <w:lang w:val="el" w:eastAsia="el"/>
          </w:rPr>
          <w:t>Τροποποίηση 4316/2014, Άρθρο 69</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5" w:history="1">
        <w:r>
          <w:rPr>
            <w:rStyle w:val="Hyperlink"/>
            <w:color w:val="0000EE"/>
            <w:u w:color="0000EE"/>
            <w:lang w:val="el" w:eastAsia="el"/>
          </w:rPr>
          <w:t>Αφαίρεση 4320/2015, Άρθρο 15</w:t>
        </w:r>
      </w:hyperlink>
      <w:r>
        <w:rPr>
          <w:lang w:val="el" w:eastAsia="el"/>
        </w:rPr>
        <w:t xml:space="preserve">; </w:t>
      </w:r>
      <w:hyperlink r:id="rId129" w:anchor="art_69" w:history="1">
        <w:r>
          <w:rPr>
            <w:rStyle w:val="Hyperlink"/>
            <w:color w:val="0000EE"/>
            <w:u w:color="0000EE"/>
            <w:lang w:val="el" w:eastAsia="el"/>
          </w:rPr>
          <w:t>Τροποποίηση 4316/2014, Άρθρο 69</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5" w:history="1">
        <w:r>
          <w:rPr>
            <w:rStyle w:val="Hyperlink"/>
            <w:color w:val="0000EE"/>
            <w:u w:color="0000EE"/>
            <w:lang w:val="el" w:eastAsia="el"/>
          </w:rPr>
          <w:t>Αφαίρεση 4320/2015, Άρθρο 15</w:t>
        </w:r>
      </w:hyperlink>
      <w:r>
        <w:rPr>
          <w:lang w:val="el" w:eastAsia="el"/>
        </w:rPr>
        <w:t xml:space="preserve">; </w:t>
      </w:r>
      <w:hyperlink r:id="rId131" w:anchor="art_69" w:history="1">
        <w:r>
          <w:rPr>
            <w:rStyle w:val="Hyperlink"/>
            <w:color w:val="0000EE"/>
            <w:u w:color="0000EE"/>
            <w:lang w:val="el" w:eastAsia="el"/>
          </w:rPr>
          <w:t>Τροποποίηση 4316/2014, Άρθρο 69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5" w:history="1">
        <w:r>
          <w:rPr>
            <w:rStyle w:val="Hyperlink"/>
            <w:color w:val="0000EE"/>
            <w:u w:color="0000EE"/>
            <w:lang w:val="el" w:eastAsia="el"/>
          </w:rPr>
          <w:t>Αφαίρεση 4320/2015, Άρθρο 15</w:t>
        </w:r>
      </w:hyperlink>
      <w:r>
        <w:rPr>
          <w:lang w:val="el" w:eastAsia="el"/>
        </w:rPr>
        <w:t xml:space="preserve">; </w:t>
      </w:r>
      <w:hyperlink r:id="rId133" w:anchor="art_69" w:history="1">
        <w:r>
          <w:rPr>
            <w:rStyle w:val="Hyperlink"/>
            <w:color w:val="0000EE"/>
            <w:u w:color="0000EE"/>
            <w:lang w:val="el" w:eastAsia="el"/>
          </w:rPr>
          <w:t>Τροποποίηση 4316/2014, Άρθρο 69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5" w:history="1">
        <w:r>
          <w:rPr>
            <w:rStyle w:val="Hyperlink"/>
            <w:color w:val="0000EE"/>
            <w:u w:color="0000EE"/>
            <w:lang w:val="el" w:eastAsia="el"/>
          </w:rPr>
          <w:t>Αφαίρεση 4320/2015, Άρθρο 15</w:t>
        </w:r>
      </w:hyperlink>
      <w:r>
        <w:rPr>
          <w:lang w:val="el" w:eastAsia="el"/>
        </w:rPr>
        <w:t xml:space="preserve">; </w:t>
      </w:r>
      <w:hyperlink r:id="rId135" w:anchor="art_69" w:history="1">
        <w:r>
          <w:rPr>
            <w:rStyle w:val="Hyperlink"/>
            <w:color w:val="0000EE"/>
            <w:u w:color="0000EE"/>
            <w:lang w:val="el" w:eastAsia="el"/>
          </w:rPr>
          <w:t>Τροποποίηση 4316/2014, Άρθρο 69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5" w:history="1">
        <w:r>
          <w:rPr>
            <w:rStyle w:val="Hyperlink"/>
            <w:color w:val="0000EE"/>
            <w:u w:color="0000EE"/>
            <w:lang w:val="el" w:eastAsia="el"/>
          </w:rPr>
          <w:t>Αφαίρεση 4320/2015, Άρθρο 15</w:t>
        </w:r>
      </w:hyperlink>
      <w:r>
        <w:rPr>
          <w:lang w:val="el" w:eastAsia="el"/>
        </w:rPr>
        <w:t xml:space="preserve">; </w:t>
      </w:r>
      <w:hyperlink r:id="rId137" w:anchor="art_69" w:history="1">
        <w:r>
          <w:rPr>
            <w:rStyle w:val="Hyperlink"/>
            <w:color w:val="0000EE"/>
            <w:u w:color="0000EE"/>
            <w:lang w:val="el" w:eastAsia="el"/>
          </w:rPr>
          <w:t>Τροποποίηση 4316/2014, Άρθρο 69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5" w:history="1">
        <w:r>
          <w:rPr>
            <w:rStyle w:val="Hyperlink"/>
            <w:color w:val="0000EE"/>
            <w:u w:color="0000EE"/>
            <w:lang w:val="el" w:eastAsia="el"/>
          </w:rPr>
          <w:t>Αφαίρεση 4320/2015, Άρθρο 15</w:t>
        </w:r>
      </w:hyperlink>
      <w:r>
        <w:rPr>
          <w:lang w:val="el" w:eastAsia="el"/>
        </w:rPr>
        <w:t xml:space="preserve">; </w:t>
      </w:r>
      <w:hyperlink r:id="rId139" w:anchor="art_69" w:history="1">
        <w:r>
          <w:rPr>
            <w:rStyle w:val="Hyperlink"/>
            <w:color w:val="0000EE"/>
            <w:u w:color="0000EE"/>
            <w:lang w:val="el" w:eastAsia="el"/>
          </w:rPr>
          <w:t>Τροποποίηση 4316/2014, Άρθρο 69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5" w:history="1">
        <w:r>
          <w:rPr>
            <w:rStyle w:val="Hyperlink"/>
            <w:color w:val="0000EE"/>
            <w:u w:color="0000EE"/>
            <w:lang w:val="el" w:eastAsia="el"/>
          </w:rPr>
          <w:t>Αφαίρεση 4320/2015, Άρθρο 15</w:t>
        </w:r>
      </w:hyperlink>
      <w:r>
        <w:rPr>
          <w:lang w:val="el" w:eastAsia="el"/>
        </w:rPr>
        <w:t xml:space="preserve">; </w:t>
      </w:r>
      <w:hyperlink r:id="rId141" w:anchor="art_69" w:history="1">
        <w:r>
          <w:rPr>
            <w:rStyle w:val="Hyperlink"/>
            <w:color w:val="0000EE"/>
            <w:u w:color="0000EE"/>
            <w:lang w:val="el" w:eastAsia="el"/>
          </w:rPr>
          <w:t>Τροποποίηση 4316/2014, Άρθρο 69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5" w:history="1">
        <w:r>
          <w:rPr>
            <w:rStyle w:val="Hyperlink"/>
            <w:color w:val="0000EE"/>
            <w:u w:color="0000EE"/>
            <w:lang w:val="el" w:eastAsia="el"/>
          </w:rPr>
          <w:t>Αφαίρεση 4320/2015, Άρθρο 15</w:t>
        </w:r>
      </w:hyperlink>
      <w:r>
        <w:rPr>
          <w:lang w:val="el" w:eastAsia="el"/>
        </w:rPr>
        <w:t xml:space="preserve">; </w:t>
      </w:r>
      <w:hyperlink r:id="rId143" w:anchor="art_69" w:history="1">
        <w:r>
          <w:rPr>
            <w:rStyle w:val="Hyperlink"/>
            <w:color w:val="0000EE"/>
            <w:u w:color="0000EE"/>
            <w:lang w:val="el" w:eastAsia="el"/>
          </w:rPr>
          <w:t>Τροποποίηση 4316/2014, Άρθρο 69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5" w:history="1">
        <w:r>
          <w:rPr>
            <w:rStyle w:val="Hyperlink"/>
            <w:color w:val="0000EE"/>
            <w:u w:color="0000EE"/>
            <w:lang w:val="el" w:eastAsia="el"/>
          </w:rPr>
          <w:t>Αφαίρεση 4320/2015, Άρθρο 15</w:t>
        </w:r>
      </w:hyperlink>
      <w:r>
        <w:rPr>
          <w:lang w:val="el" w:eastAsia="el"/>
        </w:rPr>
        <w:t xml:space="preserve">; </w:t>
      </w:r>
      <w:hyperlink r:id="rId145" w:anchor="art_69" w:history="1">
        <w:r>
          <w:rPr>
            <w:rStyle w:val="Hyperlink"/>
            <w:color w:val="0000EE"/>
            <w:u w:color="0000EE"/>
            <w:lang w:val="el" w:eastAsia="el"/>
          </w:rPr>
          <w:t>Τροποποίηση 4316/2014, Άρθρο 69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5" w:history="1">
        <w:r>
          <w:rPr>
            <w:rStyle w:val="Hyperlink"/>
            <w:color w:val="0000EE"/>
            <w:u w:color="0000EE"/>
            <w:lang w:val="el" w:eastAsia="el"/>
          </w:rPr>
          <w:t>Αφαίρεση 4320/2015, Άρθρο 15</w:t>
        </w:r>
      </w:hyperlink>
      <w:r>
        <w:rPr>
          <w:lang w:val="el" w:eastAsia="el"/>
        </w:rPr>
        <w:t xml:space="preserve">; </w:t>
      </w:r>
      <w:hyperlink r:id="rId147" w:anchor="art_69" w:history="1">
        <w:r>
          <w:rPr>
            <w:rStyle w:val="Hyperlink"/>
            <w:color w:val="0000EE"/>
            <w:u w:color="0000EE"/>
            <w:lang w:val="el" w:eastAsia="el"/>
          </w:rPr>
          <w:t>Τροποποίηση 4316/2014, Άρθρο 69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5" w:history="1">
        <w:r>
          <w:rPr>
            <w:rStyle w:val="Hyperlink"/>
            <w:color w:val="0000EE"/>
            <w:u w:color="0000EE"/>
            <w:lang w:val="el" w:eastAsia="el"/>
          </w:rPr>
          <w:t>Αφαίρεση 4320/2015, Άρθρο 15</w:t>
        </w:r>
      </w:hyperlink>
      <w:r>
        <w:rPr>
          <w:lang w:val="el" w:eastAsia="el"/>
        </w:rPr>
        <w:t xml:space="preserve">; </w:t>
      </w:r>
      <w:hyperlink r:id="rId149" w:anchor="art_69" w:history="1">
        <w:r>
          <w:rPr>
            <w:rStyle w:val="Hyperlink"/>
            <w:color w:val="0000EE"/>
            <w:u w:color="0000EE"/>
            <w:lang w:val="el" w:eastAsia="el"/>
          </w:rPr>
          <w:t>Τροποποίηση 4316/2014, Άρθρο 69</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5" w:history="1">
        <w:r>
          <w:rPr>
            <w:rStyle w:val="Hyperlink"/>
            <w:color w:val="0000EE"/>
            <w:u w:color="0000EE"/>
            <w:lang w:val="el" w:eastAsia="el"/>
          </w:rPr>
          <w:t>Αφαίρεση 4320/2015, Άρθρο 15</w:t>
        </w:r>
      </w:hyperlink>
      <w:r>
        <w:rPr>
          <w:lang w:val="el" w:eastAsia="el"/>
        </w:rPr>
        <w:t xml:space="preserve">; </w:t>
      </w:r>
      <w:hyperlink r:id="rId151" w:anchor="art_69" w:history="1">
        <w:r>
          <w:rPr>
            <w:rStyle w:val="Hyperlink"/>
            <w:color w:val="0000EE"/>
            <w:u w:color="0000EE"/>
            <w:lang w:val="el" w:eastAsia="el"/>
          </w:rPr>
          <w:t>Τροποποίηση 4316/2014, Άρθρο 69</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5" w:history="1">
        <w:r>
          <w:rPr>
            <w:rStyle w:val="Hyperlink"/>
            <w:color w:val="0000EE"/>
            <w:u w:color="0000EE"/>
            <w:lang w:val="el" w:eastAsia="el"/>
          </w:rPr>
          <w:t>Αφαίρεση 4320/2015, Άρθρο 15</w:t>
        </w:r>
      </w:hyperlink>
      <w:r>
        <w:rPr>
          <w:lang w:val="el" w:eastAsia="el"/>
        </w:rPr>
        <w:t xml:space="preserve">; </w:t>
      </w:r>
      <w:hyperlink r:id="rId153" w:anchor="art_69" w:history="1">
        <w:r>
          <w:rPr>
            <w:rStyle w:val="Hyperlink"/>
            <w:color w:val="0000EE"/>
            <w:u w:color="0000EE"/>
            <w:lang w:val="el" w:eastAsia="el"/>
          </w:rPr>
          <w:t>Τροποποίηση 4316/2014, Άρθρο 69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5" w:history="1">
        <w:r>
          <w:rPr>
            <w:rStyle w:val="Hyperlink"/>
            <w:color w:val="0000EE"/>
            <w:u w:color="0000EE"/>
            <w:lang w:val="el" w:eastAsia="el"/>
          </w:rPr>
          <w:t>Αφαίρεση 4320/2015, Άρθρο 15</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5" w:history="1">
        <w:r>
          <w:rPr>
            <w:rStyle w:val="Hyperlink"/>
            <w:color w:val="0000EE"/>
            <w:u w:color="0000EE"/>
            <w:lang w:val="el" w:eastAsia="el"/>
          </w:rPr>
          <w:t>Αφαίρεση 4320/2015, Άρθρο 15</w:t>
        </w:r>
      </w:hyperlink>
      <w:r>
        <w:rPr>
          <w:lang w:val="el" w:eastAsia="el"/>
        </w:rPr>
        <w:t xml:space="preserve">; </w:t>
      </w:r>
      <w:hyperlink r:id="rId156" w:anchor="art_69" w:history="1">
        <w:r>
          <w:rPr>
            <w:rStyle w:val="Hyperlink"/>
            <w:color w:val="0000EE"/>
            <w:u w:color="0000EE"/>
            <w:lang w:val="el" w:eastAsia="el"/>
          </w:rPr>
          <w:t>Τροποποίηση 4316/2014, Άρθρο 69</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5" w:history="1">
        <w:r>
          <w:rPr>
            <w:rStyle w:val="Hyperlink"/>
            <w:color w:val="0000EE"/>
            <w:u w:color="0000EE"/>
            <w:lang w:val="el" w:eastAsia="el"/>
          </w:rPr>
          <w:t>Αφαίρεση 4320/2015, Άρθρο 15</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15" w:history="1">
        <w:r>
          <w:rPr>
            <w:rStyle w:val="Hyperlink"/>
            <w:color w:val="0000EE"/>
            <w:u w:color="0000EE"/>
            <w:lang w:val="el" w:eastAsia="el"/>
          </w:rPr>
          <w:t>Αφαίρεση 4320/2015, Άρθρο 15</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5" w:history="1">
        <w:r>
          <w:rPr>
            <w:rStyle w:val="Hyperlink"/>
            <w:color w:val="0000EE"/>
            <w:u w:color="0000EE"/>
            <w:lang w:val="el" w:eastAsia="el"/>
          </w:rPr>
          <w:t>Αφαίρεση 4320/2015, Άρθρο 15</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5" w:history="1">
        <w:r>
          <w:rPr>
            <w:rStyle w:val="Hyperlink"/>
            <w:color w:val="0000EE"/>
            <w:u w:color="0000EE"/>
            <w:lang w:val="el" w:eastAsia="el"/>
          </w:rPr>
          <w:t>Αφαίρεση 4320/2015, Άρθρο 15</w:t>
        </w:r>
      </w:hyperlink>
      <w:r>
        <w:rPr>
          <w:lang w:val="el" w:eastAsia="el"/>
        </w:rPr>
        <w:t xml:space="preserve">; </w:t>
      </w:r>
      <w:hyperlink r:id="rId161" w:anchor="art_69" w:history="1">
        <w:r>
          <w:rPr>
            <w:rStyle w:val="Hyperlink"/>
            <w:color w:val="0000EE"/>
            <w:u w:color="0000EE"/>
            <w:lang w:val="el" w:eastAsia="el"/>
          </w:rPr>
          <w:t>Τροποποίηση 4316/2014, Άρθρο 69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5" w:history="1">
        <w:r>
          <w:rPr>
            <w:rStyle w:val="Hyperlink"/>
            <w:color w:val="0000EE"/>
            <w:u w:color="0000EE"/>
            <w:lang w:val="el" w:eastAsia="el"/>
          </w:rPr>
          <w:t>Αφαίρεση 4320/2015, Άρθρο 15</w:t>
        </w:r>
      </w:hyperlink>
      <w:r>
        <w:rPr>
          <w:lang w:val="el" w:eastAsia="el"/>
        </w:rPr>
        <w:t xml:space="preserve">; </w:t>
      </w:r>
      <w:hyperlink r:id="rId163"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5" w:history="1">
        <w:r>
          <w:rPr>
            <w:rStyle w:val="Hyperlink"/>
            <w:color w:val="0000EE"/>
            <w:u w:color="0000EE"/>
            <w:lang w:val="el" w:eastAsia="el"/>
          </w:rPr>
          <w:t>Αφαίρεση 4320/2015, Άρθρο 15</w:t>
        </w:r>
      </w:hyperlink>
      <w:r>
        <w:rPr>
          <w:lang w:val="el" w:eastAsia="el"/>
        </w:rPr>
        <w:t xml:space="preserve">; </w:t>
      </w:r>
      <w:hyperlink r:id="rId165" w:anchor="art_69" w:history="1">
        <w:r>
          <w:rPr>
            <w:rStyle w:val="Hyperlink"/>
            <w:color w:val="0000EE"/>
            <w:u w:color="0000EE"/>
            <w:lang w:val="el" w:eastAsia="el"/>
          </w:rPr>
          <w:t>Τροποποίηση 4316/2014, Άρθρο 69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5" w:history="1">
        <w:r>
          <w:rPr>
            <w:rStyle w:val="Hyperlink"/>
            <w:color w:val="0000EE"/>
            <w:u w:color="0000EE"/>
            <w:lang w:val="el" w:eastAsia="el"/>
          </w:rPr>
          <w:t>Αφαίρεση 4320/2015, Άρθρο 15</w:t>
        </w:r>
      </w:hyperlink>
      <w:r>
        <w:rPr>
          <w:lang w:val="el" w:eastAsia="el"/>
        </w:rPr>
        <w:t xml:space="preserve">; </w:t>
      </w:r>
      <w:hyperlink r:id="rId167" w:anchor="art_69" w:history="1">
        <w:r>
          <w:rPr>
            <w:rStyle w:val="Hyperlink"/>
            <w:color w:val="0000EE"/>
            <w:u w:color="0000EE"/>
            <w:lang w:val="el" w:eastAsia="el"/>
          </w:rPr>
          <w:t>Τροποποίηση 4316/2014, Άρθρο 69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5" w:history="1">
        <w:r>
          <w:rPr>
            <w:rStyle w:val="Hyperlink"/>
            <w:color w:val="0000EE"/>
            <w:u w:color="0000EE"/>
            <w:lang w:val="el" w:eastAsia="el"/>
          </w:rPr>
          <w:t>Αφαίρεση 4320/2015, Άρθρο 15</w:t>
        </w:r>
      </w:hyperlink>
      <w:r>
        <w:rPr>
          <w:lang w:val="el" w:eastAsia="el"/>
        </w:rPr>
        <w:t xml:space="preserve">; </w:t>
      </w:r>
      <w:hyperlink r:id="rId169" w:anchor="art_69" w:history="1">
        <w:r>
          <w:rPr>
            <w:rStyle w:val="Hyperlink"/>
            <w:color w:val="0000EE"/>
            <w:u w:color="0000EE"/>
            <w:lang w:val="el" w:eastAsia="el"/>
          </w:rPr>
          <w:t>Τροποποίηση 4316/2014, Άρθρο 69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5" w:history="1">
        <w:r>
          <w:rPr>
            <w:rStyle w:val="Hyperlink"/>
            <w:color w:val="0000EE"/>
            <w:u w:color="0000EE"/>
            <w:lang w:val="el" w:eastAsia="el"/>
          </w:rPr>
          <w:t>Αφαίρεση 4320/2015, Άρθρο 15</w:t>
        </w:r>
      </w:hyperlink>
      <w:r>
        <w:rPr>
          <w:lang w:val="el" w:eastAsia="el"/>
        </w:rPr>
        <w:t xml:space="preserve">; </w:t>
      </w:r>
      <w:hyperlink r:id="rId171"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5" w:history="1">
        <w:r>
          <w:rPr>
            <w:rStyle w:val="Hyperlink"/>
            <w:color w:val="0000EE"/>
            <w:u w:color="0000EE"/>
            <w:lang w:val="el" w:eastAsia="el"/>
          </w:rPr>
          <w:t>Αφαίρεση 4320/2015, Άρθρο 15</w:t>
        </w:r>
      </w:hyperlink>
      <w:r>
        <w:rPr>
          <w:lang w:val="el" w:eastAsia="el"/>
        </w:rPr>
        <w:t xml:space="preserve">; </w:t>
      </w:r>
      <w:hyperlink r:id="rId173"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5" w:history="1">
        <w:r>
          <w:rPr>
            <w:rStyle w:val="Hyperlink"/>
            <w:color w:val="0000EE"/>
            <w:u w:color="0000EE"/>
            <w:lang w:val="el" w:eastAsia="el"/>
          </w:rPr>
          <w:t>Αφαίρεση 4320/2015, Άρθρο 15</w:t>
        </w:r>
      </w:hyperlink>
      <w:r>
        <w:rPr>
          <w:lang w:val="el" w:eastAsia="el"/>
        </w:rPr>
        <w:t xml:space="preserve">; </w:t>
      </w:r>
      <w:hyperlink r:id="rId175" w:anchor="art_69" w:history="1">
        <w:r>
          <w:rPr>
            <w:rStyle w:val="Hyperlink"/>
            <w:color w:val="0000EE"/>
            <w:u w:color="0000EE"/>
            <w:lang w:val="el" w:eastAsia="el"/>
          </w:rPr>
          <w:t>Προσθήκη 4316/2014, Άρθρο 69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5" w:history="1">
        <w:r>
          <w:rPr>
            <w:rStyle w:val="Hyperlink"/>
            <w:color w:val="0000EE"/>
            <w:u w:color="0000EE"/>
            <w:lang w:val="el" w:eastAsia="el"/>
          </w:rPr>
          <w:t>Αφαίρεση 4320/2015, Άρθρο 15</w:t>
        </w:r>
      </w:hyperlink>
      <w:r>
        <w:rPr>
          <w:lang w:val="el" w:eastAsia="el"/>
        </w:rPr>
        <w:t xml:space="preserve">; </w:t>
      </w:r>
      <w:hyperlink r:id="rId177" w:anchor="art_69" w:history="1">
        <w:r>
          <w:rPr>
            <w:rStyle w:val="Hyperlink"/>
            <w:color w:val="0000EE"/>
            <w:u w:color="0000EE"/>
            <w:lang w:val="el" w:eastAsia="el"/>
          </w:rPr>
          <w:t>Προσθήκη 4316/2014, Άρθρο 69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5" w:history="1">
        <w:r>
          <w:rPr>
            <w:rStyle w:val="Hyperlink"/>
            <w:color w:val="0000EE"/>
            <w:u w:color="0000EE"/>
            <w:lang w:val="el" w:eastAsia="el"/>
          </w:rPr>
          <w:t>Αφαίρεση 4320/2015, Άρθρο 15</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5" w:history="1">
        <w:r>
          <w:rPr>
            <w:rStyle w:val="Hyperlink"/>
            <w:color w:val="0000EE"/>
            <w:u w:color="0000EE"/>
            <w:lang w:val="el" w:eastAsia="el"/>
          </w:rPr>
          <w:t>Αφαίρεση 4320/2015, Άρθρο 15</w:t>
        </w:r>
      </w:hyperlink>
      <w:r>
        <w:rPr>
          <w:lang w:val="el" w:eastAsia="el"/>
        </w:rPr>
        <w:t xml:space="preserve">; </w:t>
      </w:r>
      <w:hyperlink r:id="rId180" w:anchor="art_69" w:history="1">
        <w:r>
          <w:rPr>
            <w:rStyle w:val="Hyperlink"/>
            <w:color w:val="0000EE"/>
            <w:u w:color="0000EE"/>
            <w:lang w:val="el" w:eastAsia="el"/>
          </w:rPr>
          <w:t>Τροποποίηση 4316/2014, Άρθρο 69</w:t>
        </w:r>
      </w:hyperlink>
      <w:r>
        <w:rPr>
          <w:lang w:val="el" w:eastAsia="el"/>
        </w:rPr>
        <w:t xml:space="preserve">; </w:t>
      </w:r>
      <w:hyperlink r:id="rId181" w:anchor="art_19" w:history="1">
        <w:r>
          <w:rPr>
            <w:rStyle w:val="Hyperlink"/>
            <w:color w:val="0000EE"/>
            <w:u w:color="0000EE"/>
            <w:lang w:val="el" w:eastAsia="el"/>
          </w:rPr>
          <w:t>Τροποποίηση 4208/2013, Άρθρο 19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5" w:history="1">
        <w:r>
          <w:rPr>
            <w:rStyle w:val="Hyperlink"/>
            <w:color w:val="0000EE"/>
            <w:u w:color="0000EE"/>
            <w:lang w:val="el" w:eastAsia="el"/>
          </w:rPr>
          <w:t>Αφαίρεση 4320/2015, Άρθρο 15</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42" w:history="1">
        <w:r>
          <w:rPr>
            <w:rStyle w:val="Hyperlink"/>
            <w:color w:val="0000EE"/>
            <w:u w:color="0000EE"/>
            <w:lang w:val="el" w:eastAsia="el"/>
          </w:rPr>
          <w:t>Τροποποίηση 4320/2015, Άρθρο 42</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20" w:history="1">
        <w:r>
          <w:rPr>
            <w:rStyle w:val="Hyperlink"/>
            <w:color w:val="0000EE"/>
            <w:u w:color="0000EE"/>
            <w:lang w:val="el" w:eastAsia="el"/>
          </w:rPr>
          <w:t>Τροποποίηση 4255/2014, Άρθρο 20</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73" w:history="1">
        <w:r>
          <w:rPr>
            <w:rStyle w:val="Hyperlink"/>
            <w:color w:val="0000EE"/>
            <w:u w:color="0000EE"/>
            <w:lang w:val="el" w:eastAsia="el"/>
          </w:rPr>
          <w:t>Τροποποίηση 4170/2013, Άρθρο 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5/08/14/4336"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4/12/24/4316" TargetMode="External" /><Relationship Id="rId101" Type="http://schemas.openxmlformats.org/officeDocument/2006/relationships/hyperlink" Target="http://data.aade.gr/eli/pri/law/2015/03/19/4320" TargetMode="External" /><Relationship Id="rId102" Type="http://schemas.openxmlformats.org/officeDocument/2006/relationships/hyperlink" Target="http://data.aade.gr/eli/pri/law/2015/03/19/4320" TargetMode="External" /><Relationship Id="rId103" Type="http://schemas.openxmlformats.org/officeDocument/2006/relationships/hyperlink" Target="http://data.aade.gr/eli/pri/law/2014/12/24/4316" TargetMode="External" /><Relationship Id="rId104" Type="http://schemas.openxmlformats.org/officeDocument/2006/relationships/hyperlink" Target="http://data.aade.gr/eli/pri/law/2015/03/19/4320" TargetMode="External" /><Relationship Id="rId105" Type="http://schemas.openxmlformats.org/officeDocument/2006/relationships/hyperlink" Target="http://data.aade.gr/eli/pri/law/2014/12/24/4316" TargetMode="External" /><Relationship Id="rId106" Type="http://schemas.openxmlformats.org/officeDocument/2006/relationships/hyperlink" Target="http://data.aade.gr/eli/pri/law/2015/03/19/4320" TargetMode="External" /><Relationship Id="rId107" Type="http://schemas.openxmlformats.org/officeDocument/2006/relationships/hyperlink" Target="http://data.aade.gr/eli/pri/law/2014/12/24/4316" TargetMode="External" /><Relationship Id="rId108" Type="http://schemas.openxmlformats.org/officeDocument/2006/relationships/hyperlink" Target="http://data.aade.gr/eli/pri/law/2015/03/19/4320" TargetMode="External" /><Relationship Id="rId109" Type="http://schemas.openxmlformats.org/officeDocument/2006/relationships/hyperlink" Target="http://data.aade.gr/eli/pri/law/2014/12/24/4316"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5/03/19/4320" TargetMode="External" /><Relationship Id="rId111" Type="http://schemas.openxmlformats.org/officeDocument/2006/relationships/hyperlink" Target="http://data.aade.gr/eli/pri/law/2014/12/24/4316" TargetMode="External" /><Relationship Id="rId112" Type="http://schemas.openxmlformats.org/officeDocument/2006/relationships/hyperlink" Target="http://data.aade.gr/eli/pri/law/2015/03/19/4320" TargetMode="External" /><Relationship Id="rId113" Type="http://schemas.openxmlformats.org/officeDocument/2006/relationships/hyperlink" Target="http://data.aade.gr/eli/pri/law/2014/12/24/4316" TargetMode="External" /><Relationship Id="rId114" Type="http://schemas.openxmlformats.org/officeDocument/2006/relationships/hyperlink" Target="http://data.aade.gr/eli/pri/law/2015/03/19/4320" TargetMode="External" /><Relationship Id="rId115" Type="http://schemas.openxmlformats.org/officeDocument/2006/relationships/hyperlink" Target="http://data.aade.gr/eli/pri/law/2014/12/24/4316" TargetMode="External" /><Relationship Id="rId116" Type="http://schemas.openxmlformats.org/officeDocument/2006/relationships/hyperlink" Target="http://data.aade.gr/eli/pri/law/2015/03/19/4320" TargetMode="External" /><Relationship Id="rId117" Type="http://schemas.openxmlformats.org/officeDocument/2006/relationships/hyperlink" Target="http://data.aade.gr/eli/pri/law/2014/12/24/4316" TargetMode="External" /><Relationship Id="rId118" Type="http://schemas.openxmlformats.org/officeDocument/2006/relationships/hyperlink" Target="http://data.aade.gr/eli/pri/law/2015/03/19/4320" TargetMode="External" /><Relationship Id="rId119" Type="http://schemas.openxmlformats.org/officeDocument/2006/relationships/hyperlink" Target="http://data.aade.gr/eli/pri/law/2014/12/24/4316" TargetMode="External" /><Relationship Id="rId12" Type="http://schemas.openxmlformats.org/officeDocument/2006/relationships/hyperlink" Target="http://data.aade.gr/eli/pri/law/2014/04/07/4254" TargetMode="External" /><Relationship Id="rId120" Type="http://schemas.openxmlformats.org/officeDocument/2006/relationships/hyperlink" Target="http://data.aade.gr/eli/pri/law/2015/03/19/4320" TargetMode="External" /><Relationship Id="rId121" Type="http://schemas.openxmlformats.org/officeDocument/2006/relationships/hyperlink" Target="http://data.aade.gr/eli/pri/law/2014/12/24/4316" TargetMode="External" /><Relationship Id="rId122" Type="http://schemas.openxmlformats.org/officeDocument/2006/relationships/hyperlink" Target="http://data.aade.gr/eli/pri/law/2015/03/19/4320" TargetMode="External" /><Relationship Id="rId123" Type="http://schemas.openxmlformats.org/officeDocument/2006/relationships/hyperlink" Target="http://data.aade.gr/eli/pri/law/2014/12/24/4316" TargetMode="External" /><Relationship Id="rId124" Type="http://schemas.openxmlformats.org/officeDocument/2006/relationships/hyperlink" Target="http://data.aade.gr/eli/pri/law/2015/03/19/4320" TargetMode="External" /><Relationship Id="rId125" Type="http://schemas.openxmlformats.org/officeDocument/2006/relationships/hyperlink" Target="http://data.aade.gr/eli/pri/law/2014/12/24/4316" TargetMode="External" /><Relationship Id="rId126" Type="http://schemas.openxmlformats.org/officeDocument/2006/relationships/hyperlink" Target="http://data.aade.gr/eli/pri/law/2015/03/19/4320" TargetMode="External" /><Relationship Id="rId127" Type="http://schemas.openxmlformats.org/officeDocument/2006/relationships/hyperlink" Target="http://data.aade.gr/eli/pri/law/2014/12/24/4316" TargetMode="External" /><Relationship Id="rId128" Type="http://schemas.openxmlformats.org/officeDocument/2006/relationships/hyperlink" Target="http://data.aade.gr/eli/pri/law/2015/03/19/4320" TargetMode="External" /><Relationship Id="rId129" Type="http://schemas.openxmlformats.org/officeDocument/2006/relationships/hyperlink" Target="http://data.aade.gr/eli/pri/law/2014/12/24/4316" TargetMode="External" /><Relationship Id="rId13" Type="http://schemas.openxmlformats.org/officeDocument/2006/relationships/hyperlink" Target="http://data.aade.gr/eli/pri/law/2013/07/12/4170" TargetMode="External" /><Relationship Id="rId130" Type="http://schemas.openxmlformats.org/officeDocument/2006/relationships/hyperlink" Target="http://data.aade.gr/eli/pri/law/2015/03/19/4320" TargetMode="External" /><Relationship Id="rId131" Type="http://schemas.openxmlformats.org/officeDocument/2006/relationships/hyperlink" Target="http://data.aade.gr/eli/pri/law/2014/12/24/4316" TargetMode="External" /><Relationship Id="rId132" Type="http://schemas.openxmlformats.org/officeDocument/2006/relationships/hyperlink" Target="http://data.aade.gr/eli/pri/law/2015/03/19/4320" TargetMode="External" /><Relationship Id="rId133" Type="http://schemas.openxmlformats.org/officeDocument/2006/relationships/hyperlink" Target="http://data.aade.gr/eli/pri/law/2014/12/24/4316" TargetMode="External" /><Relationship Id="rId134" Type="http://schemas.openxmlformats.org/officeDocument/2006/relationships/hyperlink" Target="http://data.aade.gr/eli/pri/law/2015/03/19/4320" TargetMode="External" /><Relationship Id="rId135" Type="http://schemas.openxmlformats.org/officeDocument/2006/relationships/hyperlink" Target="http://data.aade.gr/eli/pri/law/2014/12/24/4316" TargetMode="External" /><Relationship Id="rId136" Type="http://schemas.openxmlformats.org/officeDocument/2006/relationships/hyperlink" Target="http://data.aade.gr/eli/pri/law/2015/03/19/4320" TargetMode="External" /><Relationship Id="rId137" Type="http://schemas.openxmlformats.org/officeDocument/2006/relationships/hyperlink" Target="http://data.aade.gr/eli/pri/law/2014/12/24/4316" TargetMode="External" /><Relationship Id="rId138" Type="http://schemas.openxmlformats.org/officeDocument/2006/relationships/hyperlink" Target="http://data.aade.gr/eli/pri/law/2015/03/19/4320" TargetMode="External" /><Relationship Id="rId139" Type="http://schemas.openxmlformats.org/officeDocument/2006/relationships/hyperlink" Target="http://data.aade.gr/eli/pri/law/2014/12/24/4316" TargetMode="External" /><Relationship Id="rId14" Type="http://schemas.openxmlformats.org/officeDocument/2006/relationships/hyperlink" Target="http://data.aade.gr/eli/pri/law/2014/04/07/4254" TargetMode="External" /><Relationship Id="rId140" Type="http://schemas.openxmlformats.org/officeDocument/2006/relationships/hyperlink" Target="http://data.aade.gr/eli/pri/law/2015/03/19/4320" TargetMode="External" /><Relationship Id="rId141" Type="http://schemas.openxmlformats.org/officeDocument/2006/relationships/hyperlink" Target="http://data.aade.gr/eli/pri/law/2014/12/24/4316" TargetMode="External" /><Relationship Id="rId142" Type="http://schemas.openxmlformats.org/officeDocument/2006/relationships/hyperlink" Target="http://data.aade.gr/eli/pri/law/2015/03/19/4320" TargetMode="External" /><Relationship Id="rId143" Type="http://schemas.openxmlformats.org/officeDocument/2006/relationships/hyperlink" Target="http://data.aade.gr/eli/pri/law/2014/12/24/4316" TargetMode="External" /><Relationship Id="rId144" Type="http://schemas.openxmlformats.org/officeDocument/2006/relationships/hyperlink" Target="http://data.aade.gr/eli/pri/law/2015/03/19/4320" TargetMode="External" /><Relationship Id="rId145" Type="http://schemas.openxmlformats.org/officeDocument/2006/relationships/hyperlink" Target="http://data.aade.gr/eli/pri/law/2014/12/24/4316" TargetMode="External" /><Relationship Id="rId146" Type="http://schemas.openxmlformats.org/officeDocument/2006/relationships/hyperlink" Target="http://data.aade.gr/eli/pri/law/2015/03/19/4320" TargetMode="External" /><Relationship Id="rId147" Type="http://schemas.openxmlformats.org/officeDocument/2006/relationships/hyperlink" Target="http://data.aade.gr/eli/pri/law/2014/12/24/4316" TargetMode="External" /><Relationship Id="rId148" Type="http://schemas.openxmlformats.org/officeDocument/2006/relationships/hyperlink" Target="http://data.aade.gr/eli/pri/law/2015/03/19/4320" TargetMode="External" /><Relationship Id="rId149" Type="http://schemas.openxmlformats.org/officeDocument/2006/relationships/hyperlink" Target="http://data.aade.gr/eli/pri/law/2014/12/24/4316"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5/03/19/4320" TargetMode="External" /><Relationship Id="rId151" Type="http://schemas.openxmlformats.org/officeDocument/2006/relationships/hyperlink" Target="http://data.aade.gr/eli/pri/law/2014/12/24/4316" TargetMode="External" /><Relationship Id="rId152" Type="http://schemas.openxmlformats.org/officeDocument/2006/relationships/hyperlink" Target="http://data.aade.gr/eli/pri/law/2015/03/19/4320" TargetMode="External" /><Relationship Id="rId153" Type="http://schemas.openxmlformats.org/officeDocument/2006/relationships/hyperlink" Target="http://data.aade.gr/eli/pri/law/2014/12/24/4316" TargetMode="External" /><Relationship Id="rId154" Type="http://schemas.openxmlformats.org/officeDocument/2006/relationships/hyperlink" Target="http://data.aade.gr/eli/pri/law/2015/03/19/4320" TargetMode="External" /><Relationship Id="rId155" Type="http://schemas.openxmlformats.org/officeDocument/2006/relationships/hyperlink" Target="http://data.aade.gr/eli/pri/law/2015/03/19/4320" TargetMode="External" /><Relationship Id="rId156" Type="http://schemas.openxmlformats.org/officeDocument/2006/relationships/hyperlink" Target="http://data.aade.gr/eli/pri/law/2014/12/24/4316" TargetMode="External" /><Relationship Id="rId157" Type="http://schemas.openxmlformats.org/officeDocument/2006/relationships/hyperlink" Target="http://data.aade.gr/eli/pri/law/2015/03/19/4320" TargetMode="External" /><Relationship Id="rId158" Type="http://schemas.openxmlformats.org/officeDocument/2006/relationships/hyperlink" Target="http://data.aade.gr/eli/pri/law/2015/03/19/4320" TargetMode="External" /><Relationship Id="rId159" Type="http://schemas.openxmlformats.org/officeDocument/2006/relationships/hyperlink" Target="http://data.aade.gr/eli/pri/law/2015/03/19/4320" TargetMode="External" /><Relationship Id="rId16" Type="http://schemas.openxmlformats.org/officeDocument/2006/relationships/hyperlink" Target="http://data.aade.gr/eli/pri/law/2014/04/07/4254" TargetMode="External" /><Relationship Id="rId160" Type="http://schemas.openxmlformats.org/officeDocument/2006/relationships/hyperlink" Target="http://data.aade.gr/eli/pri/law/2015/03/19/4320" TargetMode="External" /><Relationship Id="rId161" Type="http://schemas.openxmlformats.org/officeDocument/2006/relationships/hyperlink" Target="http://data.aade.gr/eli/pri/law/2014/12/24/4316" TargetMode="External" /><Relationship Id="rId162" Type="http://schemas.openxmlformats.org/officeDocument/2006/relationships/hyperlink" Target="http://data.aade.gr/eli/pri/law/2015/03/19/4320" TargetMode="External" /><Relationship Id="rId163" Type="http://schemas.openxmlformats.org/officeDocument/2006/relationships/hyperlink" Target="http://data.aade.gr/eli/pri/law/2014/12/24/4316" TargetMode="External" /><Relationship Id="rId164" Type="http://schemas.openxmlformats.org/officeDocument/2006/relationships/hyperlink" Target="http://data.aade.gr/eli/pri/law/2015/03/19/4320" TargetMode="External" /><Relationship Id="rId165" Type="http://schemas.openxmlformats.org/officeDocument/2006/relationships/hyperlink" Target="http://data.aade.gr/eli/pri/law/2014/12/24/4316" TargetMode="External" /><Relationship Id="rId166" Type="http://schemas.openxmlformats.org/officeDocument/2006/relationships/hyperlink" Target="http://data.aade.gr/eli/pri/law/2015/03/19/4320" TargetMode="External" /><Relationship Id="rId167" Type="http://schemas.openxmlformats.org/officeDocument/2006/relationships/hyperlink" Target="http://data.aade.gr/eli/pri/law/2014/12/24/4316" TargetMode="External" /><Relationship Id="rId168" Type="http://schemas.openxmlformats.org/officeDocument/2006/relationships/hyperlink" Target="http://data.aade.gr/eli/pri/law/2015/03/19/4320" TargetMode="External" /><Relationship Id="rId169" Type="http://schemas.openxmlformats.org/officeDocument/2006/relationships/hyperlink" Target="http://data.aade.gr/eli/pri/law/2014/12/24/4316"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5/03/19/4320" TargetMode="External" /><Relationship Id="rId171" Type="http://schemas.openxmlformats.org/officeDocument/2006/relationships/hyperlink" Target="http://data.aade.gr/eli/pri/law/2014/12/24/4316" TargetMode="External" /><Relationship Id="rId172" Type="http://schemas.openxmlformats.org/officeDocument/2006/relationships/hyperlink" Target="http://data.aade.gr/eli/pri/law/2015/03/19/4320" TargetMode="External" /><Relationship Id="rId173" Type="http://schemas.openxmlformats.org/officeDocument/2006/relationships/hyperlink" Target="http://data.aade.gr/eli/pri/law/2014/12/24/4316" TargetMode="External" /><Relationship Id="rId174" Type="http://schemas.openxmlformats.org/officeDocument/2006/relationships/hyperlink" Target="http://data.aade.gr/eli/pri/law/2015/03/19/4320" TargetMode="External" /><Relationship Id="rId175" Type="http://schemas.openxmlformats.org/officeDocument/2006/relationships/hyperlink" Target="http://data.aade.gr/eli/pri/law/2014/12/24/4316" TargetMode="External" /><Relationship Id="rId176" Type="http://schemas.openxmlformats.org/officeDocument/2006/relationships/hyperlink" Target="http://data.aade.gr/eli/pri/law/2015/03/19/4320" TargetMode="External" /><Relationship Id="rId177" Type="http://schemas.openxmlformats.org/officeDocument/2006/relationships/hyperlink" Target="http://data.aade.gr/eli/pri/law/2014/12/24/4316" TargetMode="External" /><Relationship Id="rId178" Type="http://schemas.openxmlformats.org/officeDocument/2006/relationships/hyperlink" Target="http://data.aade.gr/eli/pri/law/2015/03/19/4320" TargetMode="External" /><Relationship Id="rId179" Type="http://schemas.openxmlformats.org/officeDocument/2006/relationships/hyperlink" Target="http://data.aade.gr/eli/pri/law/2015/03/19/4320" TargetMode="External" /><Relationship Id="rId18" Type="http://schemas.openxmlformats.org/officeDocument/2006/relationships/hyperlink" Target="http://data.aade.gr/eli/pri/law/2014/04/07/4254" TargetMode="External" /><Relationship Id="rId180" Type="http://schemas.openxmlformats.org/officeDocument/2006/relationships/hyperlink" Target="http://data.aade.gr/eli/pri/law/2014/12/24/4316" TargetMode="External" /><Relationship Id="rId181" Type="http://schemas.openxmlformats.org/officeDocument/2006/relationships/hyperlink" Target="http://data.aade.gr/eli/pri/law/2013/11/18/4208" TargetMode="External" /><Relationship Id="rId182" Type="http://schemas.openxmlformats.org/officeDocument/2006/relationships/hyperlink" Target="http://data.aade.gr/eli/pri/law/2015/03/19/4320" TargetMode="External" /><Relationship Id="rId183" Type="http://schemas.openxmlformats.org/officeDocument/2006/relationships/hyperlink" Target="http://data.aade.gr/eli/pri/law/2015/03/19/4320" TargetMode="External" /><Relationship Id="rId184" Type="http://schemas.openxmlformats.org/officeDocument/2006/relationships/hyperlink" Target="http://data.aade.gr/eli/pri/law/2014/04/11/4255" TargetMode="External" /><Relationship Id="rId185" Type="http://schemas.openxmlformats.org/officeDocument/2006/relationships/hyperlink" Target="http://data.aade.gr/eli/pri/law/2013/07/12/4170" TargetMode="External" /><Relationship Id="rId19" Type="http://schemas.openxmlformats.org/officeDocument/2006/relationships/hyperlink" Target="http://data.aade.gr/eli/pri/law/2013/12/31/4223" TargetMode="External" /><Relationship Id="rId2" Type="http://schemas.openxmlformats.org/officeDocument/2006/relationships/hyperlink" Target="http://data.aade.gr/eli/pri/law/2013/07/26/4174" TargetMode="External" /><Relationship Id="rId20"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23" Type="http://schemas.openxmlformats.org/officeDocument/2006/relationships/hyperlink" Target="http://data.aade.gr/eli/pri/law/2013/12/31/4223" TargetMode="External" /><Relationship Id="rId24" Type="http://schemas.openxmlformats.org/officeDocument/2006/relationships/hyperlink" Target="http://data.aade.gr/eli/pri/law/2013/12/31/4223" TargetMode="External" /><Relationship Id="rId25" Type="http://schemas.openxmlformats.org/officeDocument/2006/relationships/hyperlink" Target="http://data.aade.gr/eli/pri/law/2013/12/31/4223" TargetMode="External" /><Relationship Id="rId26" Type="http://schemas.openxmlformats.org/officeDocument/2006/relationships/hyperlink" Target="http://data.aade.gr/eli/pri/law/2014/08/08/4281" TargetMode="External" /><Relationship Id="rId27" Type="http://schemas.openxmlformats.org/officeDocument/2006/relationships/hyperlink" Target="http://data.aade.gr/eli/pri/law/2013/07/12/4170" TargetMode="External" /><Relationship Id="rId28" Type="http://schemas.openxmlformats.org/officeDocument/2006/relationships/hyperlink" Target="http://data.aade.gr/eli/pri/law/2014/05/15/4264" TargetMode="External" /><Relationship Id="rId29" Type="http://schemas.openxmlformats.org/officeDocument/2006/relationships/hyperlink" Target="http://data.aade.gr/eli/pri/law/2014/05/15/4264" TargetMode="External" /><Relationship Id="rId3" Type="http://schemas.openxmlformats.org/officeDocument/2006/relationships/hyperlink" Target="http://data.aade.gr/eli/pri/law/2013/07/26/4174" TargetMode="External" /><Relationship Id="rId30" Type="http://schemas.openxmlformats.org/officeDocument/2006/relationships/hyperlink" Target="http://data.aade.gr/eli/pri/law/2014/05/15/4264" TargetMode="External" /><Relationship Id="rId31" Type="http://schemas.openxmlformats.org/officeDocument/2006/relationships/hyperlink" Target="http://data.aade.gr/eli/pri/law/2013/11/01/4203" TargetMode="External" /><Relationship Id="rId32" Type="http://schemas.openxmlformats.org/officeDocument/2006/relationships/hyperlink" Target="http://data.aade.gr/eli/pri/law/2013/11/01/4203" TargetMode="External" /><Relationship Id="rId33" Type="http://schemas.openxmlformats.org/officeDocument/2006/relationships/hyperlink" Target="http://data.aade.gr/eli/pri/law/2013/11/01/4203" TargetMode="External" /><Relationship Id="rId34" Type="http://schemas.openxmlformats.org/officeDocument/2006/relationships/hyperlink" Target="http://data.aade.gr/eli/pri/law/2013/11/01/4203" TargetMode="External" /><Relationship Id="rId35" Type="http://schemas.openxmlformats.org/officeDocument/2006/relationships/hyperlink" Target="http://data.aade.gr/eli/pri/law/2014/10/02/4296" TargetMode="External" /><Relationship Id="rId36" Type="http://schemas.openxmlformats.org/officeDocument/2006/relationships/hyperlink" Target="http://data.aade.gr/eli/pri/law/2013/11/01/4203" TargetMode="External" /><Relationship Id="rId37" Type="http://schemas.openxmlformats.org/officeDocument/2006/relationships/hyperlink" Target="http://data.aade.gr/eli/pri/law/2013/11/01/4203" TargetMode="External" /><Relationship Id="rId38" Type="http://schemas.openxmlformats.org/officeDocument/2006/relationships/hyperlink" Target="http://data.aade.gr/eli/pri/law/2013/11/01/4203" TargetMode="External" /><Relationship Id="rId39" Type="http://schemas.openxmlformats.org/officeDocument/2006/relationships/hyperlink" Target="http://data.aade.gr/eli/pri/law/2014/01/07/4225" TargetMode="External" /><Relationship Id="rId4" Type="http://schemas.openxmlformats.org/officeDocument/2006/relationships/hyperlink" Target="http://data.aade.gr/eli/pri/law/2013/07/23/4172" TargetMode="External" /><Relationship Id="rId40" Type="http://schemas.openxmlformats.org/officeDocument/2006/relationships/hyperlink" Target="http://data.aade.gr/eli/pri/law/2014/01/07/4225" TargetMode="External" /><Relationship Id="rId41" Type="http://schemas.openxmlformats.org/officeDocument/2006/relationships/hyperlink" Target="http://data.aade.gr/eli/pri/law/2015/08/14/4336" TargetMode="External" /><Relationship Id="rId42" Type="http://schemas.openxmlformats.org/officeDocument/2006/relationships/hyperlink" Target="http://data.aade.gr/eli/pri/law/2015/08/14/4336" TargetMode="External" /><Relationship Id="rId43" Type="http://schemas.openxmlformats.org/officeDocument/2006/relationships/hyperlink" Target="http://data.aade.gr/eli/pri/law/2015/08/14/4336" TargetMode="External" /><Relationship Id="rId44" Type="http://schemas.openxmlformats.org/officeDocument/2006/relationships/hyperlink" Target="http://data.aade.gr/eli/pri/law/2015/08/14/4336" TargetMode="External" /><Relationship Id="rId45" Type="http://schemas.openxmlformats.org/officeDocument/2006/relationships/hyperlink" Target="http://data.aade.gr/eli/pri/law/2014/01/07/4225" TargetMode="External" /><Relationship Id="rId46" Type="http://schemas.openxmlformats.org/officeDocument/2006/relationships/hyperlink" Target="http://data.aade.gr/eli/pri/law/2014/01/07/4225" TargetMode="External" /><Relationship Id="rId47" Type="http://schemas.openxmlformats.org/officeDocument/2006/relationships/hyperlink" Target="http://data.aade.gr/eli/pri/law/2015/03/19/4320" TargetMode="External" /><Relationship Id="rId48" Type="http://schemas.openxmlformats.org/officeDocument/2006/relationships/hyperlink" Target="http://data.aade.gr/eli/pri/law/2015/03/19/4320" TargetMode="External" /><Relationship Id="rId49" Type="http://schemas.openxmlformats.org/officeDocument/2006/relationships/hyperlink" Target="http://data.aade.gr/eli/pri/law/2015/03/19/4320" TargetMode="External" /><Relationship Id="rId5" Type="http://schemas.openxmlformats.org/officeDocument/2006/relationships/hyperlink" Target="http://data.aade.gr/eli/pri/law/2014/12/24/4316" TargetMode="External" /><Relationship Id="rId50" Type="http://schemas.openxmlformats.org/officeDocument/2006/relationships/hyperlink" Target="http://data.aade.gr/eli/pri/law/2014/12/24/4316" TargetMode="External" /><Relationship Id="rId51" Type="http://schemas.openxmlformats.org/officeDocument/2006/relationships/hyperlink" Target="http://data.aade.gr/eli/pri/law/2015/03/19/4320" TargetMode="External" /><Relationship Id="rId52" Type="http://schemas.openxmlformats.org/officeDocument/2006/relationships/hyperlink" Target="http://data.aade.gr/eli/pri/law/2014/12/24/4316" TargetMode="External" /><Relationship Id="rId53" Type="http://schemas.openxmlformats.org/officeDocument/2006/relationships/hyperlink" Target="http://data.aade.gr/eli/pri/law/2015/03/19/4320" TargetMode="External" /><Relationship Id="rId54" Type="http://schemas.openxmlformats.org/officeDocument/2006/relationships/hyperlink" Target="http://data.aade.gr/eli/pri/law/2015/03/19/4320" TargetMode="External" /><Relationship Id="rId55" Type="http://schemas.openxmlformats.org/officeDocument/2006/relationships/hyperlink" Target="http://data.aade.gr/eli/pri/law/2014/12/24/4316" TargetMode="External" /><Relationship Id="rId56" Type="http://schemas.openxmlformats.org/officeDocument/2006/relationships/hyperlink" Target="http://data.aade.gr/eli/pri/law/2015/03/19/4320" TargetMode="External" /><Relationship Id="rId57" Type="http://schemas.openxmlformats.org/officeDocument/2006/relationships/hyperlink" Target="http://data.aade.gr/eli/pri/law/2015/03/19/4320" TargetMode="External" /><Relationship Id="rId58" Type="http://schemas.openxmlformats.org/officeDocument/2006/relationships/hyperlink" Target="http://data.aade.gr/eli/pri/law/2014/12/24/4316" TargetMode="External" /><Relationship Id="rId59" Type="http://schemas.openxmlformats.org/officeDocument/2006/relationships/hyperlink" Target="http://data.aade.gr/eli/pri/law/2015/03/19/4320" TargetMode="External" /><Relationship Id="rId6" Type="http://schemas.openxmlformats.org/officeDocument/2006/relationships/hyperlink" Target="http://data.aade.gr/eli/pri/law/2013/07/12/4170" TargetMode="External" /><Relationship Id="rId60" Type="http://schemas.openxmlformats.org/officeDocument/2006/relationships/hyperlink" Target="http://data.aade.gr/eli/pri/law/2014/12/24/4316" TargetMode="External" /><Relationship Id="rId61" Type="http://schemas.openxmlformats.org/officeDocument/2006/relationships/hyperlink" Target="http://data.aade.gr/eli/pri/law/2015/03/19/4320" TargetMode="External" /><Relationship Id="rId62" Type="http://schemas.openxmlformats.org/officeDocument/2006/relationships/hyperlink" Target="http://data.aade.gr/eli/pri/law/2014/12/24/4316" TargetMode="External" /><Relationship Id="rId63" Type="http://schemas.openxmlformats.org/officeDocument/2006/relationships/hyperlink" Target="http://data.aade.gr/eli/pri/law/2015/03/19/4320" TargetMode="External" /><Relationship Id="rId64" Type="http://schemas.openxmlformats.org/officeDocument/2006/relationships/hyperlink" Target="http://data.aade.gr/eli/pri/law/2014/12/24/4316" TargetMode="External" /><Relationship Id="rId65" Type="http://schemas.openxmlformats.org/officeDocument/2006/relationships/hyperlink" Target="http://data.aade.gr/eli/pri/law/2015/03/19/4320" TargetMode="External" /><Relationship Id="rId66" Type="http://schemas.openxmlformats.org/officeDocument/2006/relationships/hyperlink" Target="http://data.aade.gr/eli/pri/law/2014/12/24/4316" TargetMode="External" /><Relationship Id="rId67" Type="http://schemas.openxmlformats.org/officeDocument/2006/relationships/hyperlink" Target="http://data.aade.gr/eli/pri/law/2015/03/19/4320" TargetMode="External" /><Relationship Id="rId68" Type="http://schemas.openxmlformats.org/officeDocument/2006/relationships/hyperlink" Target="http://data.aade.gr/eli/pri/law/2014/12/24/4316" TargetMode="External" /><Relationship Id="rId69" Type="http://schemas.openxmlformats.org/officeDocument/2006/relationships/hyperlink" Target="http://data.aade.gr/eli/pri/law/2015/03/19/4320"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4/12/24/4316" TargetMode="External" /><Relationship Id="rId71" Type="http://schemas.openxmlformats.org/officeDocument/2006/relationships/hyperlink" Target="http://data.aade.gr/eli/pri/law/2015/03/19/4320" TargetMode="External" /><Relationship Id="rId72" Type="http://schemas.openxmlformats.org/officeDocument/2006/relationships/hyperlink" Target="http://data.aade.gr/eli/pri/law/2014/12/24/4316" TargetMode="External" /><Relationship Id="rId73" Type="http://schemas.openxmlformats.org/officeDocument/2006/relationships/hyperlink" Target="http://data.aade.gr/eli/pri/law/2015/03/19/4320" TargetMode="External" /><Relationship Id="rId74" Type="http://schemas.openxmlformats.org/officeDocument/2006/relationships/hyperlink" Target="http://data.aade.gr/eli/pri/law/2014/12/24/4316" TargetMode="External" /><Relationship Id="rId75" Type="http://schemas.openxmlformats.org/officeDocument/2006/relationships/hyperlink" Target="http://data.aade.gr/eli/pri/law/2015/03/19/4320" TargetMode="External" /><Relationship Id="rId76" Type="http://schemas.openxmlformats.org/officeDocument/2006/relationships/hyperlink" Target="http://data.aade.gr/eli/pri/law/2014/12/24/4316" TargetMode="External" /><Relationship Id="rId77" Type="http://schemas.openxmlformats.org/officeDocument/2006/relationships/hyperlink" Target="http://data.aade.gr/eli/pri/law/2015/03/19/4320" TargetMode="External" /><Relationship Id="rId78" Type="http://schemas.openxmlformats.org/officeDocument/2006/relationships/hyperlink" Target="http://data.aade.gr/eli/pri/law/2014/12/24/4316" TargetMode="External" /><Relationship Id="rId79" Type="http://schemas.openxmlformats.org/officeDocument/2006/relationships/hyperlink" Target="http://data.aade.gr/eli/pri/law/2015/03/19/4320"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4/12/24/4316" TargetMode="External" /><Relationship Id="rId81" Type="http://schemas.openxmlformats.org/officeDocument/2006/relationships/hyperlink" Target="http://data.aade.gr/eli/pri/law/2015/03/19/4320" TargetMode="External" /><Relationship Id="rId82" Type="http://schemas.openxmlformats.org/officeDocument/2006/relationships/hyperlink" Target="http://data.aade.gr/eli/pri/law/2014/12/24/4316" TargetMode="External" /><Relationship Id="rId83" Type="http://schemas.openxmlformats.org/officeDocument/2006/relationships/hyperlink" Target="http://data.aade.gr/eli/pri/law/2015/03/19/4320" TargetMode="External" /><Relationship Id="rId84" Type="http://schemas.openxmlformats.org/officeDocument/2006/relationships/hyperlink" Target="http://data.aade.gr/eli/pri/law/2014/12/24/4316" TargetMode="External" /><Relationship Id="rId85" Type="http://schemas.openxmlformats.org/officeDocument/2006/relationships/hyperlink" Target="http://data.aade.gr/eli/pri/law/2015/03/19/4320" TargetMode="External" /><Relationship Id="rId86" Type="http://schemas.openxmlformats.org/officeDocument/2006/relationships/hyperlink" Target="http://data.aade.gr/eli/pri/law/2014/12/24/4316" TargetMode="External" /><Relationship Id="rId87" Type="http://schemas.openxmlformats.org/officeDocument/2006/relationships/hyperlink" Target="http://data.aade.gr/eli/pri/law/2015/03/19/4320" TargetMode="External" /><Relationship Id="rId88" Type="http://schemas.openxmlformats.org/officeDocument/2006/relationships/hyperlink" Target="http://data.aade.gr/eli/pri/law/2014/12/24/4316" TargetMode="External" /><Relationship Id="rId89" Type="http://schemas.openxmlformats.org/officeDocument/2006/relationships/hyperlink" Target="http://data.aade.gr/eli/pri/law/2015/03/19/4320" TargetMode="External" /><Relationship Id="rId9" Type="http://schemas.openxmlformats.org/officeDocument/2006/relationships/hyperlink" Target="http://data.aade.gr/eli/pri/law/2013/12/31/4223" TargetMode="External" /><Relationship Id="rId90" Type="http://schemas.openxmlformats.org/officeDocument/2006/relationships/hyperlink" Target="http://data.aade.gr/eli/pri/law/2014/12/24/4316" TargetMode="External" /><Relationship Id="rId91" Type="http://schemas.openxmlformats.org/officeDocument/2006/relationships/hyperlink" Target="http://data.aade.gr/eli/pri/law/2015/03/19/4320" TargetMode="External" /><Relationship Id="rId92" Type="http://schemas.openxmlformats.org/officeDocument/2006/relationships/hyperlink" Target="http://data.aade.gr/eli/pri/law/2014/12/24/4316" TargetMode="External" /><Relationship Id="rId93" Type="http://schemas.openxmlformats.org/officeDocument/2006/relationships/hyperlink" Target="http://data.aade.gr/eli/pri/law/2015/03/19/4320" TargetMode="External" /><Relationship Id="rId94" Type="http://schemas.openxmlformats.org/officeDocument/2006/relationships/hyperlink" Target="http://data.aade.gr/eli/pri/law/2014/12/24/4316" TargetMode="External" /><Relationship Id="rId95" Type="http://schemas.openxmlformats.org/officeDocument/2006/relationships/hyperlink" Target="http://data.aade.gr/eli/pri/law/2015/03/19/4320" TargetMode="External" /><Relationship Id="rId96" Type="http://schemas.openxmlformats.org/officeDocument/2006/relationships/hyperlink" Target="http://data.aade.gr/eli/pri/law/2014/12/24/4316" TargetMode="External" /><Relationship Id="rId97" Type="http://schemas.openxmlformats.org/officeDocument/2006/relationships/hyperlink" Target="http://data.aade.gr/eli/pri/law/2015/03/19/4320" TargetMode="External" /><Relationship Id="rId98" Type="http://schemas.openxmlformats.org/officeDocument/2006/relationships/hyperlink" Target="http://data.aade.gr/eli/pri/law/2014/12/24/4316" TargetMode="External" /><Relationship Id="rId99" Type="http://schemas.openxmlformats.org/officeDocument/2006/relationships/hyperlink" Target="http://data.aade.gr/eli/pri/law/2015/03/19/43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