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30.6.2018.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4546/2018, Άρθρο 49; </w:t>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xml:space="preserve">; </w:t>
      </w:r>
      <w:hyperlink r:id="rId237"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2" w:history="1">
        <w:r>
          <w:rPr>
            <w:rStyle w:val="Hyperlink"/>
            <w:color w:val="0000EE"/>
            <w:u w:color="0000EE"/>
            <w:lang w:val="el" w:eastAsia="el"/>
          </w:rPr>
          <w:t>Τροποποίηση 4320/2015, Άρθρο 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4255/2014,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3/07/4370"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04/11/4255" TargetMode="External" /><Relationship Id="rId245"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