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πριν ή μετά τη λήξη της προθεσμίας καταβολής αυτών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 σε δύο (2) έως είκοσι τέσσερις (24) μηνιαίες δόσεις,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 σε δύο (2) 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Ο αριθμός των δόσεων της ρύθμισης για οφειλές που ρυθμίζονται σύμφωνα με την ανωτέρω υποπερίπτωση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σε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υποπερίπτωσης δ΄.</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Για οφειλέτες φυσικά πρόσωπα, με βάση- 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 και το ύψος της ρυθμιζόμενης οφειλής ως εξής: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Το συνολικό εισόδημα πολλαπλασιάζεται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εισόδημα: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αα)</w:t>
      </w:r>
      <w:r>
        <w:rPr>
          <w:lang w:val="en" w:eastAsia="en"/>
        </w:rPr>
        <w:tab/>
      </w:r>
      <w:r>
        <w:rPr>
          <w:lang w:val="el" w:eastAsia="el"/>
        </w:rPr>
        <w:t>από 0,01 ευρώ έως 15.000 ευρώ με συντελεστή τέσσερα τοις εκατό (4%),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ββ)</w:t>
      </w:r>
      <w:r>
        <w:rPr>
          <w:lang w:val="en" w:eastAsia="en"/>
        </w:rPr>
        <w:tab/>
      </w:r>
      <w:r>
        <w:rPr>
          <w:lang w:val="el" w:eastAsia="el"/>
        </w:rPr>
        <w:t>από 15.000,01 ευρώ έως 20.000 ευρώ με συντελεστή έξι τοις εκατό (6%),</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από 20.000,01 ευρώ έως 25.000 ευρώ με συντελεστή οκτώ τοις εκατό (8%),</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δδ)</w:t>
      </w:r>
      <w:r>
        <w:rPr>
          <w:lang w:val="en" w:eastAsia="en"/>
        </w:rPr>
        <w:tab/>
      </w:r>
      <w:r>
        <w:rPr>
          <w:lang w:val="el" w:eastAsia="el"/>
        </w:rPr>
        <w:t>από 25.000,01 ευρώ έως 30.000 ευρώ με συντελεστή δέκα τοις εκατό (10%),</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εε)</w:t>
      </w:r>
      <w:r>
        <w:rPr>
          <w:lang w:val="en" w:eastAsia="en"/>
        </w:rPr>
        <w:tab/>
      </w:r>
      <w:r>
        <w:rPr>
          <w:lang w:val="el" w:eastAsia="el"/>
        </w:rPr>
        <w:t>από 30.000,01 ευρώ έως 50.000 ευρώ με συντελεστή δώδεκα τοις εκατό (12%),</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στστ)</w:t>
      </w:r>
      <w:r>
        <w:rPr>
          <w:lang w:val="en" w:eastAsia="en"/>
        </w:rPr>
        <w:tab/>
      </w:r>
      <w:r>
        <w:rPr>
          <w:lang w:val="el" w:eastAsia="el"/>
        </w:rPr>
        <w:t>από 50.000,01 ευρώ έως 75.000 ευρώ με συντελεστή δεκαπέντε τοις εκατό (15%),</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ζζ)</w:t>
      </w:r>
      <w:r>
        <w:rPr>
          <w:lang w:val="en" w:eastAsia="en"/>
        </w:rPr>
        <w:tab/>
      </w:r>
      <w:r>
        <w:rPr>
          <w:lang w:val="el" w:eastAsia="el"/>
        </w:rPr>
        <w:t>από 75.000,01 ευρώ έως 100.000 ευρώ με συντελεστή είκοσι τοις εκατό (20%),</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ηη)</w:t>
      </w:r>
      <w:r>
        <w:rPr>
          <w:lang w:val="en" w:eastAsia="en"/>
        </w:rPr>
        <w:tab/>
      </w:r>
      <w:r>
        <w:rPr>
          <w:lang w:val="el" w:eastAsia="el"/>
        </w:rPr>
        <w:t>πάνω από 100.000 ευρώ με συντελεστή είκοσι πέντε τοις εκατό (25%).</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οφειλέτες νομικά πρόσωπα ή νομικές οντότητες, με βάση- το μέσο όρο των συνολικών ακαθάριστων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Για ακαθάριστα έσοδα: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αα)</w:t>
      </w:r>
      <w:r>
        <w:rPr>
          <w:lang w:val="en" w:eastAsia="en"/>
        </w:rPr>
        <w:tab/>
      </w:r>
      <w:r>
        <w:rPr>
          <w:lang w:val="el" w:eastAsia="el"/>
        </w:rPr>
        <w:t>από 0,01 ευρώ έως 1.000.000 ευρώ με συντελεστή πέντε τοις εκατό (5%),</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ββ)</w:t>
      </w:r>
      <w:r>
        <w:rPr>
          <w:lang w:val="en" w:eastAsia="en"/>
        </w:rPr>
        <w:tab/>
      </w:r>
      <w:r>
        <w:rPr>
          <w:lang w:val="el" w:eastAsia="el"/>
        </w:rPr>
        <w:t>από 1.000.000,01 ευρώ έως 1.500.000 ευρώ με συντελεστή επτά τοις εκατό (7%),</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γγ)</w:t>
      </w:r>
      <w:r>
        <w:rPr>
          <w:lang w:val="en" w:eastAsia="en"/>
        </w:rPr>
        <w:tab/>
      </w:r>
      <w:r>
        <w:rPr>
          <w:lang w:val="el" w:eastAsia="el"/>
        </w:rPr>
        <w:t>από 1.500.000,01 ευρώ και άνω με συντελεστή δέκα τοις εκατό (10%).Το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Ο αριθμός των δόσεων που καθορίζεται από τη Φορολογική Διοίκηση για οφειλές της υποπερίπτωσης α΄ (ii),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φορά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δεύτερης ρύθμισης.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 Το ελάχιστο ποσό μηνιαίας δόσης της ρύθμισης ορίζεται σε τριάντα (30)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από την ημερομηνία υπαγωγής, αντί των κατά Κ.Ε.Δ.Ε. και κατά του ν. 4174/2013 (Α΄170) τόκων και προσαυξήσεων εκπρόθεσμης καταβολής, με τόκο ως εξής: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δώδεκα (12)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οφειλές που ρυθμίζονται σε περισσότερες από δώδεκα (12) μηνιαίες δόσεις, το επιτόκιο της ανωτέρω περίπτωσης α΄, με βάση το οποίο υπολογίζεται ο τόκος, προσαυξάνεται κατά μιάμιση εκατοστιαία μονάδα (1,5%). Ο ως άνω τόκος είναι ετησίως υπολογιζόμενος και παραμένει σταθερός καθ’ όλη τη διάρκεια της ρύθμιση.</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 Τα οριζόμενα στο προηγούμενο εδάφιο δεν ισχύουν για οφειλές από δασμούς.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Τα επιτόκια των προηγουμένων υποπεριπτώσεων δεν υπερβαίνουν τα επιτόκια που ορίζονται για την εφαρμογή της παραγράφου 1 του άρθρου 53 του ν. 4174/2013 (Α΄170) και της παραγράφου 1 του άρθρου 6 του ν. 356/1974 (Α΄90).</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ε)</w:t>
      </w:r>
      <w:r>
        <w:rPr>
          <w:lang w:val="en" w:eastAsia="en"/>
        </w:rPr>
        <w:tab/>
      </w:r>
      <w:r>
        <w:rPr>
          <w:lang w:val="el" w:eastAsia="el"/>
        </w:rPr>
        <w:t>Με την υπαγωγή και υπό την προϋπόθεση της τήρησης του προγράμματος ρύθμισης δεν υπολογίζονται τα πρόστιμα του άρθρου 57 του Κ.Φ.Δ. και του άρθρου 6 του Κ.Ε.Δ.Ε..</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για τις ληξιπρόθεσμες οφειλές, ή την πρώτη ημέρα του μήνα βεβαίωσής τους, για τις μη ληξιπρόθεσμες οφειλές, προσαυξημένο κατά μία ποσοστιαία μονάδα. 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ούτε υπόκειται στον περιορισμό της υποπερίπτωσης δ΄. Τόκος δεν υπολογίζεται, εφόσον οι ρυθμιζόμενες οφειλές δεν υπερβαίνουν ανά πράξη βεβαίωσης το ποσό των δέκα (10) ευρώ.</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τον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το ευεργέτημα της ρύθμισης, τα μέτρα που έχουν ανασταλεί συνεχίζονται.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spacing w:before="240" w:after="240"/>
        <w:rPr>
          <w:lang w:val="el" w:eastAsia="el"/>
        </w:rPr>
      </w:pPr>
      <w:r>
        <w:rPr>
          <w:lang w:val="el" w:eastAsia="el"/>
        </w:rPr>
        <w:t>ε. Σε οφειλέτες που είναι συνεπείς στην εκπλήρωση των όρων της παρούσας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παράγραφο 2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 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παραγράφου 2 που επιβαρύνουν τις οφειλές από την πρώτη υπαγωγή τους στη ρύθμιση και ως την εξόφλησή τους.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μετά από εισήγηση του Διοικητή της ΑΑΔΕ δύνανται να προσδιορίζεται ο χρόνος έναρξης εφαρμογής για την υπαγωγή στις διατάξεις της παρούσας, να καθορίζονται οι προϋποθέσεις υπαγωγής των φορολογικών υποχρεώσεων και μέσω διαδικτυακής εφαρμογής της ΑΑΔΕ,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Η Μονάδα στελεχώνεται από υπαλλήλους όλων των κλάδων, κατηγοριών και ειδικοτήτων του Υπουργείου Οικονομικών, καθώς και από υπαλλήλους που μετατάσσονται σύμφωνα με τον ν. 4440/2016 (Α΄ 224), με την επιφύλαξη της περ. δ΄ της παρούσας. Κατά παρέκκλιση κάθε γενικής ή ειδικής διάταξης μπορούν να αποσπώνται στην Μονάδα υπάλληλοι, μόνιμοι ή με σχέση εργασίας ιδιωτικού δικαίου αορίστου χρόνου, οι οποίοι υπηρετούν σε φορείς της Γενικής Κυβέρνησης ή στον δημόσιο τομέα, όπως αυτός οριοθετείται με το άρθρο 51 του ν. 1892/1990 (Α΄ 101).</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Οι αποσπάσεις της περ. α΄ διενεργούνται με απόφαση του αρμοδίου οργάνου, χωρίς να απαιτείται απόφαση ή σύμφωνη γνώμη των αρμόδιων Υπηρεσιακών Συμβουλίων ή του οργάνου διοίκησης του φορέα προέλευσης, για διάστημα έως τέσσερα (4) έτη. Ο χρόνος υπηρεσίας των αποσπασμένων υπαλλήλων λογίζεται για κάθε συνέπεια ως χρόνος πραγματικής υπηρεσίας στην οργανική τους θέση και οι ανωτέρω υπάλληλοι λαμβάνουν το σύνολο των αποδοχών της θέσης αυτής, συμπεριλαμβανομένης τυχόν προσωπικής διαφοράς. Εάν ο επιλεγείς υπάλληλος υπηρετεί με απόσπαση σε άλλη υπηρεσία, με την έκδοση της απόφασης απόσπασης στη Μονάδα αίρεται αυτοδικαίως η απόσπασή του στην προηγούμενη υπηρεσία.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Για τη διενέργεια των αποσπάσεων εκδίδεται σχετική πρόσκληση εκδήλωσης ενδιαφέροντος από το αρμόδιο όργανο, με την οποία καθορίζονται τα απαιτούμενα προσόντα, η προθεσμία για την υποβολή των αιτήσεων, η διαδικασία επιλογής, ο τρόπος δημοσίευσης ή δημοσιοποίησης, καθώς και κάθε άλλο ειδικότερο ζήτημα για τη διενέργεια των αποσπάσεων.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Με απόφαση του αρμόδιου οργάνου, έπειτα από σύμφωνη γνώμη του Προϊσταμένου της Μονάδας αποσπασμένοι υπάλληλοι μετατάσσονται στη Μονάδα μετά τη λήξη της απόσπασης, εφόσον υποβάλλουν σχετική αίτηση, κατά παρέκκλιση του ν. 4440/2016 (Α΄ 224), Οι υπάλληλοι μετατάσσονται σε κενή οργανική θέση κλάδου της ίδιας ή ανώτερης κατηγορίας, με τον βαθμό και το μισθολογικό κλιμάκιο που κατέχουν, την ίδια σχέση εργασίας και με διατήρηση τυχόν προσωπικής διαφοράς στις αποδοχές. Υπάλληλοι που προέρχονται από φορέα στον οποίο εφαρμόζεται διαφορετικό βαθμολογικό ή μισθολογικό καθεστώς, κατατάσσονται βάσει των αντίστοιχων διατάξεων που ισχύουν για το Υπουργείο Οικονομικών. Εάν η απόσπαση λήξει πριν από την δημοσίευση της πράξης μετάταξης, παρατείνεται αυτοδικαίως μέχρι την έκδοση της πράξης μετάταξης. Οι υπάλληλοι που δεν υποβάλλουν αίτηση ή δεν επιλεγούν προς μετάταξη επιστρέφουν στην υπηρεσία στην οποία ανήκει η οργανική τους θέση μετά τη λήξη της απόσπασης. Αν δεν υφίσταται κενή οργανική θέση ιδιωτικού δικαίου στη Μονάδα, είναι δυνατή η μετάταξη αποσπασμένων υπαλλήλων με σχέση εργασίας ιδιωτικού δικαίου αορίστου χρόνου σε συνιστώμενες προσωποπαγείς θέσεις ιδιωτικού δικαίου, με παράλληλη δέσμευση κενών οργανικών θέσεων δημοσίου δικαίου, για όσο χρόνο υφίστανται οι προσωποπαγείς θέσεις.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 Στη Μονάδα μπορούν να απασχολούνται και υπάλληλοι από όργανα της Ευρωπαϊκής Ένωσης.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Συστήνονται δέκα (10) νέες οργανικές θέσεις στη Μονάδα και ο συνολικός αριθμός των οργανικών θέσεων της Κεντρικής Μονάδας Κρατικών Ενισχύσεων ανέρχεται σε τριάντα (30) θέσεις. Με απόφαση του Υπουργού Οικονομικών οι οργανικές θέσεις της Μονάδας κατανέμονται κατά κατηγορία, εκπαιδευτική βαθμίδα, κλάδο, ειδικότητα και σχέση εργασίας.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ζ. Οι υπηρετούντες στο Υπουργείο Οικονομικών δικηγόροι με έμμισθη εντολή υποστηρίζουν νομικά το έργο της Κεντρικής Μονάδας Κρατικών Ενισχύσεων.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pStyle w:val="MainText"/>
        <w:spacing w:before="120" w:after="0"/>
        <w:rPr>
          <w:lang w:val="el" w:eastAsia="el"/>
        </w:rPr>
      </w:pPr>
      <w:r>
        <w:rPr>
          <w:b/>
          <w:bCs/>
          <w:lang w:val="el" w:eastAsia="el"/>
        </w:rPr>
        <w:t>4.</w:t>
      </w:r>
      <w:r>
        <w:rPr>
          <w:lang w:val="el" w:eastAsia="el"/>
        </w:rPr>
        <w:t xml:space="preserve"> Σε περίπτωση που δεν υφίσταται Αποκεντρωμένη Μονάδα Κρατικών Ενισχύσεων, το έργο της, συμπεριλαμβανομένων των υποχρεώσεων διαφάνειας της υποπαραγράφου Β.11, ασκεί η κατά περίπτωση χορηγούσα αρχή, όπως αυτή προσδιορίζεται στην παρ. 3 του άρθρου 22 του ν. 4002/2011.</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lang w:val="el" w:eastAsia="el"/>
        </w:rPr>
        <w:t xml:space="preserve">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μέχρις ότου ο εν λόγω αποδέκτης επιστρέψει την παλαιά παράνομη και ασυμβίβαστη ενίσχυση.</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 xml:space="preserve">ΥΠΟΠΑΡΑΓΡΑΦΟΣ Β.11: ΥΠΟΧΡΕΩΣΗ ΔΙΑΦΑΝΕΙΑΣ ΚΑΤΑ ΤΗ ΧΟΡΗΓΗΣΗ ΚΡΑΤΙΚΩΝ ΕΝΙΣΧΥΣΕΩΝ </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όπου τίθεται από τους ενωσιακούς κανόνες, σχετικά με τη χορήγηση κρατικών ενισχύσεων, αναρτώνται σε δημόσια προσβάσιμο διαδικτυακό ιστότοπο συνοπτικές πληροφορίες για χορηγηθείσες μεμονωμένες κρατικές ενισχύσεις μετά την 1η Ιουλίου 2016. Οι πληροφορίες που δημοσιεύονται περιλαμβάνουν μεταξύ άλλων την επωνυμία και τον ΑΦΜ του δικαιούχου, το είδος και τον τομέα δραστηριότητας της επιχείρησης, το ποσό ενίσχυσης και το μέσο ενίσχυσης, καθώς και όποιο άλλο στοιχείο προβλέπει η ενωσιακή νομική βάση χορήγησης της ενίσχυσης. Η συναίνεση του δικαιούχου για την εν λόγω δημοσίευση τεκμαίρεται με τη λήψη της ενίσχυσης. 2. Τα ως άνω απαιτούμενα στοιχεία καταχωρούνται στο σχετικό ηλεκτρονικό σύστημα από τις Αποκεντρωμένες Μονάδες Κρατικών Ενισχύσεων, με βάση τα στοιχεία που τους παρέχονται από τις αρμόδιες υπηρεσίες και επικυρώνονται από την Κεντρική Μονάδα Κρατικών Ενισχύσεων. Οι χρήστες του συστήματος ορίζονται από την Κεντρική Μονάδα Κρατικών Ενισχύσεων, μετά από αίτηση της Αποκεντρωμένης Μονάδας.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 xml:space="preserve">ΥΠΟΠΑΡΑΓΡΑΦΟΣ Β.12.: ΤΕΛΙΚΕΣ ΜΕΤΑΒΑΤΙΚΕΣ ΔΙΑΤΑΞΕΙΣ </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r>
        <w:rPr>
          <w:rStyle w:val="Hyperlink"/>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καθ' όλη τη διάρκεια λειτουργίας της εγκατάστασης. 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και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 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και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και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που εκδίδεται με πρόταση του Υπουργού Αγροτικής Ανάπτυξης και Τροφίμων, ρυθμίζεται κάθε θέμα που αφορά τους όρους και τις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0"/>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11.</w:t>
      </w:r>
      <w:r>
        <w:rPr>
          <w:lang w:val="el" w:eastAsia="el"/>
        </w:rPr>
        <w:t xml:space="preserve"> Ειδικά και μόνο για τα ημερολογιακά έτη 2015 και 2016 το ετήσιο τέλος που προβλέπεται στην περίπτωση 1, μπορεί να καταβληθεί για το έτος 2015 έως τις 31.12.2016 και για το έτος 2016 έως τις 31.12.2018. Οι κάτοχοι άδειας παραγωγής σταθμών Σ.Η.Θ.Υ.Α. σε Νοσοκομεία απαλλάσσονται από την υποχρέωση καταβολής του ετήσιου τέλους για τα έτη 2015 και 2016.</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12.</w:t>
      </w:r>
      <w:r>
        <w:rPr>
          <w:lang w:val="el" w:eastAsia="el"/>
        </w:rPr>
        <w:t xml:space="preserve"> Από την 1η Ιανουαρίου 2020 η υποχρέωση καταβολής του Τέλους που προβλέπεται στην περίπτωση 1 παύει να ισχύει.</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και σε εποπτευόμενα από αυτούς Ν.Π.Δ.Δ. και Ν.Π.Ι.Δ. ή σε άλλες δημόσιες υπηρεσίες όπως σε σχολεία και νοσοκομεία, σε Ν.Π.Δ.Δ. και Ν.Π.Ι.Δ. εποπτευόμενα από Υπουργεία. Ειδικά οι Δήμοι και οι Περιφέρειες με απόφαση του αρμόδιου οργάνου τους μπορούν να απασχολούν ωφελούμενους ανέργους και στα εποπτευόμενα από αυτούς Ν.Π.Δ.Δ. και Ν.Π.Ι.Δ.. Τα προγράμματα του πρώτου εδαφίου υλοποιούνται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την υλοποίηση των προγραμμάτων, ο ΟΑΕΔ μπορεί να επιχορηγείται από πόρους του εθνικού και του συγχρηματοδοτούμενου σκέλους του Προγράμματος Δημοσίων Επενδύσεων (Π.Δ.Ε.) ή του τακτικού προϋπολογισμού του Υπουργείου Εργασίας Κοινωνικής Ασφάλισης και Κοινωνικής Αλληλεγγύης με μεταφορά αντίστοιχης πίστωσης.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 Eπιτρέπεται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 Με την κοινή Υπουργική Απόφαση που προβλέπεται στο στοιχείο 1.4.,ο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5.1.</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Σε περίπτωση βραδινής απασχόλησης, χορηγείται προσαύξηση είκοσι πέντε τοις εκατό (25%). 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14" w:history="1">
        <w:r>
          <w:rPr>
            <w:rStyle w:val="Hyperlink"/>
            <w:color w:val="0000EE"/>
            <w:u w:color="0000EE"/>
            <w:lang w:val="el" w:eastAsia="el"/>
          </w:rPr>
          <w:t>Προσθήκη 4514/2018, Άρθρο 114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4336/2015,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3" w:history="1">
        <w:r>
          <w:rPr>
            <w:rStyle w:val="Hyperlink"/>
            <w:color w:val="0000EE"/>
            <w:u w:color="0000EE"/>
            <w:lang w:val="el" w:eastAsia="el"/>
          </w:rPr>
          <w:t>Τροποποίηση 4646/2019, Άρθρο 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3" w:history="1">
        <w:r>
          <w:rPr>
            <w:rStyle w:val="Hyperlink"/>
            <w:color w:val="0000EE"/>
            <w:u w:color="0000EE"/>
            <w:lang w:val="el" w:eastAsia="el"/>
          </w:rPr>
          <w:t>Τροποποίηση 4646/2019, Άρθρο 43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3" w:history="1">
        <w:r>
          <w:rPr>
            <w:rStyle w:val="Hyperlink"/>
            <w:color w:val="0000EE"/>
            <w:u w:color="0000EE"/>
            <w:lang w:val="el" w:eastAsia="el"/>
          </w:rPr>
          <w:t>Τροποποίηση 4646/2019, Άρθρο 43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3" w:history="1">
        <w:r>
          <w:rPr>
            <w:rStyle w:val="Hyperlink"/>
            <w:color w:val="0000EE"/>
            <w:u w:color="0000EE"/>
            <w:lang w:val="el" w:eastAsia="el"/>
          </w:rPr>
          <w:t>Τροποποίηση 4646/2019, Άρθρο 43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3" w:history="1">
        <w:r>
          <w:rPr>
            <w:rStyle w:val="Hyperlink"/>
            <w:color w:val="0000EE"/>
            <w:u w:color="0000EE"/>
            <w:lang w:val="el" w:eastAsia="el"/>
          </w:rPr>
          <w:t>Τροποποίηση 4646/2019, Άρθρο 43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3" w:history="1">
        <w:r>
          <w:rPr>
            <w:rStyle w:val="Hyperlink"/>
            <w:color w:val="0000EE"/>
            <w:u w:color="0000EE"/>
            <w:lang w:val="el" w:eastAsia="el"/>
          </w:rPr>
          <w:t>Τροποποίηση 4646/2019, Άρθρο 43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3" w:history="1">
        <w:r>
          <w:rPr>
            <w:rStyle w:val="Hyperlink"/>
            <w:color w:val="0000EE"/>
            <w:u w:color="0000EE"/>
            <w:lang w:val="el" w:eastAsia="el"/>
          </w:rPr>
          <w:t>Τροποποίηση 4646/2019, Άρθρο 43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3" w:history="1">
        <w:r>
          <w:rPr>
            <w:rStyle w:val="Hyperlink"/>
            <w:color w:val="0000EE"/>
            <w:u w:color="0000EE"/>
            <w:lang w:val="el" w:eastAsia="el"/>
          </w:rPr>
          <w:t>Τροποποίηση 4646/2019, Άρθρο 43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3" w:history="1">
        <w:r>
          <w:rPr>
            <w:rStyle w:val="Hyperlink"/>
            <w:color w:val="0000EE"/>
            <w:u w:color="0000EE"/>
            <w:lang w:val="el" w:eastAsia="el"/>
          </w:rPr>
          <w:t>Τροποποίηση 4646/2019, Άρθρο 43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3" w:history="1">
        <w:r>
          <w:rPr>
            <w:rStyle w:val="Hyperlink"/>
            <w:color w:val="0000EE"/>
            <w:u w:color="0000EE"/>
            <w:lang w:val="el" w:eastAsia="el"/>
          </w:rPr>
          <w:t>Τροποποίηση 4646/2019, Άρθρο 43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3" w:history="1">
        <w:r>
          <w:rPr>
            <w:rStyle w:val="Hyperlink"/>
            <w:color w:val="0000EE"/>
            <w:u w:color="0000EE"/>
            <w:lang w:val="el" w:eastAsia="el"/>
          </w:rPr>
          <w:t>Τροποποίηση 4646/2019, Άρθρο 43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3" w:history="1">
        <w:r>
          <w:rPr>
            <w:rStyle w:val="Hyperlink"/>
            <w:color w:val="0000EE"/>
            <w:u w:color="0000EE"/>
            <w:lang w:val="el" w:eastAsia="el"/>
          </w:rPr>
          <w:t>Τροποποίηση 4646/2019, Άρθρο 43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3" w:history="1">
        <w:r>
          <w:rPr>
            <w:rStyle w:val="Hyperlink"/>
            <w:color w:val="0000EE"/>
            <w:u w:color="0000EE"/>
            <w:lang w:val="el" w:eastAsia="el"/>
          </w:rPr>
          <w:t>Τροποποίηση 4646/2019, Άρθρο 43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3" w:history="1">
        <w:r>
          <w:rPr>
            <w:rStyle w:val="Hyperlink"/>
            <w:color w:val="0000EE"/>
            <w:u w:color="0000EE"/>
            <w:lang w:val="el" w:eastAsia="el"/>
          </w:rPr>
          <w:t>Τροποποίηση 4646/2019, Άρθρο 43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3" w:history="1">
        <w:r>
          <w:rPr>
            <w:rStyle w:val="Hyperlink"/>
            <w:color w:val="0000EE"/>
            <w:u w:color="0000EE"/>
            <w:lang w:val="el" w:eastAsia="el"/>
          </w:rPr>
          <w:t>Τροποποίηση 4646/2019, Άρθρο 43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3" w:history="1">
        <w:r>
          <w:rPr>
            <w:rStyle w:val="Hyperlink"/>
            <w:color w:val="0000EE"/>
            <w:u w:color="0000EE"/>
            <w:lang w:val="el" w:eastAsia="el"/>
          </w:rPr>
          <w:t>Τροποποίηση 4646/2019, Άρθρο 43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3" w:history="1">
        <w:r>
          <w:rPr>
            <w:rStyle w:val="Hyperlink"/>
            <w:color w:val="0000EE"/>
            <w:u w:color="0000EE"/>
            <w:lang w:val="el" w:eastAsia="el"/>
          </w:rPr>
          <w:t>Τροποποίηση 4646/2019, Άρθρο 43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3" w:history="1">
        <w:r>
          <w:rPr>
            <w:rStyle w:val="Hyperlink"/>
            <w:color w:val="0000EE"/>
            <w:u w:color="0000EE"/>
            <w:lang w:val="el" w:eastAsia="el"/>
          </w:rPr>
          <w:t>Τροποποίηση 4646/2019, Άρθρο 43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3" w:history="1">
        <w:r>
          <w:rPr>
            <w:rStyle w:val="Hyperlink"/>
            <w:color w:val="0000EE"/>
            <w:u w:color="0000EE"/>
            <w:lang w:val="el" w:eastAsia="el"/>
          </w:rPr>
          <w:t>Τροποποίηση 4646/2019, Άρθρο 43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3" w:history="1">
        <w:r>
          <w:rPr>
            <w:rStyle w:val="Hyperlink"/>
            <w:color w:val="0000EE"/>
            <w:u w:color="0000EE"/>
            <w:lang w:val="el" w:eastAsia="el"/>
          </w:rPr>
          <w:t>Τροποποίηση 4646/2019, Άρθρο 43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3" w:history="1">
        <w:r>
          <w:rPr>
            <w:rStyle w:val="Hyperlink"/>
            <w:color w:val="0000EE"/>
            <w:u w:color="0000EE"/>
            <w:lang w:val="el" w:eastAsia="el"/>
          </w:rPr>
          <w:t>Τροποποίηση 4646/2019, Άρθρο 43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3" w:history="1">
        <w:r>
          <w:rPr>
            <w:rStyle w:val="Hyperlink"/>
            <w:color w:val="0000EE"/>
            <w:u w:color="0000EE"/>
            <w:lang w:val="el" w:eastAsia="el"/>
          </w:rPr>
          <w:t>Τροποποίηση 4646/2019, Άρθρο 43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3" w:history="1">
        <w:r>
          <w:rPr>
            <w:rStyle w:val="Hyperlink"/>
            <w:color w:val="0000EE"/>
            <w:u w:color="0000EE"/>
            <w:lang w:val="el" w:eastAsia="el"/>
          </w:rPr>
          <w:t>Τροποποίηση 4646/2019, Άρθρο 43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3" w:history="1">
        <w:r>
          <w:rPr>
            <w:rStyle w:val="Hyperlink"/>
            <w:color w:val="0000EE"/>
            <w:u w:color="0000EE"/>
            <w:lang w:val="el" w:eastAsia="el"/>
          </w:rPr>
          <w:t>Τροποποίηση 4646/2019, Άρθρο 43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3" w:history="1">
        <w:r>
          <w:rPr>
            <w:rStyle w:val="Hyperlink"/>
            <w:color w:val="0000EE"/>
            <w:u w:color="0000EE"/>
            <w:lang w:val="el" w:eastAsia="el"/>
          </w:rPr>
          <w:t>Τροποποίηση 4646/2019, Άρθρο 43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3" w:history="1">
        <w:r>
          <w:rPr>
            <w:rStyle w:val="Hyperlink"/>
            <w:color w:val="0000EE"/>
            <w:u w:color="0000EE"/>
            <w:lang w:val="el" w:eastAsia="el"/>
          </w:rPr>
          <w:t>Τροποποίηση 4646/2019, Άρθρο 43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3" w:history="1">
        <w:r>
          <w:rPr>
            <w:rStyle w:val="Hyperlink"/>
            <w:color w:val="0000EE"/>
            <w:u w:color="0000EE"/>
            <w:lang w:val="el" w:eastAsia="el"/>
          </w:rPr>
          <w:t>Τροποποίηση 4646/2019, Άρθρο 43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3" w:history="1">
        <w:r>
          <w:rPr>
            <w:rStyle w:val="Hyperlink"/>
            <w:color w:val="0000EE"/>
            <w:u w:color="0000EE"/>
            <w:lang w:val="el" w:eastAsia="el"/>
          </w:rPr>
          <w:t>Τροποποίηση 4646/2019, Άρθρο 43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3" w:history="1">
        <w:r>
          <w:rPr>
            <w:rStyle w:val="Hyperlink"/>
            <w:color w:val="0000EE"/>
            <w:u w:color="0000EE"/>
            <w:lang w:val="el" w:eastAsia="el"/>
          </w:rPr>
          <w:t>Τροποποίηση 4646/2019, Άρθρο 43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3" w:history="1">
        <w:r>
          <w:rPr>
            <w:rStyle w:val="Hyperlink"/>
            <w:color w:val="0000EE"/>
            <w:u w:color="0000EE"/>
            <w:lang w:val="el" w:eastAsia="el"/>
          </w:rPr>
          <w:t>Τροποποίηση 4646/2019, Άρθρο 43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3" w:history="1">
        <w:r>
          <w:rPr>
            <w:rStyle w:val="Hyperlink"/>
            <w:color w:val="0000EE"/>
            <w:u w:color="0000EE"/>
            <w:lang w:val="el" w:eastAsia="el"/>
          </w:rPr>
          <w:t>Τροποποίηση 4646/2019, Άρθρο 43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3" w:history="1">
        <w:r>
          <w:rPr>
            <w:rStyle w:val="Hyperlink"/>
            <w:color w:val="0000EE"/>
            <w:u w:color="0000EE"/>
            <w:lang w:val="el" w:eastAsia="el"/>
          </w:rPr>
          <w:t>Τροποποίηση 4646/2019, Άρθρο 43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3" w:history="1">
        <w:r>
          <w:rPr>
            <w:rStyle w:val="Hyperlink"/>
            <w:color w:val="0000EE"/>
            <w:u w:color="0000EE"/>
            <w:lang w:val="el" w:eastAsia="el"/>
          </w:rPr>
          <w:t>Τροποποίηση 4646/2019, Άρθρο 43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4514/2018,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3" w:history="1">
        <w:r>
          <w:rPr>
            <w:rStyle w:val="Hyperlink"/>
            <w:color w:val="0000EE"/>
            <w:u w:color="0000EE"/>
            <w:lang w:val="el" w:eastAsia="el"/>
          </w:rPr>
          <w:t>Τροποποίηση 4646/2019,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4" w:history="1">
        <w:r>
          <w:rPr>
            <w:rStyle w:val="Hyperlink"/>
            <w:color w:val="0000EE"/>
            <w:u w:color="0000EE"/>
            <w:lang w:val="el" w:eastAsia="el"/>
          </w:rPr>
          <w:t>Τροποποίηση 4174/2013, Άρθρο 74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3" w:history="1">
        <w:r>
          <w:rPr>
            <w:rStyle w:val="Hyperlink"/>
            <w:color w:val="0000EE"/>
            <w:u w:color="0000EE"/>
            <w:lang w:val="el" w:eastAsia="el"/>
          </w:rPr>
          <w:t>Τροποποίηση 4646/2019, Άρθρο 43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4646/2019, Άρθρο 43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Τροποποίηση 4646/2019, Άρθρο 43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3" w:history="1">
        <w:r>
          <w:rPr>
            <w:rStyle w:val="Hyperlink"/>
            <w:color w:val="0000EE"/>
            <w:u w:color="0000EE"/>
            <w:lang w:val="el" w:eastAsia="el"/>
          </w:rPr>
          <w:t>Προσθήκη 4646/2019, Άρθρο 43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3" w:history="1">
        <w:r>
          <w:rPr>
            <w:rStyle w:val="Hyperlink"/>
            <w:color w:val="0000EE"/>
            <w:u w:color="0000EE"/>
            <w:lang w:val="el" w:eastAsia="el"/>
          </w:rPr>
          <w:t>Τροποποίηση 4646/2019, Άρθρο 43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8" w:history="1">
        <w:r>
          <w:rPr>
            <w:rStyle w:val="Hyperlink"/>
            <w:color w:val="0000EE"/>
            <w:u w:color="0000EE"/>
            <w:lang w:val="el" w:eastAsia="el"/>
          </w:rPr>
          <w:t>Αφαίρεση 4172/2013, Άρθρο 88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7" w:history="1">
        <w:r>
          <w:rPr>
            <w:rStyle w:val="Hyperlink"/>
            <w:color w:val="0000EE"/>
            <w:u w:color="0000EE"/>
            <w:lang w:val="el" w:eastAsia="el"/>
          </w:rPr>
          <w:t>Τροποποίηση 4316/2014, Άρθρο 107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5" w:history="1">
        <w:r>
          <w:rPr>
            <w:rStyle w:val="Hyperlink"/>
            <w:color w:val="0000EE"/>
            <w:u w:color="0000EE"/>
            <w:lang w:val="el" w:eastAsia="el"/>
          </w:rPr>
          <w:t>Τροποποίηση 4714/2020, Άρθρο 85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5" w:history="1">
        <w:r>
          <w:rPr>
            <w:rStyle w:val="Hyperlink"/>
            <w:color w:val="0000EE"/>
            <w:u w:color="0000EE"/>
            <w:lang w:val="el" w:eastAsia="el"/>
          </w:rPr>
          <w:t>Τροποποίηση 4714/2020, Άρθρο 85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5" w:history="1">
        <w:r>
          <w:rPr>
            <w:rStyle w:val="Hyperlink"/>
            <w:color w:val="0000EE"/>
            <w:u w:color="0000EE"/>
            <w:lang w:val="el" w:eastAsia="el"/>
          </w:rPr>
          <w:t>Τροποποίηση 4714/2020, Άρθρο 85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5" w:history="1">
        <w:r>
          <w:rPr>
            <w:rStyle w:val="Hyperlink"/>
            <w:color w:val="0000EE"/>
            <w:u w:color="0000EE"/>
            <w:lang w:val="el" w:eastAsia="el"/>
          </w:rPr>
          <w:t>Τροποποίηση 4714/2020, Άρθρο 85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5" w:history="1">
        <w:r>
          <w:rPr>
            <w:rStyle w:val="Hyperlink"/>
            <w:color w:val="0000EE"/>
            <w:u w:color="0000EE"/>
            <w:lang w:val="el" w:eastAsia="el"/>
          </w:rPr>
          <w:t>Τροποποίηση 4714/2020, Άρθρο 85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5" w:history="1">
        <w:r>
          <w:rPr>
            <w:rStyle w:val="Hyperlink"/>
            <w:color w:val="0000EE"/>
            <w:u w:color="0000EE"/>
            <w:lang w:val="el" w:eastAsia="el"/>
          </w:rPr>
          <w:t>Τροποποίηση 4714/2020, Άρθρο 85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5" w:history="1">
        <w:r>
          <w:rPr>
            <w:rStyle w:val="Hyperlink"/>
            <w:color w:val="0000EE"/>
            <w:u w:color="0000EE"/>
            <w:lang w:val="el" w:eastAsia="el"/>
          </w:rPr>
          <w:t>Τροποποίηση 4714/2020, Άρθρο 85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5" w:history="1">
        <w:r>
          <w:rPr>
            <w:rStyle w:val="Hyperlink"/>
            <w:color w:val="0000EE"/>
            <w:u w:color="0000EE"/>
            <w:lang w:val="el" w:eastAsia="el"/>
          </w:rPr>
          <w:t>Τροποποίηση 4714/2020, Άρθρο 85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32" w:history="1">
        <w:r>
          <w:rPr>
            <w:rStyle w:val="Hyperlink"/>
            <w:color w:val="0000EE"/>
            <w:u w:color="0000EE"/>
            <w:lang w:val="el" w:eastAsia="el"/>
          </w:rPr>
          <w:t>Προσθήκη 4537/2018, Άρθρο 132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3" w:history="1">
        <w:r>
          <w:rPr>
            <w:rStyle w:val="Hyperlink"/>
            <w:color w:val="0000EE"/>
            <w:u w:color="0000EE"/>
            <w:lang w:val="el" w:eastAsia="el"/>
          </w:rPr>
          <w:t>Τροποποίηση 4170/2013, Άρθρο 73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32" w:history="1">
        <w:r>
          <w:rPr>
            <w:rStyle w:val="Hyperlink"/>
            <w:color w:val="0000EE"/>
            <w:u w:color="0000EE"/>
            <w:lang w:val="el" w:eastAsia="el"/>
          </w:rPr>
          <w:t>Προσθήκη 4537/2018, Άρθρο 132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4" w:history="1">
        <w:r>
          <w:rPr>
            <w:rStyle w:val="Hyperlink"/>
            <w:color w:val="0000EE"/>
            <w:u w:color="0000EE"/>
            <w:lang w:val="el" w:eastAsia="el"/>
          </w:rPr>
          <w:t>Προσθήκη 4438/2016,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4" w:history="1">
        <w:r>
          <w:rPr>
            <w:rStyle w:val="Hyperlink"/>
            <w:color w:val="0000EE"/>
            <w:u w:color="0000EE"/>
            <w:lang w:val="el" w:eastAsia="el"/>
          </w:rPr>
          <w:t>Τροποποίηση 4438/2016,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8" w:history="1">
        <w:r>
          <w:rPr>
            <w:rStyle w:val="Hyperlink"/>
            <w:color w:val="0000EE"/>
            <w:u w:color="0000EE"/>
            <w:lang w:val="el" w:eastAsia="el"/>
          </w:rPr>
          <w:t>Τροποποίηση 4223/2013, Άρθρο 38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8" w:history="1">
        <w:r>
          <w:rPr>
            <w:rStyle w:val="Hyperlink"/>
            <w:color w:val="0000EE"/>
            <w:u w:color="0000EE"/>
            <w:lang w:val="el" w:eastAsia="el"/>
          </w:rPr>
          <w:t>Αφαίρεση 4223/2013, Άρθρο 38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8" w:history="1">
        <w:r>
          <w:rPr>
            <w:rStyle w:val="Hyperlink"/>
            <w:color w:val="0000EE"/>
            <w:u w:color="0000EE"/>
            <w:lang w:val="el" w:eastAsia="el"/>
          </w:rPr>
          <w:t>Τροποποίηση 4223/2013, Άρθρο 38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4254/2014, Άρθρο 1</w:t>
        </w:r>
      </w:hyperlink>
      <w:r>
        <w:rPr>
          <w:lang w:val="el" w:eastAsia="el"/>
        </w:rPr>
        <w:t xml:space="preserve">; </w:t>
      </w:r>
      <w:hyperlink r:id="rId64" w:anchor="art_38" w:history="1">
        <w:r>
          <w:rPr>
            <w:rStyle w:val="Hyperlink"/>
            <w:color w:val="0000EE"/>
            <w:u w:color="0000EE"/>
            <w:lang w:val="el" w:eastAsia="el"/>
          </w:rPr>
          <w:t>Προσθήκη 4223/2013, Άρθρο 38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Αφαίρεση 4254/2014, Άρθρο 1</w:t>
        </w:r>
      </w:hyperlink>
      <w:r>
        <w:rPr>
          <w:lang w:val="el" w:eastAsia="el"/>
        </w:rPr>
        <w:t xml:space="preserve">; </w:t>
      </w:r>
      <w:hyperlink r:id="rId66" w:anchor="art_73" w:history="1">
        <w:r>
          <w:rPr>
            <w:rStyle w:val="Hyperlink"/>
            <w:color w:val="0000EE"/>
            <w:u w:color="0000EE"/>
            <w:lang w:val="el" w:eastAsia="el"/>
          </w:rPr>
          <w:t>Τροποποίηση 4170/2013,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4254/2014, Άρθρο 1</w:t>
        </w:r>
      </w:hyperlink>
      <w:r>
        <w:rPr>
          <w:lang w:val="el" w:eastAsia="el"/>
        </w:rPr>
        <w:t xml:space="preserve">; </w:t>
      </w:r>
      <w:hyperlink r:id="rId68" w:anchor="art_38" w:history="1">
        <w:r>
          <w:rPr>
            <w:rStyle w:val="Hyperlink"/>
            <w:color w:val="0000EE"/>
            <w:u w:color="0000EE"/>
            <w:lang w:val="el" w:eastAsia="el"/>
          </w:rPr>
          <w:t>Τροποποίηση 4223/2013, Άρθρο 38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Αφαίρεση 4254/2014, Άρθρο 1</w:t>
        </w:r>
      </w:hyperlink>
      <w:r>
        <w:rPr>
          <w:lang w:val="el" w:eastAsia="el"/>
        </w:rPr>
        <w:t xml:space="preserve">; </w:t>
      </w:r>
      <w:hyperlink r:id="rId70" w:anchor="art_38" w:history="1">
        <w:r>
          <w:rPr>
            <w:rStyle w:val="Hyperlink"/>
            <w:color w:val="0000EE"/>
            <w:u w:color="0000EE"/>
            <w:lang w:val="el" w:eastAsia="el"/>
          </w:rPr>
          <w:t>Τροποποίηση 4223/2013, Άρθρο 38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Αφαίρεση 4254/2014, Άρθρο 1</w:t>
        </w:r>
      </w:hyperlink>
      <w:r>
        <w:rPr>
          <w:lang w:val="el" w:eastAsia="el"/>
        </w:rPr>
        <w:t xml:space="preserve">; </w:t>
      </w:r>
      <w:hyperlink r:id="rId72" w:anchor="art_38" w:history="1">
        <w:r>
          <w:rPr>
            <w:rStyle w:val="Hyperlink"/>
            <w:color w:val="0000EE"/>
            <w:u w:color="0000EE"/>
            <w:lang w:val="el" w:eastAsia="el"/>
          </w:rPr>
          <w:t>Αφαίρεση 4223/2013, Άρθρο 38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8" w:history="1">
        <w:r>
          <w:rPr>
            <w:rStyle w:val="Hyperlink"/>
            <w:color w:val="0000EE"/>
            <w:u w:color="0000EE"/>
            <w:lang w:val="el" w:eastAsia="el"/>
          </w:rPr>
          <w:t>Τροποποίηση 4223/2013, Άρθρο 38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8" w:history="1">
        <w:r>
          <w:rPr>
            <w:rStyle w:val="Hyperlink"/>
            <w:color w:val="0000EE"/>
            <w:u w:color="0000EE"/>
            <w:lang w:val="el" w:eastAsia="el"/>
          </w:rPr>
          <w:t>Τροποποίηση 4223/2013, Άρθρο 38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8" w:history="1">
        <w:r>
          <w:rPr>
            <w:rStyle w:val="Hyperlink"/>
            <w:color w:val="0000EE"/>
            <w:u w:color="0000EE"/>
            <w:lang w:val="el" w:eastAsia="el"/>
          </w:rPr>
          <w:t>Τροποποίηση 4223/2013, Άρθρο 38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8" w:history="1">
        <w:r>
          <w:rPr>
            <w:rStyle w:val="Hyperlink"/>
            <w:color w:val="0000EE"/>
            <w:u w:color="0000EE"/>
            <w:lang w:val="el" w:eastAsia="el"/>
          </w:rPr>
          <w:t>Αφαίρεση 4223/2013, Άρθρο 38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8" w:history="1">
        <w:r>
          <w:rPr>
            <w:rStyle w:val="Hyperlink"/>
            <w:color w:val="0000EE"/>
            <w:u w:color="0000EE"/>
            <w:lang w:val="el" w:eastAsia="el"/>
          </w:rPr>
          <w:t>Αφαίρεση 4223/2013, Άρθρο 38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8" w:history="1">
        <w:r>
          <w:rPr>
            <w:rStyle w:val="Hyperlink"/>
            <w:color w:val="0000EE"/>
            <w:u w:color="0000EE"/>
            <w:lang w:val="el" w:eastAsia="el"/>
          </w:rPr>
          <w:t>Τροποποίηση 4223/2013, Άρθρο 38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99" w:history="1">
        <w:r>
          <w:rPr>
            <w:rStyle w:val="Hyperlink"/>
            <w:color w:val="0000EE"/>
            <w:u w:color="0000EE"/>
            <w:lang w:val="el" w:eastAsia="el"/>
          </w:rPr>
          <w:t>Αφαίρεση 4281/2014, Άρθρο 199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Προσθήκη 4170/2013, Άρθρο 73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4447/2017, Άρθρο 120; </w:t>
      </w:r>
      <w:hyperlink r:id="rId81" w:anchor="art_27" w:history="1">
        <w:r>
          <w:rPr>
            <w:rStyle w:val="Hyperlink"/>
            <w:color w:val="0000EE"/>
            <w:u w:color="0000EE"/>
            <w:lang w:val="el" w:eastAsia="el"/>
          </w:rPr>
          <w:t>Τροποποίηση 4441/2016, Άρθρο 27</w:t>
        </w:r>
      </w:hyperlink>
      <w:r>
        <w:rPr>
          <w:lang w:val="el" w:eastAsia="el"/>
        </w:rPr>
        <w:t xml:space="preserve">; </w:t>
      </w:r>
      <w:hyperlink r:id="rId82" w:anchor="art_47" w:history="1">
        <w:r>
          <w:rPr>
            <w:rStyle w:val="Hyperlink"/>
            <w:color w:val="0000EE"/>
            <w:u w:color="0000EE"/>
            <w:lang w:val="el" w:eastAsia="el"/>
          </w:rPr>
          <w:t>Τροποποίηση 4384/2016, Άρθρο 47</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Αφαίρεση 4264/2014, Άρθρο 40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0" w:history="1">
        <w:r>
          <w:rPr>
            <w:rStyle w:val="Hyperlink"/>
            <w:color w:val="0000EE"/>
            <w:u w:color="0000EE"/>
            <w:lang w:val="el" w:eastAsia="el"/>
          </w:rPr>
          <w:t>Αφαίρεση 4264/2014, Άρθρο 40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Αφαίρεση 4264/2014, Άρθρο 40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4" w:history="1">
        <w:r>
          <w:rPr>
            <w:rStyle w:val="Hyperlink"/>
            <w:color w:val="0000EE"/>
            <w:u w:color="0000EE"/>
            <w:lang w:val="el" w:eastAsia="el"/>
          </w:rPr>
          <w:t>Τροποποίηση 4342/2015, Άρθρο 34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9" w:history="1">
        <w:r>
          <w:rPr>
            <w:rStyle w:val="Hyperlink"/>
            <w:color w:val="0000EE"/>
            <w:u w:color="0000EE"/>
            <w:lang w:val="el" w:eastAsia="el"/>
          </w:rPr>
          <w:t>Προσθήκη 4409/2016, Άρθρο 39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9" w:history="1">
        <w:r>
          <w:rPr>
            <w:rStyle w:val="Hyperlink"/>
            <w:color w:val="0000EE"/>
            <w:u w:color="0000EE"/>
            <w:lang w:val="el" w:eastAsia="el"/>
          </w:rPr>
          <w:t>Τροποποίηση 4409/2016, Άρθρο 39</w:t>
        </w:r>
      </w:hyperlink>
      <w:r>
        <w:rPr>
          <w:lang w:val="el" w:eastAsia="el"/>
        </w:rPr>
        <w:t xml:space="preserve">; </w:t>
      </w:r>
      <w:hyperlink r:id="rId89" w:anchor="art_20" w:history="1">
        <w:r>
          <w:rPr>
            <w:rStyle w:val="Hyperlink"/>
            <w:color w:val="0000EE"/>
            <w:u w:color="0000EE"/>
            <w:lang w:val="el" w:eastAsia="el"/>
          </w:rPr>
          <w:t>Τροποποίηση 4203/2013,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4" w:history="1">
        <w:r>
          <w:rPr>
            <w:rStyle w:val="Hyperlink"/>
            <w:color w:val="0000EE"/>
            <w:u w:color="0000EE"/>
            <w:lang w:val="el" w:eastAsia="el"/>
          </w:rPr>
          <w:t>Τροποποίηση 4342/2015, Άρθρο 34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7" w:history="1">
        <w:r>
          <w:rPr>
            <w:rStyle w:val="Hyperlink"/>
            <w:color w:val="0000EE"/>
            <w:u w:color="0000EE"/>
            <w:lang w:val="el" w:eastAsia="el"/>
          </w:rPr>
          <w:t>Τροποποίηση 4342/2015, Άρθρο 27</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7" w:history="1">
        <w:r>
          <w:rPr>
            <w:rStyle w:val="Hyperlink"/>
            <w:color w:val="0000EE"/>
            <w:u w:color="0000EE"/>
            <w:lang w:val="el" w:eastAsia="el"/>
          </w:rPr>
          <w:t>Τροποποίηση 4342/2015, Άρθρο 27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7" w:history="1">
        <w:r>
          <w:rPr>
            <w:rStyle w:val="Hyperlink"/>
            <w:color w:val="0000EE"/>
            <w:u w:color="0000EE"/>
            <w:lang w:val="el" w:eastAsia="el"/>
          </w:rPr>
          <w:t>Τροποποίηση 4342/2015, Άρθρο 27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7" w:history="1">
        <w:r>
          <w:rPr>
            <w:rStyle w:val="Hyperlink"/>
            <w:color w:val="0000EE"/>
            <w:u w:color="0000EE"/>
            <w:lang w:val="el" w:eastAsia="el"/>
          </w:rPr>
          <w:t>Τροποποίηση 4342/2015, Άρθρο 27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4203/2013,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7" w:history="1">
        <w:r>
          <w:rPr>
            <w:rStyle w:val="Hyperlink"/>
            <w:color w:val="0000EE"/>
            <w:u w:color="0000EE"/>
            <w:lang w:val="el" w:eastAsia="el"/>
          </w:rPr>
          <w:t>Τροποποίηση 4342/2015, Άρθρο 27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7" w:history="1">
        <w:r>
          <w:rPr>
            <w:rStyle w:val="Hyperlink"/>
            <w:color w:val="0000EE"/>
            <w:u w:color="0000EE"/>
            <w:lang w:val="el" w:eastAsia="el"/>
          </w:rPr>
          <w:t>Τροποποίηση 4342/2015, Άρθρο 27</w:t>
        </w:r>
      </w:hyperlink>
      <w:r>
        <w:rPr>
          <w:lang w:val="el" w:eastAsia="el"/>
        </w:rPr>
        <w:t xml:space="preserve">; </w:t>
      </w:r>
      <w:hyperlink r:id="rId98" w:anchor="art_20" w:history="1">
        <w:r>
          <w:rPr>
            <w:rStyle w:val="Hyperlink"/>
            <w:color w:val="0000EE"/>
            <w:u w:color="0000EE"/>
            <w:lang w:val="el" w:eastAsia="el"/>
          </w:rPr>
          <w:t>Τροποποίηση 4203/2013, Άρθρο 20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7" w:history="1">
        <w:r>
          <w:rPr>
            <w:rStyle w:val="Hyperlink"/>
            <w:color w:val="0000EE"/>
            <w:u w:color="0000EE"/>
            <w:lang w:val="el" w:eastAsia="el"/>
          </w:rPr>
          <w:t>Τροποποίηση 4342/2015, Άρθρο 27</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7" w:history="1">
        <w:r>
          <w:rPr>
            <w:rStyle w:val="Hyperlink"/>
            <w:color w:val="0000EE"/>
            <w:u w:color="0000EE"/>
            <w:lang w:val="el" w:eastAsia="el"/>
          </w:rPr>
          <w:t>Τροποποίηση 4342/2015, Άρθρο 27</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7" w:history="1">
        <w:r>
          <w:rPr>
            <w:rStyle w:val="Hyperlink"/>
            <w:color w:val="0000EE"/>
            <w:u w:color="0000EE"/>
            <w:lang w:val="el" w:eastAsia="el"/>
          </w:rPr>
          <w:t>Τροποποίηση 4342/2015, Άρθρο 27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7" w:history="1">
        <w:r>
          <w:rPr>
            <w:rStyle w:val="Hyperlink"/>
            <w:color w:val="0000EE"/>
            <w:u w:color="0000EE"/>
            <w:lang w:val="el" w:eastAsia="el"/>
          </w:rPr>
          <w:t>Τροποποίηση 4342/2015, Άρθρο 27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7" w:history="1">
        <w:r>
          <w:rPr>
            <w:rStyle w:val="Hyperlink"/>
            <w:color w:val="0000EE"/>
            <w:u w:color="0000EE"/>
            <w:lang w:val="el" w:eastAsia="el"/>
          </w:rPr>
          <w:t>Τροποποίηση 4342/2015, Άρθρο 27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7" w:history="1">
        <w:r>
          <w:rPr>
            <w:rStyle w:val="Hyperlink"/>
            <w:color w:val="0000EE"/>
            <w:u w:color="0000EE"/>
            <w:lang w:val="el" w:eastAsia="el"/>
          </w:rPr>
          <w:t>Τροποποίηση 4342/2015, Άρθρο 27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7" w:history="1">
        <w:r>
          <w:rPr>
            <w:rStyle w:val="Hyperlink"/>
            <w:color w:val="0000EE"/>
            <w:u w:color="0000EE"/>
            <w:lang w:val="el" w:eastAsia="el"/>
          </w:rPr>
          <w:t>Τροποποίηση 4342/2015, Άρθρο 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7" w:history="1">
        <w:r>
          <w:rPr>
            <w:rStyle w:val="Hyperlink"/>
            <w:color w:val="0000EE"/>
            <w:u w:color="0000EE"/>
            <w:lang w:val="el" w:eastAsia="el"/>
          </w:rPr>
          <w:t>Τροποποίηση 4342/2015,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7" w:history="1">
        <w:r>
          <w:rPr>
            <w:rStyle w:val="Hyperlink"/>
            <w:color w:val="0000EE"/>
            <w:u w:color="0000EE"/>
            <w:lang w:val="el" w:eastAsia="el"/>
          </w:rPr>
          <w:t>Τροποποίηση 4342/2015, Άρθρο 27</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7" w:history="1">
        <w:r>
          <w:rPr>
            <w:rStyle w:val="Hyperlink"/>
            <w:color w:val="0000EE"/>
            <w:u w:color="0000EE"/>
            <w:lang w:val="el" w:eastAsia="el"/>
          </w:rPr>
          <w:t>Τροποποίηση 4342/2015, Άρθρο 27</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7" w:history="1">
        <w:r>
          <w:rPr>
            <w:rStyle w:val="Hyperlink"/>
            <w:color w:val="0000EE"/>
            <w:u w:color="0000EE"/>
            <w:lang w:val="el" w:eastAsia="el"/>
          </w:rPr>
          <w:t>Τροποποίηση 4342/2015, Άρθρο 27</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4585/2018, Άρθρο 8; Τροποποίηση 4546/2018, Άρθρο 49; </w:t>
      </w:r>
      <w:hyperlink r:id="rId110" w:anchor="art_28" w:history="1">
        <w:r>
          <w:rPr>
            <w:rStyle w:val="Hyperlink"/>
            <w:color w:val="0000EE"/>
            <w:u w:color="0000EE"/>
            <w:lang w:val="el" w:eastAsia="el"/>
          </w:rPr>
          <w:t>Τροποποίηση 4447/2016, Άρθρο 28</w:t>
        </w:r>
      </w:hyperlink>
      <w:r>
        <w:rPr>
          <w:lang w:val="el" w:eastAsia="el"/>
        </w:rPr>
        <w:t xml:space="preserve">; Τροποποίηση 4425/2016, Άρθρο 15; </w:t>
      </w:r>
      <w:hyperlink r:id="rId111" w:anchor="art_27" w:history="1">
        <w:r>
          <w:rPr>
            <w:rStyle w:val="Hyperlink"/>
            <w:color w:val="0000EE"/>
            <w:u w:color="0000EE"/>
            <w:lang w:val="el" w:eastAsia="el"/>
          </w:rPr>
          <w:t>Τροποποίηση 4342/2015, Άρθρο 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Άρθρο 21</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0" w:history="1">
        <w:r>
          <w:rPr>
            <w:rStyle w:val="Hyperlink"/>
            <w:color w:val="0000EE"/>
            <w:u w:color="0000EE"/>
            <w:lang w:val="el" w:eastAsia="el"/>
          </w:rPr>
          <w:t>Τροποποίηση 4203/2013, Άρθρο 20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6" w:history="1">
        <w:r>
          <w:rPr>
            <w:rStyle w:val="Hyperlink"/>
            <w:color w:val="0000EE"/>
            <w:u w:color="0000EE"/>
            <w:lang w:val="el" w:eastAsia="el"/>
          </w:rPr>
          <w:t>Τροποποίηση 4296/2014, Άρθρο 6</w:t>
        </w:r>
      </w:hyperlink>
      <w:r>
        <w:rPr>
          <w:lang w:val="el" w:eastAsia="el"/>
        </w:rPr>
        <w:t xml:space="preserve">; </w:t>
      </w:r>
      <w:hyperlink r:id="rId114" w:anchor="art_20" w:history="1">
        <w:r>
          <w:rPr>
            <w:rStyle w:val="Hyperlink"/>
            <w:color w:val="0000EE"/>
            <w:u w:color="0000EE"/>
            <w:lang w:val="el" w:eastAsia="el"/>
          </w:rPr>
          <w:t>Τροποποίηση 4203/2013, Άρθρο 20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0" w:history="1">
        <w:r>
          <w:rPr>
            <w:rStyle w:val="Hyperlink"/>
            <w:color w:val="0000EE"/>
            <w:u w:color="0000EE"/>
            <w:lang w:val="el" w:eastAsia="el"/>
          </w:rPr>
          <w:t>Τροποποίηση 4203/2013, Άρθρο 20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8" w:history="1">
        <w:r>
          <w:rPr>
            <w:rStyle w:val="Hyperlink"/>
            <w:color w:val="0000EE"/>
            <w:u w:color="0000EE"/>
            <w:lang w:val="el" w:eastAsia="el"/>
          </w:rPr>
          <w:t>Προσθήκη 4203/2013, Άρθρο 28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2" w:history="1">
        <w:r>
          <w:rPr>
            <w:rStyle w:val="Hyperlink"/>
            <w:color w:val="0000EE"/>
            <w:u w:color="0000EE"/>
            <w:lang w:val="el" w:eastAsia="el"/>
          </w:rPr>
          <w:t>Τροποποίηση 4225/2014, Άρθρο 12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2" w:history="1">
        <w:r>
          <w:rPr>
            <w:rStyle w:val="Hyperlink"/>
            <w:color w:val="0000EE"/>
            <w:u w:color="0000EE"/>
            <w:lang w:val="el" w:eastAsia="el"/>
          </w:rPr>
          <w:t>Αφαίρεση 4225/2014, Άρθρο 12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Αφαίρεση 4336/2015, Άρθρο 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4336/2015, Άρθρο 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4336/2015, Άρθρο 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 w:history="1">
        <w:r>
          <w:rPr>
            <w:rStyle w:val="Hyperlink"/>
            <w:color w:val="0000EE"/>
            <w:u w:color="0000EE"/>
            <w:lang w:val="el" w:eastAsia="el"/>
          </w:rPr>
          <w:t>Τροποποίηση 4336/2015,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2" w:history="1">
        <w:r>
          <w:rPr>
            <w:rStyle w:val="Hyperlink"/>
            <w:color w:val="0000EE"/>
            <w:u w:color="0000EE"/>
            <w:lang w:val="el" w:eastAsia="el"/>
          </w:rPr>
          <w:t>Τροποποίηση 4225/2014, Άρθρο 12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5" w:history="1">
        <w:r>
          <w:rPr>
            <w:rStyle w:val="Hyperlink"/>
            <w:color w:val="0000EE"/>
            <w:u w:color="0000EE"/>
            <w:lang w:val="el" w:eastAsia="el"/>
          </w:rPr>
          <w:t>Αφαίρεση 4320/2015,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Προσθήκη 4316/2014, Άρθρο 69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r>
        <w:rPr>
          <w:lang w:val="el" w:eastAsia="el"/>
        </w:rPr>
        <w:t xml:space="preserve">; </w:t>
      </w:r>
      <w:hyperlink r:id="rId133" w:anchor="art_69" w:history="1">
        <w:r>
          <w:rPr>
            <w:rStyle w:val="Hyperlink"/>
            <w:color w:val="0000EE"/>
            <w:u w:color="0000EE"/>
            <w:lang w:val="el" w:eastAsia="el"/>
          </w:rPr>
          <w:t>Τροποποίηση 4316/2014, Άρθρο 69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5" w:history="1">
        <w:r>
          <w:rPr>
            <w:rStyle w:val="Hyperlink"/>
            <w:color w:val="0000EE"/>
            <w:u w:color="0000EE"/>
            <w:lang w:val="el" w:eastAsia="el"/>
          </w:rPr>
          <w:t>Αφαίρεση 4320/2015, Άρθρο 15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r>
        <w:rPr>
          <w:lang w:val="el" w:eastAsia="el"/>
        </w:rPr>
        <w:t xml:space="preserve">; </w:t>
      </w:r>
      <w:hyperlink r:id="rId150" w:anchor="art_69" w:history="1">
        <w:r>
          <w:rPr>
            <w:rStyle w:val="Hyperlink"/>
            <w:color w:val="0000EE"/>
            <w:u w:color="0000EE"/>
            <w:lang w:val="el" w:eastAsia="el"/>
          </w:rPr>
          <w:t>Τροποποίηση 4316/2014, Άρθρο 69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5" w:history="1">
        <w:r>
          <w:rPr>
            <w:rStyle w:val="Hyperlink"/>
            <w:color w:val="0000EE"/>
            <w:u w:color="0000EE"/>
            <w:lang w:val="el" w:eastAsia="el"/>
          </w:rPr>
          <w:t>Αφαίρεση 4320/2015, Άρθρο 15</w:t>
        </w:r>
      </w:hyperlink>
      <w:r>
        <w:rPr>
          <w:lang w:val="el" w:eastAsia="el"/>
        </w:rPr>
        <w:t xml:space="preserve">; </w:t>
      </w:r>
      <w:hyperlink r:id="rId152" w:anchor="art_69" w:history="1">
        <w:r>
          <w:rPr>
            <w:rStyle w:val="Hyperlink"/>
            <w:color w:val="0000EE"/>
            <w:u w:color="0000EE"/>
            <w:lang w:val="el" w:eastAsia="el"/>
          </w:rPr>
          <w:t>Τροποποίηση 4316/2014, Άρθρο 69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r>
        <w:rPr>
          <w:lang w:val="el" w:eastAsia="el"/>
        </w:rPr>
        <w:t xml:space="preserve">; </w:t>
      </w:r>
      <w:hyperlink r:id="rId154" w:anchor="art_69" w:history="1">
        <w:r>
          <w:rPr>
            <w:rStyle w:val="Hyperlink"/>
            <w:color w:val="0000EE"/>
            <w:u w:color="0000EE"/>
            <w:lang w:val="el" w:eastAsia="el"/>
          </w:rPr>
          <w:t>Τροποποίηση 4316/2014, Άρθρο 69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Τροποποίηση 4316/2014, Άρθρο 69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Τροποποίηση 4316/2014, Άρθρο 69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r>
        <w:rPr>
          <w:lang w:val="el" w:eastAsia="el"/>
        </w:rPr>
        <w:t xml:space="preserve">; </w:t>
      </w:r>
      <w:hyperlink r:id="rId174" w:anchor="art_69" w:history="1">
        <w:r>
          <w:rPr>
            <w:rStyle w:val="Hyperlink"/>
            <w:color w:val="0000EE"/>
            <w:u w:color="0000EE"/>
            <w:lang w:val="el" w:eastAsia="el"/>
          </w:rPr>
          <w:t>Τροποποίηση 4316/2014, Άρθρο 69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r>
        <w:rPr>
          <w:lang w:val="el" w:eastAsia="el"/>
        </w:rPr>
        <w:t xml:space="preserve">; </w:t>
      </w:r>
      <w:hyperlink r:id="rId181" w:anchor="art_69" w:history="1">
        <w:r>
          <w:rPr>
            <w:rStyle w:val="Hyperlink"/>
            <w:color w:val="0000EE"/>
            <w:u w:color="0000EE"/>
            <w:lang w:val="el" w:eastAsia="el"/>
          </w:rPr>
          <w:t>Τροποποίηση 4316/2014, Άρθρο 69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Τροποποίηση 4316/2014, Άρθρο 69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Τροποποίηση 4316/2014, Άρθρο 69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5" w:history="1">
        <w:r>
          <w:rPr>
            <w:rStyle w:val="Hyperlink"/>
            <w:color w:val="0000EE"/>
            <w:u w:color="0000EE"/>
            <w:lang w:val="el" w:eastAsia="el"/>
          </w:rPr>
          <w:t>Αφαίρεση 4320/2015, Άρθρο 15</w:t>
        </w:r>
      </w:hyperlink>
      <w:r>
        <w:rPr>
          <w:lang w:val="el" w:eastAsia="el"/>
        </w:rPr>
        <w:t xml:space="preserve">; </w:t>
      </w:r>
      <w:hyperlink r:id="rId201" w:anchor="art_69" w:history="1">
        <w:r>
          <w:rPr>
            <w:rStyle w:val="Hyperlink"/>
            <w:color w:val="0000EE"/>
            <w:u w:color="0000EE"/>
            <w:lang w:val="el" w:eastAsia="el"/>
          </w:rPr>
          <w:t>Τροποποίηση 4316/2014, Άρθρο 69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5" w:history="1">
        <w:r>
          <w:rPr>
            <w:rStyle w:val="Hyperlink"/>
            <w:color w:val="0000EE"/>
            <w:u w:color="0000EE"/>
            <w:lang w:val="el" w:eastAsia="el"/>
          </w:rPr>
          <w:t>Αφαίρεση 4320/2015, Άρθρο 15</w:t>
        </w:r>
      </w:hyperlink>
      <w:r>
        <w:rPr>
          <w:lang w:val="el" w:eastAsia="el"/>
        </w:rPr>
        <w:t xml:space="preserve">; </w:t>
      </w:r>
      <w:hyperlink r:id="rId203" w:anchor="art_69" w:history="1">
        <w:r>
          <w:rPr>
            <w:rStyle w:val="Hyperlink"/>
            <w:color w:val="0000EE"/>
            <w:u w:color="0000EE"/>
            <w:lang w:val="el" w:eastAsia="el"/>
          </w:rPr>
          <w:t>Τροποποίηση 4316/2014, Άρθρο 69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r>
        <w:rPr>
          <w:lang w:val="el" w:eastAsia="el"/>
        </w:rPr>
        <w:t xml:space="preserve">; </w:t>
      </w:r>
      <w:hyperlink r:id="rId205" w:anchor="art_69" w:history="1">
        <w:r>
          <w:rPr>
            <w:rStyle w:val="Hyperlink"/>
            <w:color w:val="0000EE"/>
            <w:u w:color="0000EE"/>
            <w:lang w:val="el" w:eastAsia="el"/>
          </w:rPr>
          <w:t>Τροποποίηση 4316/2014, Άρθρο 69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5" w:history="1">
        <w:r>
          <w:rPr>
            <w:rStyle w:val="Hyperlink"/>
            <w:color w:val="0000EE"/>
            <w:u w:color="0000EE"/>
            <w:lang w:val="el" w:eastAsia="el"/>
          </w:rPr>
          <w:t>Αφαίρεση 4320/2015, Άρθρο 15</w:t>
        </w:r>
      </w:hyperlink>
      <w:r>
        <w:rPr>
          <w:lang w:val="el" w:eastAsia="el"/>
        </w:rPr>
        <w:t xml:space="preserve">; </w:t>
      </w:r>
      <w:hyperlink r:id="rId207" w:anchor="art_69" w:history="1">
        <w:r>
          <w:rPr>
            <w:rStyle w:val="Hyperlink"/>
            <w:color w:val="0000EE"/>
            <w:u w:color="0000EE"/>
            <w:lang w:val="el" w:eastAsia="el"/>
          </w:rPr>
          <w:t>Τροποποίηση 4316/2014, Άρθρο 69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5" w:history="1">
        <w:r>
          <w:rPr>
            <w:rStyle w:val="Hyperlink"/>
            <w:color w:val="0000EE"/>
            <w:u w:color="0000EE"/>
            <w:lang w:val="el" w:eastAsia="el"/>
          </w:rPr>
          <w:t>Αφαίρεση 4320/2015, Άρθρο 15</w:t>
        </w:r>
      </w:hyperlink>
      <w:r>
        <w:rPr>
          <w:lang w:val="el" w:eastAsia="el"/>
        </w:rPr>
        <w:t xml:space="preserve">; </w:t>
      </w:r>
      <w:hyperlink r:id="rId209" w:anchor="art_69" w:history="1">
        <w:r>
          <w:rPr>
            <w:rStyle w:val="Hyperlink"/>
            <w:color w:val="0000EE"/>
            <w:u w:color="0000EE"/>
            <w:lang w:val="el" w:eastAsia="el"/>
          </w:rPr>
          <w:t>Τροποποίηση 4316/2014, Άρθρο 69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5" w:history="1">
        <w:r>
          <w:rPr>
            <w:rStyle w:val="Hyperlink"/>
            <w:color w:val="0000EE"/>
            <w:u w:color="0000EE"/>
            <w:lang w:val="el" w:eastAsia="el"/>
          </w:rPr>
          <w:t>Αφαίρεση 4320/2015, Άρθρο 15</w:t>
        </w:r>
      </w:hyperlink>
      <w:r>
        <w:rPr>
          <w:lang w:val="el" w:eastAsia="el"/>
        </w:rPr>
        <w:t xml:space="preserve">; </w:t>
      </w:r>
      <w:hyperlink r:id="rId211" w:anchor="art_69" w:history="1">
        <w:r>
          <w:rPr>
            <w:rStyle w:val="Hyperlink"/>
            <w:color w:val="0000EE"/>
            <w:u w:color="0000EE"/>
            <w:lang w:val="el" w:eastAsia="el"/>
          </w:rPr>
          <w:t>Τροποποίηση 4316/2014, Άρθρο 69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5" w:history="1">
        <w:r>
          <w:rPr>
            <w:rStyle w:val="Hyperlink"/>
            <w:color w:val="0000EE"/>
            <w:u w:color="0000EE"/>
            <w:lang w:val="el" w:eastAsia="el"/>
          </w:rPr>
          <w:t>Αφαίρεση 4320/2015, Άρθρο 15</w:t>
        </w:r>
      </w:hyperlink>
      <w:r>
        <w:rPr>
          <w:lang w:val="el" w:eastAsia="el"/>
        </w:rPr>
        <w:t xml:space="preserve">; </w:t>
      </w:r>
      <w:hyperlink r:id="rId213" w:anchor="art_69" w:history="1">
        <w:r>
          <w:rPr>
            <w:rStyle w:val="Hyperlink"/>
            <w:color w:val="0000EE"/>
            <w:u w:color="0000EE"/>
            <w:lang w:val="el" w:eastAsia="el"/>
          </w:rPr>
          <w:t>Τροποποίηση 4316/2014, Άρθρο 69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5" w:history="1">
        <w:r>
          <w:rPr>
            <w:rStyle w:val="Hyperlink"/>
            <w:color w:val="0000EE"/>
            <w:u w:color="0000EE"/>
            <w:lang w:val="el" w:eastAsia="el"/>
          </w:rPr>
          <w:t>Αφαίρεση 4320/2015, Άρθρο 15</w:t>
        </w:r>
      </w:hyperlink>
      <w:r>
        <w:rPr>
          <w:lang w:val="el" w:eastAsia="el"/>
        </w:rPr>
        <w:t xml:space="preserve">; </w:t>
      </w:r>
      <w:hyperlink r:id="rId215" w:anchor="art_69" w:history="1">
        <w:r>
          <w:rPr>
            <w:rStyle w:val="Hyperlink"/>
            <w:color w:val="0000EE"/>
            <w:u w:color="0000EE"/>
            <w:lang w:val="el" w:eastAsia="el"/>
          </w:rPr>
          <w:t>Τροποποίηση 4316/2014, Άρθρο 69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5" w:history="1">
        <w:r>
          <w:rPr>
            <w:rStyle w:val="Hyperlink"/>
            <w:color w:val="0000EE"/>
            <w:u w:color="0000EE"/>
            <w:lang w:val="el" w:eastAsia="el"/>
          </w:rPr>
          <w:t>Αφαίρεση 4320/2015, Άρθρο 15</w:t>
        </w:r>
      </w:hyperlink>
      <w:r>
        <w:rPr>
          <w:lang w:val="el" w:eastAsia="el"/>
        </w:rPr>
        <w:t xml:space="preserve">; </w:t>
      </w:r>
      <w:hyperlink r:id="rId217" w:anchor="art_69" w:history="1">
        <w:r>
          <w:rPr>
            <w:rStyle w:val="Hyperlink"/>
            <w:color w:val="0000EE"/>
            <w:u w:color="0000EE"/>
            <w:lang w:val="el" w:eastAsia="el"/>
          </w:rPr>
          <w:t>Τροποποίηση 4316/2014, Άρθρο 69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5" w:history="1">
        <w:r>
          <w:rPr>
            <w:rStyle w:val="Hyperlink"/>
            <w:color w:val="0000EE"/>
            <w:u w:color="0000EE"/>
            <w:lang w:val="el" w:eastAsia="el"/>
          </w:rPr>
          <w:t>Αφαίρεση 4320/2015, Άρθρο 15</w:t>
        </w:r>
      </w:hyperlink>
      <w:r>
        <w:rPr>
          <w:lang w:val="el" w:eastAsia="el"/>
        </w:rPr>
        <w:t xml:space="preserve">; </w:t>
      </w:r>
      <w:hyperlink r:id="rId219" w:anchor="art_69" w:history="1">
        <w:r>
          <w:rPr>
            <w:rStyle w:val="Hyperlink"/>
            <w:color w:val="0000EE"/>
            <w:u w:color="0000EE"/>
            <w:lang w:val="el" w:eastAsia="el"/>
          </w:rPr>
          <w:t>Τροποποίηση 4316/2014, Άρθρο 69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5" w:history="1">
        <w:r>
          <w:rPr>
            <w:rStyle w:val="Hyperlink"/>
            <w:color w:val="0000EE"/>
            <w:u w:color="0000EE"/>
            <w:lang w:val="el" w:eastAsia="el"/>
          </w:rPr>
          <w:t>Αφαίρεση 4320/2015, Άρθρο 15</w:t>
        </w:r>
      </w:hyperlink>
      <w:r>
        <w:rPr>
          <w:lang w:val="el" w:eastAsia="el"/>
        </w:rPr>
        <w:t xml:space="preserve">; </w:t>
      </w:r>
      <w:hyperlink r:id="rId221" w:anchor="art_69" w:history="1">
        <w:r>
          <w:rPr>
            <w:rStyle w:val="Hyperlink"/>
            <w:color w:val="0000EE"/>
            <w:u w:color="0000EE"/>
            <w:lang w:val="el" w:eastAsia="el"/>
          </w:rPr>
          <w:t>Τροποποίηση 4316/2014, Άρθρο 69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5" w:history="1">
        <w:r>
          <w:rPr>
            <w:rStyle w:val="Hyperlink"/>
            <w:color w:val="0000EE"/>
            <w:u w:color="0000EE"/>
            <w:lang w:val="el" w:eastAsia="el"/>
          </w:rPr>
          <w:t>Αφαίρεση 4320/2015, Άρθρο 15</w:t>
        </w:r>
      </w:hyperlink>
      <w:r>
        <w:rPr>
          <w:lang w:val="el" w:eastAsia="el"/>
        </w:rPr>
        <w:t xml:space="preserve">; </w:t>
      </w:r>
      <w:hyperlink r:id="rId223" w:anchor="art_69" w:history="1">
        <w:r>
          <w:rPr>
            <w:rStyle w:val="Hyperlink"/>
            <w:color w:val="0000EE"/>
            <w:u w:color="0000EE"/>
            <w:lang w:val="el" w:eastAsia="el"/>
          </w:rPr>
          <w:t>Τροποποίηση 4316/2014, Άρθρο 69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5" w:history="1">
        <w:r>
          <w:rPr>
            <w:rStyle w:val="Hyperlink"/>
            <w:color w:val="0000EE"/>
            <w:u w:color="0000EE"/>
            <w:lang w:val="el" w:eastAsia="el"/>
          </w:rPr>
          <w:t>Αφαίρεση 4320/2015, Άρθρο 15</w:t>
        </w:r>
      </w:hyperlink>
      <w:r>
        <w:rPr>
          <w:lang w:val="el" w:eastAsia="el"/>
        </w:rPr>
        <w:t xml:space="preserve">; </w:t>
      </w:r>
      <w:hyperlink r:id="rId225" w:anchor="art_69" w:history="1">
        <w:r>
          <w:rPr>
            <w:rStyle w:val="Hyperlink"/>
            <w:color w:val="0000EE"/>
            <w:u w:color="0000EE"/>
            <w:lang w:val="el" w:eastAsia="el"/>
          </w:rPr>
          <w:t>Τροποποίηση 4316/2014, Άρθρο 69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5" w:history="1">
        <w:r>
          <w:rPr>
            <w:rStyle w:val="Hyperlink"/>
            <w:color w:val="0000EE"/>
            <w:u w:color="0000EE"/>
            <w:lang w:val="el" w:eastAsia="el"/>
          </w:rPr>
          <w:t>Αφαίρεση 4320/2015, Άρθρο 15</w:t>
        </w:r>
      </w:hyperlink>
      <w:r>
        <w:rPr>
          <w:lang w:val="el" w:eastAsia="el"/>
        </w:rPr>
        <w:t xml:space="preserve">; </w:t>
      </w:r>
      <w:hyperlink r:id="rId227" w:anchor="art_69" w:history="1">
        <w:r>
          <w:rPr>
            <w:rStyle w:val="Hyperlink"/>
            <w:color w:val="0000EE"/>
            <w:u w:color="0000EE"/>
            <w:lang w:val="el" w:eastAsia="el"/>
          </w:rPr>
          <w:t>Τροποποίηση 4316/2014, Άρθρο 69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5" w:history="1">
        <w:r>
          <w:rPr>
            <w:rStyle w:val="Hyperlink"/>
            <w:color w:val="0000EE"/>
            <w:u w:color="0000EE"/>
            <w:lang w:val="el" w:eastAsia="el"/>
          </w:rPr>
          <w:t>Αφαίρεση 4320/2015, Άρθρο 15</w:t>
        </w:r>
      </w:hyperlink>
      <w:r>
        <w:rPr>
          <w:lang w:val="el" w:eastAsia="el"/>
        </w:rPr>
        <w:t xml:space="preserve">; </w:t>
      </w:r>
      <w:hyperlink r:id="rId229" w:anchor="art_69" w:history="1">
        <w:r>
          <w:rPr>
            <w:rStyle w:val="Hyperlink"/>
            <w:color w:val="0000EE"/>
            <w:u w:color="0000EE"/>
            <w:lang w:val="el" w:eastAsia="el"/>
          </w:rPr>
          <w:t>Τροποποίηση 4316/2014, Άρθρο 69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5" w:history="1">
        <w:r>
          <w:rPr>
            <w:rStyle w:val="Hyperlink"/>
            <w:color w:val="0000EE"/>
            <w:u w:color="0000EE"/>
            <w:lang w:val="el" w:eastAsia="el"/>
          </w:rPr>
          <w:t>Αφαίρεση 4320/2015, Άρθρο 15</w:t>
        </w:r>
      </w:hyperlink>
      <w:r>
        <w:rPr>
          <w:lang w:val="el" w:eastAsia="el"/>
        </w:rPr>
        <w:t xml:space="preserve">; </w:t>
      </w:r>
      <w:hyperlink r:id="rId231" w:anchor="art_69" w:history="1">
        <w:r>
          <w:rPr>
            <w:rStyle w:val="Hyperlink"/>
            <w:color w:val="0000EE"/>
            <w:u w:color="0000EE"/>
            <w:lang w:val="el" w:eastAsia="el"/>
          </w:rPr>
          <w:t>Τροποποίηση 4316/2014, Άρθρο 69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5" w:history="1">
        <w:r>
          <w:rPr>
            <w:rStyle w:val="Hyperlink"/>
            <w:color w:val="0000EE"/>
            <w:u w:color="0000EE"/>
            <w:lang w:val="el" w:eastAsia="el"/>
          </w:rPr>
          <w:t>Αφαίρεση 4320/2015, Άρθρο 15</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5" w:history="1">
        <w:r>
          <w:rPr>
            <w:rStyle w:val="Hyperlink"/>
            <w:color w:val="0000EE"/>
            <w:u w:color="0000EE"/>
            <w:lang w:val="el" w:eastAsia="el"/>
          </w:rPr>
          <w:t>Αφαίρεση 4320/2015, Άρθρο 15</w:t>
        </w:r>
      </w:hyperlink>
      <w:r>
        <w:rPr>
          <w:lang w:val="el" w:eastAsia="el"/>
        </w:rPr>
        <w:t xml:space="preserve">; </w:t>
      </w:r>
      <w:hyperlink r:id="rId234" w:anchor="art_69" w:history="1">
        <w:r>
          <w:rPr>
            <w:rStyle w:val="Hyperlink"/>
            <w:color w:val="0000EE"/>
            <w:u w:color="0000EE"/>
            <w:lang w:val="el" w:eastAsia="el"/>
          </w:rPr>
          <w:t>Τροποποίηση 4316/2014, Άρθρο 69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5" w:history="1">
        <w:r>
          <w:rPr>
            <w:rStyle w:val="Hyperlink"/>
            <w:color w:val="0000EE"/>
            <w:u w:color="0000EE"/>
            <w:lang w:val="el" w:eastAsia="el"/>
          </w:rPr>
          <w:t>Αφαίρεση 4320/2015, Άρθρο 15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5" w:history="1">
        <w:r>
          <w:rPr>
            <w:rStyle w:val="Hyperlink"/>
            <w:color w:val="0000EE"/>
            <w:u w:color="0000EE"/>
            <w:lang w:val="el" w:eastAsia="el"/>
          </w:rPr>
          <w:t>Αφαίρεση 4320/2015, Άρθρο 15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5" w:history="1">
        <w:r>
          <w:rPr>
            <w:rStyle w:val="Hyperlink"/>
            <w:color w:val="0000EE"/>
            <w:u w:color="0000EE"/>
            <w:lang w:val="el" w:eastAsia="el"/>
          </w:rPr>
          <w:t>Αφαίρεση 4320/2015, Άρθρο 15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5" w:history="1">
        <w:r>
          <w:rPr>
            <w:rStyle w:val="Hyperlink"/>
            <w:color w:val="0000EE"/>
            <w:u w:color="0000EE"/>
            <w:lang w:val="el" w:eastAsia="el"/>
          </w:rPr>
          <w:t>Αφαίρεση 4320/2015, Άρθρο 15</w:t>
        </w:r>
      </w:hyperlink>
      <w:r>
        <w:rPr>
          <w:lang w:val="el" w:eastAsia="el"/>
        </w:rPr>
        <w:t xml:space="preserve">; </w:t>
      </w:r>
      <w:hyperlink r:id="rId239" w:anchor="art_69" w:history="1">
        <w:r>
          <w:rPr>
            <w:rStyle w:val="Hyperlink"/>
            <w:color w:val="0000EE"/>
            <w:u w:color="0000EE"/>
            <w:lang w:val="el" w:eastAsia="el"/>
          </w:rPr>
          <w:t>Τροποποίηση 4316/2014, Άρθρο 69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5" w:history="1">
        <w:r>
          <w:rPr>
            <w:rStyle w:val="Hyperlink"/>
            <w:color w:val="0000EE"/>
            <w:u w:color="0000EE"/>
            <w:lang w:val="el" w:eastAsia="el"/>
          </w:rPr>
          <w:t>Αφαίρεση 4320/2015, Άρθρο 15</w:t>
        </w:r>
      </w:hyperlink>
      <w:r>
        <w:rPr>
          <w:lang w:val="el" w:eastAsia="el"/>
        </w:rPr>
        <w:t xml:space="preserve">; </w:t>
      </w:r>
      <w:hyperlink r:id="rId24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5" w:history="1">
        <w:r>
          <w:rPr>
            <w:rStyle w:val="Hyperlink"/>
            <w:color w:val="0000EE"/>
            <w:u w:color="0000EE"/>
            <w:lang w:val="el" w:eastAsia="el"/>
          </w:rPr>
          <w:t>Αφαίρεση 4320/2015, Άρθρο 15</w:t>
        </w:r>
      </w:hyperlink>
      <w:r>
        <w:rPr>
          <w:lang w:val="el" w:eastAsia="el"/>
        </w:rPr>
        <w:t xml:space="preserve">; </w:t>
      </w:r>
      <w:hyperlink r:id="rId243" w:anchor="art_69" w:history="1">
        <w:r>
          <w:rPr>
            <w:rStyle w:val="Hyperlink"/>
            <w:color w:val="0000EE"/>
            <w:u w:color="0000EE"/>
            <w:lang w:val="el" w:eastAsia="el"/>
          </w:rPr>
          <w:t>Τροποποίηση 4316/2014, Άρθρο 69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5" w:history="1">
        <w:r>
          <w:rPr>
            <w:rStyle w:val="Hyperlink"/>
            <w:color w:val="0000EE"/>
            <w:u w:color="0000EE"/>
            <w:lang w:val="el" w:eastAsia="el"/>
          </w:rPr>
          <w:t>Αφαίρεση 4320/2015, Άρθρο 15</w:t>
        </w:r>
      </w:hyperlink>
      <w:r>
        <w:rPr>
          <w:lang w:val="el" w:eastAsia="el"/>
        </w:rPr>
        <w:t xml:space="preserve">; </w:t>
      </w:r>
      <w:hyperlink r:id="rId245" w:anchor="art_69" w:history="1">
        <w:r>
          <w:rPr>
            <w:rStyle w:val="Hyperlink"/>
            <w:color w:val="0000EE"/>
            <w:u w:color="0000EE"/>
            <w:lang w:val="el" w:eastAsia="el"/>
          </w:rPr>
          <w:t>Τροποποίηση 4316/2014, Άρθρο 69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5" w:history="1">
        <w:r>
          <w:rPr>
            <w:rStyle w:val="Hyperlink"/>
            <w:color w:val="0000EE"/>
            <w:u w:color="0000EE"/>
            <w:lang w:val="el" w:eastAsia="el"/>
          </w:rPr>
          <w:t>Αφαίρεση 4320/2015, Άρθρο 15</w:t>
        </w:r>
      </w:hyperlink>
      <w:r>
        <w:rPr>
          <w:lang w:val="el" w:eastAsia="el"/>
        </w:rPr>
        <w:t xml:space="preserve">; </w:t>
      </w:r>
      <w:hyperlink r:id="rId247" w:anchor="art_69" w:history="1">
        <w:r>
          <w:rPr>
            <w:rStyle w:val="Hyperlink"/>
            <w:color w:val="0000EE"/>
            <w:u w:color="0000EE"/>
            <w:lang w:val="el" w:eastAsia="el"/>
          </w:rPr>
          <w:t>Τροποποίηση 4316/2014, Άρθρο 69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5" w:history="1">
        <w:r>
          <w:rPr>
            <w:rStyle w:val="Hyperlink"/>
            <w:color w:val="0000EE"/>
            <w:u w:color="0000EE"/>
            <w:lang w:val="el" w:eastAsia="el"/>
          </w:rPr>
          <w:t>Αφαίρεση 4320/2015, Άρθρο 15</w:t>
        </w:r>
      </w:hyperlink>
      <w:r>
        <w:rPr>
          <w:lang w:val="el" w:eastAsia="el"/>
        </w:rPr>
        <w:t xml:space="preserve">; </w:t>
      </w:r>
      <w:hyperlink r:id="rId249"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5" w:history="1">
        <w:r>
          <w:rPr>
            <w:rStyle w:val="Hyperlink"/>
            <w:color w:val="0000EE"/>
            <w:u w:color="0000EE"/>
            <w:lang w:val="el" w:eastAsia="el"/>
          </w:rPr>
          <w:t>Αφαίρεση 4320/2015, Άρθρο 15</w:t>
        </w:r>
      </w:hyperlink>
      <w:r>
        <w:rPr>
          <w:lang w:val="el" w:eastAsia="el"/>
        </w:rPr>
        <w:t xml:space="preserve">; </w:t>
      </w:r>
      <w:hyperlink r:id="rId25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5" w:history="1">
        <w:r>
          <w:rPr>
            <w:rStyle w:val="Hyperlink"/>
            <w:color w:val="0000EE"/>
            <w:u w:color="0000EE"/>
            <w:lang w:val="el" w:eastAsia="el"/>
          </w:rPr>
          <w:t>Αφαίρεση 4320/2015, Άρθρο 15</w:t>
        </w:r>
      </w:hyperlink>
      <w:r>
        <w:rPr>
          <w:lang w:val="el" w:eastAsia="el"/>
        </w:rPr>
        <w:t xml:space="preserve">; </w:t>
      </w:r>
      <w:hyperlink r:id="rId253" w:anchor="art_69" w:history="1">
        <w:r>
          <w:rPr>
            <w:rStyle w:val="Hyperlink"/>
            <w:color w:val="0000EE"/>
            <w:u w:color="0000EE"/>
            <w:lang w:val="el" w:eastAsia="el"/>
          </w:rPr>
          <w:t>Προσθήκη 4316/2014, Άρθρο 69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5" w:history="1">
        <w:r>
          <w:rPr>
            <w:rStyle w:val="Hyperlink"/>
            <w:color w:val="0000EE"/>
            <w:u w:color="0000EE"/>
            <w:lang w:val="el" w:eastAsia="el"/>
          </w:rPr>
          <w:t>Αφαίρεση 4320/2015, Άρθρο 15</w:t>
        </w:r>
      </w:hyperlink>
      <w:r>
        <w:rPr>
          <w:lang w:val="el" w:eastAsia="el"/>
        </w:rPr>
        <w:t xml:space="preserve">; </w:t>
      </w:r>
      <w:hyperlink r:id="rId255" w:anchor="art_69" w:history="1">
        <w:r>
          <w:rPr>
            <w:rStyle w:val="Hyperlink"/>
            <w:color w:val="0000EE"/>
            <w:u w:color="0000EE"/>
            <w:lang w:val="el" w:eastAsia="el"/>
          </w:rPr>
          <w:t>Προσθήκη 4316/2014, Άρθρο 69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5" w:history="1">
        <w:r>
          <w:rPr>
            <w:rStyle w:val="Hyperlink"/>
            <w:color w:val="0000EE"/>
            <w:u w:color="0000EE"/>
            <w:lang w:val="el" w:eastAsia="el"/>
          </w:rPr>
          <w:t>Αφαίρεση 4320/2015, Άρθρο 15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5" w:history="1">
        <w:r>
          <w:rPr>
            <w:rStyle w:val="Hyperlink"/>
            <w:color w:val="0000EE"/>
            <w:u w:color="0000EE"/>
            <w:lang w:val="el" w:eastAsia="el"/>
          </w:rPr>
          <w:t>Αφαίρεση 4320/2015, Άρθρο 15</w:t>
        </w:r>
      </w:hyperlink>
      <w:r>
        <w:rPr>
          <w:lang w:val="el" w:eastAsia="el"/>
        </w:rPr>
        <w:t xml:space="preserve">; </w:t>
      </w:r>
      <w:hyperlink r:id="rId258" w:anchor="art_69" w:history="1">
        <w:r>
          <w:rPr>
            <w:rStyle w:val="Hyperlink"/>
            <w:color w:val="0000EE"/>
            <w:u w:color="0000EE"/>
            <w:lang w:val="el" w:eastAsia="el"/>
          </w:rPr>
          <w:t>Τροποποίηση 4316/2014, Άρθρο 69</w:t>
        </w:r>
      </w:hyperlink>
      <w:r>
        <w:rPr>
          <w:lang w:val="el" w:eastAsia="el"/>
        </w:rPr>
        <w:t xml:space="preserve">; </w:t>
      </w:r>
      <w:hyperlink r:id="rId259" w:anchor="art_19" w:history="1">
        <w:r>
          <w:rPr>
            <w:rStyle w:val="Hyperlink"/>
            <w:color w:val="0000EE"/>
            <w:u w:color="0000EE"/>
            <w:lang w:val="el" w:eastAsia="el"/>
          </w:rPr>
          <w:t>Τροποποίηση 4208/2013, Άρθρο 19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5" w:history="1">
        <w:r>
          <w:rPr>
            <w:rStyle w:val="Hyperlink"/>
            <w:color w:val="0000EE"/>
            <w:u w:color="0000EE"/>
            <w:lang w:val="el" w:eastAsia="el"/>
          </w:rPr>
          <w:t>Αφαίρεση 4320/2015, Άρθρο 15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Τροποποίηση 4618/2019, Άρθρο 3</w:t>
        </w:r>
      </w:hyperlink>
      <w:r>
        <w:rPr>
          <w:lang w:val="el" w:eastAsia="el"/>
        </w:rPr>
        <w:t xml:space="preserve">; Τροποποίηση 4497/2019, Άρθρο 44; Τροποποίηση 4578/2018, Άρθρο 47; </w:t>
      </w:r>
      <w:hyperlink r:id="rId262" w:anchor="art_27" w:history="1">
        <w:r>
          <w:rPr>
            <w:rStyle w:val="Hyperlink"/>
            <w:color w:val="0000EE"/>
            <w:u w:color="0000EE"/>
            <w:lang w:val="el" w:eastAsia="el"/>
          </w:rPr>
          <w:t>Προσθήκη 4411/2016, Άρθρο 27</w:t>
        </w:r>
      </w:hyperlink>
      <w:r>
        <w:rPr>
          <w:lang w:val="el" w:eastAsia="el"/>
        </w:rPr>
        <w:t xml:space="preserve">; </w:t>
      </w:r>
      <w:hyperlink r:id="rId263" w:anchor="art_70" w:history="1">
        <w:r>
          <w:rPr>
            <w:rStyle w:val="Hyperlink"/>
            <w:color w:val="0000EE"/>
            <w:u w:color="0000EE"/>
            <w:lang w:val="el" w:eastAsia="el"/>
          </w:rPr>
          <w:t>Προσθήκη 4370/2016, Άρθρο 70</w:t>
        </w:r>
      </w:hyperlink>
      <w:r>
        <w:rPr>
          <w:lang w:val="el" w:eastAsia="el"/>
        </w:rPr>
        <w:t xml:space="preserve">; </w:t>
      </w:r>
      <w:hyperlink r:id="rId264" w:anchor="art_70" w:history="1">
        <w:r>
          <w:rPr>
            <w:rStyle w:val="Hyperlink"/>
            <w:color w:val="0000EE"/>
            <w:u w:color="0000EE"/>
            <w:lang w:val="el" w:eastAsia="el"/>
          </w:rPr>
          <w:t>Προσθήκη 4370/2016, Άρθρο 70</w:t>
        </w:r>
      </w:hyperlink>
      <w:r>
        <w:rPr>
          <w:lang w:val="el" w:eastAsia="el"/>
        </w:rPr>
        <w:t xml:space="preserve">; </w:t>
      </w:r>
      <w:hyperlink r:id="rId265"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7" w:history="1">
        <w:r>
          <w:rPr>
            <w:rStyle w:val="Hyperlink"/>
            <w:color w:val="0000EE"/>
            <w:u w:color="0000EE"/>
            <w:lang w:val="el" w:eastAsia="el"/>
          </w:rPr>
          <w:t>Προσθήκη 4411/2016, Άρθρο 27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7" w:history="1">
        <w:r>
          <w:rPr>
            <w:rStyle w:val="Hyperlink"/>
            <w:color w:val="0000EE"/>
            <w:u w:color="0000EE"/>
            <w:lang w:val="el" w:eastAsia="el"/>
          </w:rPr>
          <w:t>Προσθήκη 4411/2016, Άρθρο 27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7" w:history="1">
        <w:r>
          <w:rPr>
            <w:rStyle w:val="Hyperlink"/>
            <w:color w:val="0000EE"/>
            <w:u w:color="0000EE"/>
            <w:lang w:val="el" w:eastAsia="el"/>
          </w:rPr>
          <w:t>Προσθήκη 4411/2016, Άρθρο 27</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7" w:history="1">
        <w:r>
          <w:rPr>
            <w:rStyle w:val="Hyperlink"/>
            <w:color w:val="0000EE"/>
            <w:u w:color="0000EE"/>
            <w:lang w:val="el" w:eastAsia="el"/>
          </w:rPr>
          <w:t>Τροποποίηση 4411/2016, Άρθρο 27</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Τροποποίηση 4411/2016, Άρθρο 27</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7" w:history="1">
        <w:r>
          <w:rPr>
            <w:rStyle w:val="Hyperlink"/>
            <w:color w:val="0000EE"/>
            <w:u w:color="0000EE"/>
            <w:lang w:val="el" w:eastAsia="el"/>
          </w:rPr>
          <w:t>Τροποποίηση 4411/2016, Άρθρο 27</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7" w:history="1">
        <w:r>
          <w:rPr>
            <w:rStyle w:val="Hyperlink"/>
            <w:color w:val="0000EE"/>
            <w:u w:color="0000EE"/>
            <w:lang w:val="el" w:eastAsia="el"/>
          </w:rPr>
          <w:t>Τροποποίηση 4411/2016, Άρθρο 27</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7" w:history="1">
        <w:r>
          <w:rPr>
            <w:rStyle w:val="Hyperlink"/>
            <w:color w:val="0000EE"/>
            <w:u w:color="0000EE"/>
            <w:lang w:val="el" w:eastAsia="el"/>
          </w:rPr>
          <w:t>Τροποποίηση 4411/2016, Άρθρο 27</w:t>
        </w:r>
      </w:hyperlink>
      <w:r>
        <w:rPr>
          <w:lang w:val="el" w:eastAsia="el"/>
        </w:rPr>
        <w:t xml:space="preserve">; </w:t>
      </w:r>
      <w:hyperlink r:id="rId285" w:anchor="art_70" w:history="1">
        <w:r>
          <w:rPr>
            <w:rStyle w:val="Hyperlink"/>
            <w:color w:val="0000EE"/>
            <w:u w:color="0000EE"/>
            <w:lang w:val="el" w:eastAsia="el"/>
          </w:rPr>
          <w:t>Προσθήκη 4370/2016, Άρθρο 70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4597/2019, Άρθρο 44; </w:t>
      </w:r>
      <w:hyperlink r:id="rId28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42" w:history="1">
        <w:r>
          <w:rPr>
            <w:rStyle w:val="Hyperlink"/>
            <w:color w:val="0000EE"/>
            <w:u w:color="0000EE"/>
            <w:lang w:val="el" w:eastAsia="el"/>
          </w:rPr>
          <w:t>Τροποποίηση 4320/2015, Άρθρο 42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0" w:history="1">
        <w:r>
          <w:rPr>
            <w:rStyle w:val="Hyperlink"/>
            <w:color w:val="0000EE"/>
            <w:u w:color="0000EE"/>
            <w:lang w:val="el" w:eastAsia="el"/>
          </w:rPr>
          <w:t>Τροποποίηση 4255/2014, Άρθρο 20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5/11/09/4342" TargetMode="External" /><Relationship Id="rId101" Type="http://schemas.openxmlformats.org/officeDocument/2006/relationships/hyperlink" Target="http://data.aade.gr/eli/pri/law/2015/11/09/4342" TargetMode="External" /><Relationship Id="rId102" Type="http://schemas.openxmlformats.org/officeDocument/2006/relationships/hyperlink" Target="http://data.aade.gr/eli/pri/law/2015/11/09/4342" TargetMode="External" /><Relationship Id="rId103" Type="http://schemas.openxmlformats.org/officeDocument/2006/relationships/hyperlink" Target="http://data.aade.gr/eli/pri/law/2015/11/09/4342" TargetMode="External" /><Relationship Id="rId104" Type="http://schemas.openxmlformats.org/officeDocument/2006/relationships/hyperlink" Target="http://data.aade.gr/eli/pri/law/2015/11/09/4342" TargetMode="External" /><Relationship Id="rId105" Type="http://schemas.openxmlformats.org/officeDocument/2006/relationships/hyperlink" Target="http://data.aade.gr/eli/pri/law/2015/11/09/4342" TargetMode="External" /><Relationship Id="rId106" Type="http://schemas.openxmlformats.org/officeDocument/2006/relationships/hyperlink" Target="http://data.aade.gr/eli/pri/law/2015/11/09/4342" TargetMode="External" /><Relationship Id="rId107" Type="http://schemas.openxmlformats.org/officeDocument/2006/relationships/hyperlink" Target="http://data.aade.gr/eli/pri/law/2015/11/09/4342" TargetMode="External" /><Relationship Id="rId108" Type="http://schemas.openxmlformats.org/officeDocument/2006/relationships/hyperlink" Target="http://data.aade.gr/eli/pri/law/2015/11/09/4342" TargetMode="External" /><Relationship Id="rId109" Type="http://schemas.openxmlformats.org/officeDocument/2006/relationships/hyperlink" Target="http://data.aade.gr/eli/pri/law/2015/11/09/4342"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6/12/23/4447" TargetMode="External" /><Relationship Id="rId111" Type="http://schemas.openxmlformats.org/officeDocument/2006/relationships/hyperlink" Target="http://data.aade.gr/eli/pri/law/2015/11/09/4342" TargetMode="External" /><Relationship Id="rId112" Type="http://schemas.openxmlformats.org/officeDocument/2006/relationships/hyperlink" Target="http://data.aade.gr/eli/pri/law/2013/11/01/4203" TargetMode="External" /><Relationship Id="rId113" Type="http://schemas.openxmlformats.org/officeDocument/2006/relationships/hyperlink" Target="http://data.aade.gr/eli/pri/law/2014/10/02/4296" TargetMode="External" /><Relationship Id="rId114" Type="http://schemas.openxmlformats.org/officeDocument/2006/relationships/hyperlink" Target="http://data.aade.gr/eli/pri/law/2013/11/01/4203" TargetMode="External" /><Relationship Id="rId115" Type="http://schemas.openxmlformats.org/officeDocument/2006/relationships/hyperlink" Target="http://data.aade.gr/eli/pri/law/2013/11/01/4203" TargetMode="External" /><Relationship Id="rId116" Type="http://schemas.openxmlformats.org/officeDocument/2006/relationships/hyperlink" Target="http://data.aade.gr/eli/pri/law/2013/11/01/4203" TargetMode="External" /><Relationship Id="rId117" Type="http://schemas.openxmlformats.org/officeDocument/2006/relationships/hyperlink" Target="http://data.aade.gr/eli/pri/law/2014/01/07/4225" TargetMode="External" /><Relationship Id="rId118" Type="http://schemas.openxmlformats.org/officeDocument/2006/relationships/hyperlink" Target="http://data.aade.gr/eli/pri/law/2014/01/07/4225" TargetMode="External" /><Relationship Id="rId119" Type="http://schemas.openxmlformats.org/officeDocument/2006/relationships/hyperlink" Target="http://data.aade.gr/eli/pri/law/2015/08/14/4336"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5/08/14/4336" TargetMode="External" /><Relationship Id="rId121" Type="http://schemas.openxmlformats.org/officeDocument/2006/relationships/hyperlink" Target="http://data.aade.gr/eli/pri/law/2015/08/14/4336" TargetMode="External" /><Relationship Id="rId122" Type="http://schemas.openxmlformats.org/officeDocument/2006/relationships/hyperlink" Target="http://data.aade.gr/eli/pri/law/2015/08/14/4336" TargetMode="External" /><Relationship Id="rId123" Type="http://schemas.openxmlformats.org/officeDocument/2006/relationships/hyperlink" Target="http://data.aade.gr/eli/pri/law/2014/01/07/4225" TargetMode="External" /><Relationship Id="rId124" Type="http://schemas.openxmlformats.org/officeDocument/2006/relationships/hyperlink" Target="http://data.aade.gr/eli/pri/law/2014/01/07/4225" TargetMode="External" /><Relationship Id="rId125" Type="http://schemas.openxmlformats.org/officeDocument/2006/relationships/hyperlink" Target="http://data.aade.gr/eli/pri/law/2015/03/19/4320"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5/03/19/4320"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9/12/12/4646"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9/12/12/4646"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3/19/4320"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9/12/12/4646"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9/12/12/4646"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5/08/14/4336" TargetMode="External" /><Relationship Id="rId20" Type="http://schemas.openxmlformats.org/officeDocument/2006/relationships/hyperlink" Target="http://data.aade.gr/eli/pri/law/2019/12/12/4646" TargetMode="External" /><Relationship Id="rId200" Type="http://schemas.openxmlformats.org/officeDocument/2006/relationships/hyperlink" Target="http://data.aade.gr/eli/pri/law/2015/03/19/4320" TargetMode="External" /><Relationship Id="rId201" Type="http://schemas.openxmlformats.org/officeDocument/2006/relationships/hyperlink" Target="http://data.aade.gr/eli/pri/law/2014/12/24/4316"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4/12/24/4316"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4/12/24/4316" TargetMode="External" /><Relationship Id="rId206" Type="http://schemas.openxmlformats.org/officeDocument/2006/relationships/hyperlink" Target="http://data.aade.gr/eli/pri/law/2015/03/19/4320" TargetMode="External" /><Relationship Id="rId207" Type="http://schemas.openxmlformats.org/officeDocument/2006/relationships/hyperlink" Target="http://data.aade.gr/eli/pri/law/2014/12/24/4316" TargetMode="External" /><Relationship Id="rId208" Type="http://schemas.openxmlformats.org/officeDocument/2006/relationships/hyperlink" Target="http://data.aade.gr/eli/pri/law/2015/03/19/4320" TargetMode="External" /><Relationship Id="rId209" Type="http://schemas.openxmlformats.org/officeDocument/2006/relationships/hyperlink" Target="http://data.aade.gr/eli/pri/law/2014/12/24/431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5/03/19/4320"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5/03/19/4320"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15/03/19/4320"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5/03/19/4320"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5/03/19/4320"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5/03/19/4320"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5/03/19/4320"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5/03/19/4320"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5/03/19/4320" TargetMode="External" /><Relationship Id="rId227" Type="http://schemas.openxmlformats.org/officeDocument/2006/relationships/hyperlink" Target="http://data.aade.gr/eli/pri/law/2014/12/24/4316" TargetMode="External" /><Relationship Id="rId228" Type="http://schemas.openxmlformats.org/officeDocument/2006/relationships/hyperlink" Target="http://data.aade.gr/eli/pri/law/2015/03/19/4320" TargetMode="External" /><Relationship Id="rId229" Type="http://schemas.openxmlformats.org/officeDocument/2006/relationships/hyperlink" Target="http://data.aade.gr/eli/pri/law/2014/12/24/431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3/19/4320" TargetMode="External" /><Relationship Id="rId231" Type="http://schemas.openxmlformats.org/officeDocument/2006/relationships/hyperlink" Target="http://data.aade.gr/eli/pri/law/2014/12/24/4316" TargetMode="External" /><Relationship Id="rId232" Type="http://schemas.openxmlformats.org/officeDocument/2006/relationships/hyperlink" Target="http://data.aade.gr/eli/pri/law/2015/03/19/4320" TargetMode="External" /><Relationship Id="rId233" Type="http://schemas.openxmlformats.org/officeDocument/2006/relationships/hyperlink" Target="http://data.aade.gr/eli/pri/law/2015/03/19/4320"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15/03/19/4320" TargetMode="External" /><Relationship Id="rId236" Type="http://schemas.openxmlformats.org/officeDocument/2006/relationships/hyperlink" Target="http://data.aade.gr/eli/pri/law/2015/03/19/4320" TargetMode="External" /><Relationship Id="rId237" Type="http://schemas.openxmlformats.org/officeDocument/2006/relationships/hyperlink" Target="http://data.aade.gr/eli/pri/law/2015/03/19/4320" TargetMode="External" /><Relationship Id="rId238" Type="http://schemas.openxmlformats.org/officeDocument/2006/relationships/hyperlink" Target="http://data.aade.gr/eli/pri/law/2015/03/19/4320"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9/12/12/4646" TargetMode="External" /><Relationship Id="rId240" Type="http://schemas.openxmlformats.org/officeDocument/2006/relationships/hyperlink" Target="http://data.aade.gr/eli/pri/law/2015/03/19/4320"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5/03/19/4320" TargetMode="External" /><Relationship Id="rId243" Type="http://schemas.openxmlformats.org/officeDocument/2006/relationships/hyperlink" Target="http://data.aade.gr/eli/pri/law/2014/12/24/4316" TargetMode="External" /><Relationship Id="rId244" Type="http://schemas.openxmlformats.org/officeDocument/2006/relationships/hyperlink" Target="http://data.aade.gr/eli/pri/law/2015/03/19/4320" TargetMode="External" /><Relationship Id="rId245" Type="http://schemas.openxmlformats.org/officeDocument/2006/relationships/hyperlink" Target="http://data.aade.gr/eli/pri/law/2014/12/24/4316" TargetMode="External" /><Relationship Id="rId246" Type="http://schemas.openxmlformats.org/officeDocument/2006/relationships/hyperlink" Target="http://data.aade.gr/eli/pri/law/2015/03/19/4320" TargetMode="External" /><Relationship Id="rId247" Type="http://schemas.openxmlformats.org/officeDocument/2006/relationships/hyperlink" Target="http://data.aade.gr/eli/pri/law/2014/12/24/4316" TargetMode="External" /><Relationship Id="rId248" Type="http://schemas.openxmlformats.org/officeDocument/2006/relationships/hyperlink" Target="http://data.aade.gr/eli/pri/law/2015/03/19/4320" TargetMode="External" /><Relationship Id="rId249" Type="http://schemas.openxmlformats.org/officeDocument/2006/relationships/hyperlink" Target="http://data.aade.gr/eli/pri/law/2014/12/24/431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5/03/19/4320"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5/03/19/4320"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3/19/4320"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5/03/19/4320" TargetMode="External" /><Relationship Id="rId257" Type="http://schemas.openxmlformats.org/officeDocument/2006/relationships/hyperlink" Target="http://data.aade.gr/eli/pri/law/2015/03/19/4320"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13/11/18/4208"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5/03/19/4320" TargetMode="External" /><Relationship Id="rId261" Type="http://schemas.openxmlformats.org/officeDocument/2006/relationships/hyperlink" Target="http://data.aade.gr/eli/pri/law/2019/06/10/4618" TargetMode="External" /><Relationship Id="rId262" Type="http://schemas.openxmlformats.org/officeDocument/2006/relationships/hyperlink" Target="http://data.aade.gr/eli/pri/law/2016/08/03/4411" TargetMode="External" /><Relationship Id="rId263" Type="http://schemas.openxmlformats.org/officeDocument/2006/relationships/hyperlink" Target="http://data.aade.gr/eli/pri/law/2016/03/07/4370" TargetMode="External" /><Relationship Id="rId264" Type="http://schemas.openxmlformats.org/officeDocument/2006/relationships/hyperlink" Target="http://data.aade.gr/eli/pri/law/2016/03/07/4370" TargetMode="External" /><Relationship Id="rId265" Type="http://schemas.openxmlformats.org/officeDocument/2006/relationships/hyperlink" Target="http://data.aade.gr/eli/pri/law/2016/03/07/4370" TargetMode="External" /><Relationship Id="rId266" Type="http://schemas.openxmlformats.org/officeDocument/2006/relationships/hyperlink" Target="http://data.aade.gr/eli/pri/law/2016/08/03/4411" TargetMode="External" /><Relationship Id="rId267" Type="http://schemas.openxmlformats.org/officeDocument/2006/relationships/hyperlink" Target="http://data.aade.gr/eli/pri/law/2016/08/03/4411" TargetMode="External" /><Relationship Id="rId268" Type="http://schemas.openxmlformats.org/officeDocument/2006/relationships/hyperlink" Target="http://data.aade.gr/eli/pri/law/2016/08/03/4411" TargetMode="External" /><Relationship Id="rId269" Type="http://schemas.openxmlformats.org/officeDocument/2006/relationships/hyperlink" Target="http://data.aade.gr/eli/pri/law/2016/08/03/4411"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6/08/03/4411" TargetMode="External" /><Relationship Id="rId271" Type="http://schemas.openxmlformats.org/officeDocument/2006/relationships/hyperlink" Target="http://data.aade.gr/eli/pri/law/2016/08/03/4411" TargetMode="External" /><Relationship Id="rId272" Type="http://schemas.openxmlformats.org/officeDocument/2006/relationships/hyperlink" Target="http://data.aade.gr/eli/pri/law/2016/08/03/4411" TargetMode="External" /><Relationship Id="rId273" Type="http://schemas.openxmlformats.org/officeDocument/2006/relationships/hyperlink" Target="http://data.aade.gr/eli/pri/law/2016/08/03/4411" TargetMode="External" /><Relationship Id="rId274" Type="http://schemas.openxmlformats.org/officeDocument/2006/relationships/hyperlink" Target="http://data.aade.gr/eli/pri/law/2016/08/03/4411" TargetMode="External" /><Relationship Id="rId275" Type="http://schemas.openxmlformats.org/officeDocument/2006/relationships/hyperlink" Target="http://data.aade.gr/eli/pri/law/2016/08/03/4411" TargetMode="External" /><Relationship Id="rId276" Type="http://schemas.openxmlformats.org/officeDocument/2006/relationships/hyperlink" Target="http://data.aade.gr/eli/pri/law/2016/08/03/4411" TargetMode="External" /><Relationship Id="rId277" Type="http://schemas.openxmlformats.org/officeDocument/2006/relationships/hyperlink" Target="http://data.aade.gr/eli/pri/law/2016/08/03/4411" TargetMode="External" /><Relationship Id="rId278" Type="http://schemas.openxmlformats.org/officeDocument/2006/relationships/hyperlink" Target="http://data.aade.gr/eli/pri/law/2016/08/03/4411" TargetMode="External" /><Relationship Id="rId279" Type="http://schemas.openxmlformats.org/officeDocument/2006/relationships/hyperlink" Target="http://data.aade.gr/eli/pri/law/2016/08/03/4411"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6/08/03/4411" TargetMode="External" /><Relationship Id="rId281" Type="http://schemas.openxmlformats.org/officeDocument/2006/relationships/hyperlink" Target="http://data.aade.gr/eli/pri/law/2016/08/03/4411" TargetMode="External" /><Relationship Id="rId282" Type="http://schemas.openxmlformats.org/officeDocument/2006/relationships/hyperlink" Target="http://data.aade.gr/eli/pri/law/2016/08/03/4411" TargetMode="External" /><Relationship Id="rId283" Type="http://schemas.openxmlformats.org/officeDocument/2006/relationships/hyperlink" Target="http://data.aade.gr/eli/pri/law/2016/08/03/4411" TargetMode="External" /><Relationship Id="rId284" Type="http://schemas.openxmlformats.org/officeDocument/2006/relationships/hyperlink" Target="http://data.aade.gr/eli/pri/law/2016/08/03/4411" TargetMode="External" /><Relationship Id="rId285" Type="http://schemas.openxmlformats.org/officeDocument/2006/relationships/hyperlink" Target="http://data.aade.gr/eli/pri/law/2016/03/07/4370" TargetMode="External" /><Relationship Id="rId286" Type="http://schemas.openxmlformats.org/officeDocument/2006/relationships/hyperlink" Target="http://data.aade.gr/eli/pri/law/2016/08/03/4411" TargetMode="External" /><Relationship Id="rId287" Type="http://schemas.openxmlformats.org/officeDocument/2006/relationships/hyperlink" Target="http://data.aade.gr/eli/pri/law/2016/08/03/4411" TargetMode="External" /><Relationship Id="rId288" Type="http://schemas.openxmlformats.org/officeDocument/2006/relationships/hyperlink" Target="http://data.aade.gr/eli/pri/law/2016/08/03/4411" TargetMode="External" /><Relationship Id="rId289" Type="http://schemas.openxmlformats.org/officeDocument/2006/relationships/hyperlink" Target="http://data.aade.gr/eli/pri/law/2016/08/03/4411"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6/08/03/4411" TargetMode="External" /><Relationship Id="rId291" Type="http://schemas.openxmlformats.org/officeDocument/2006/relationships/hyperlink" Target="http://data.aade.gr/eli/pri/law/2015/03/19/4320" TargetMode="External" /><Relationship Id="rId292" Type="http://schemas.openxmlformats.org/officeDocument/2006/relationships/hyperlink" Target="http://data.aade.gr/eli/pri/law/2014/04/11/4255" TargetMode="External" /><Relationship Id="rId293" Type="http://schemas.openxmlformats.org/officeDocument/2006/relationships/hyperlink" Target="http://data.aade.gr/eli/pri/law/2013/07/12/4170"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19/12/12/4646"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19/12/12/4646"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18/01/30/4514"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3/07/26/41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9/12/12/4646" TargetMode="External" /><Relationship Id="rId41" Type="http://schemas.openxmlformats.org/officeDocument/2006/relationships/hyperlink" Target="http://data.aade.gr/eli/pri/law/2019/12/12/4646" TargetMode="External" /><Relationship Id="rId42" Type="http://schemas.openxmlformats.org/officeDocument/2006/relationships/hyperlink" Target="http://data.aade.gr/eli/pri/law/2019/12/12/4646" TargetMode="External" /><Relationship Id="rId43" Type="http://schemas.openxmlformats.org/officeDocument/2006/relationships/hyperlink" Target="http://data.aade.gr/eli/pri/law/2019/12/12/4646" TargetMode="External" /><Relationship Id="rId44" Type="http://schemas.openxmlformats.org/officeDocument/2006/relationships/hyperlink" Target="http://data.aade.gr/eli/pri/law/2019/12/12/4646" TargetMode="External" /><Relationship Id="rId45" Type="http://schemas.openxmlformats.org/officeDocument/2006/relationships/hyperlink" Target="http://data.aade.gr/eli/pri/law/2013/07/23/4172"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20/07/31/4714" TargetMode="External" /><Relationship Id="rId48" Type="http://schemas.openxmlformats.org/officeDocument/2006/relationships/hyperlink" Target="http://data.aade.gr/eli/pri/law/2020/07/31/4714" TargetMode="External" /><Relationship Id="rId49" Type="http://schemas.openxmlformats.org/officeDocument/2006/relationships/hyperlink" Target="http://data.aade.gr/eli/pri/law/2020/07/31/471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7/31/4714" TargetMode="External" /><Relationship Id="rId51" Type="http://schemas.openxmlformats.org/officeDocument/2006/relationships/hyperlink" Target="http://data.aade.gr/eli/pri/law/2020/07/31/4714" TargetMode="External" /><Relationship Id="rId52" Type="http://schemas.openxmlformats.org/officeDocument/2006/relationships/hyperlink" Target="http://data.aade.gr/eli/pri/law/2020/07/31/4714" TargetMode="External" /><Relationship Id="rId53" Type="http://schemas.openxmlformats.org/officeDocument/2006/relationships/hyperlink" Target="http://data.aade.gr/eli/pri/law/2020/07/31/4714" TargetMode="External" /><Relationship Id="rId54" Type="http://schemas.openxmlformats.org/officeDocument/2006/relationships/hyperlink" Target="http://data.aade.gr/eli/pri/law/2020/07/31/4714" TargetMode="External" /><Relationship Id="rId55" Type="http://schemas.openxmlformats.org/officeDocument/2006/relationships/hyperlink" Target="http://data.aade.gr/eli/pri/law/2018/05/15/4537" TargetMode="External" /><Relationship Id="rId56" Type="http://schemas.openxmlformats.org/officeDocument/2006/relationships/hyperlink" Target="http://data.aade.gr/eli/pri/law/2013/07/12/4170" TargetMode="External" /><Relationship Id="rId57" Type="http://schemas.openxmlformats.org/officeDocument/2006/relationships/hyperlink" Target="http://data.aade.gr/eli/pri/law/2018/05/15/4537" TargetMode="External" /><Relationship Id="rId58" Type="http://schemas.openxmlformats.org/officeDocument/2006/relationships/hyperlink" Target="http://data.aade.gr/eli/pri/law/2016/11/28/4438" TargetMode="External" /><Relationship Id="rId59" Type="http://schemas.openxmlformats.org/officeDocument/2006/relationships/hyperlink" Target="http://data.aade.gr/eli/pri/law/2016/11/28/4438"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3/07/12/4170"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4/08/08/4281"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3/07/12/4170" TargetMode="External" /><Relationship Id="rId81" Type="http://schemas.openxmlformats.org/officeDocument/2006/relationships/hyperlink" Target="http://data.aade.gr/eli/pri/law/2016/12/06/4441" TargetMode="External" /><Relationship Id="rId82" Type="http://schemas.openxmlformats.org/officeDocument/2006/relationships/hyperlink" Target="http://data.aade.gr/eli/pri/law/2016/04/26/4384" TargetMode="External" /><Relationship Id="rId83" Type="http://schemas.openxmlformats.org/officeDocument/2006/relationships/hyperlink" Target="http://data.aade.gr/eli/pri/law/2014/05/15/4264" TargetMode="External" /><Relationship Id="rId84" Type="http://schemas.openxmlformats.org/officeDocument/2006/relationships/hyperlink" Target="http://data.aade.gr/eli/pri/law/2014/05/15/4264" TargetMode="External" /><Relationship Id="rId85" Type="http://schemas.openxmlformats.org/officeDocument/2006/relationships/hyperlink" Target="http://data.aade.gr/eli/pri/law/2014/05/15/4264" TargetMode="External" /><Relationship Id="rId86" Type="http://schemas.openxmlformats.org/officeDocument/2006/relationships/hyperlink" Target="http://data.aade.gr/eli/pri/law/2015/11/09/4342" TargetMode="External" /><Relationship Id="rId87" Type="http://schemas.openxmlformats.org/officeDocument/2006/relationships/hyperlink" Target="http://data.aade.gr/eli/pri/law/2016/07/28/4409" TargetMode="External" /><Relationship Id="rId88" Type="http://schemas.openxmlformats.org/officeDocument/2006/relationships/hyperlink" Target="http://data.aade.gr/eli/pri/law/2016/07/28/4409" TargetMode="External" /><Relationship Id="rId89" Type="http://schemas.openxmlformats.org/officeDocument/2006/relationships/hyperlink" Target="http://data.aade.gr/eli/pri/law/2013/11/01/4203" TargetMode="External" /><Relationship Id="rId9" Type="http://schemas.openxmlformats.org/officeDocument/2006/relationships/hyperlink" Target="http://data.aade.gr/eli/pri/law/2019/12/12/4646" TargetMode="External" /><Relationship Id="rId90" Type="http://schemas.openxmlformats.org/officeDocument/2006/relationships/hyperlink" Target="http://data.aade.gr/eli/pri/law/2015/11/09/4342" TargetMode="External" /><Relationship Id="rId91" Type="http://schemas.openxmlformats.org/officeDocument/2006/relationships/hyperlink" Target="http://data.aade.gr/eli/pri/law/2015/11/09/4342" TargetMode="External" /><Relationship Id="rId92" Type="http://schemas.openxmlformats.org/officeDocument/2006/relationships/hyperlink" Target="http://data.aade.gr/eli/pri/law/2015/11/09/4342" TargetMode="External" /><Relationship Id="rId93" Type="http://schemas.openxmlformats.org/officeDocument/2006/relationships/hyperlink" Target="http://data.aade.gr/eli/pri/law/2015/11/09/4342" TargetMode="External" /><Relationship Id="rId94" Type="http://schemas.openxmlformats.org/officeDocument/2006/relationships/hyperlink" Target="http://data.aade.gr/eli/pri/law/2015/11/09/4342" TargetMode="External" /><Relationship Id="rId95" Type="http://schemas.openxmlformats.org/officeDocument/2006/relationships/hyperlink" Target="http://data.aade.gr/eli/pri/law/2013/11/01/4203" TargetMode="External" /><Relationship Id="rId96" Type="http://schemas.openxmlformats.org/officeDocument/2006/relationships/hyperlink" Target="http://data.aade.gr/eli/pri/law/2015/11/09/4342" TargetMode="External" /><Relationship Id="rId97" Type="http://schemas.openxmlformats.org/officeDocument/2006/relationships/hyperlink" Target="http://data.aade.gr/eli/pri/law/2015/11/09/4342" TargetMode="External" /><Relationship Id="rId98" Type="http://schemas.openxmlformats.org/officeDocument/2006/relationships/hyperlink" Target="http://data.aade.gr/eli/pri/law/2013/11/01/4203" TargetMode="External" /><Relationship Id="rId99" Type="http://schemas.openxmlformats.org/officeDocument/2006/relationships/hyperlink" Target="http://data.aade.gr/eli/pri/law/2015/11/09/43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