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Ήα.2τά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3Α.</w:t>
      </w:r>
      <w:r>
        <w:rPr>
          <w:lang w:val="el" w:eastAsia="el"/>
        </w:rPr>
        <w:t xml:space="preserve"> Από την 1η Απριλίου 2024 έως την 31η Μαρτίου 2025, ο τόκος των υποπερ. α), β) και γ) της περ. 3, όπως είχε διαμορφωθεί την 31η Μαρτίου 2024, παραμένει αμετάβλητος.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η αναλυτική δήλωση όλων των εισοδημάτων, περιουσιακών στοιχείων και τυχόν οφειλών προς τρίτα πρόσωπα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η διαπίστωση ότι έχουν υποβληθεί οι φορολογικές δηλώσεις της τελευταίας πενταετίας.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14"/>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δημόσιου τομέα, υπό την έννοια της περ. α) της παρ. 1 του άρθρου 14 του ν. 4270/2014 (Α' 143), που παρέχουν υγειονομική μέριμνα και είναι κατάλληλα αναγνωρισμένα για τον σκοπό αυτόν, καθώς και ο Ε.Ο.Π.Υ.Υ. (άρθρο 18 του ν. 3918/2011) και η Εθνική Κεντρική Αρχή Προμηθειών Υγείας (Ε.Κ.Α.Π.Υ.).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Νομικά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Προσθήκη 5111/2024, Άρθρο 40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3" w:history="1">
        <w:r>
          <w:rPr>
            <w:rStyle w:val="Hyperlink"/>
            <w:color w:val="0000EE"/>
            <w:u w:color="0000EE"/>
            <w:lang w:val="el" w:eastAsia="el"/>
          </w:rPr>
          <w:t>Τροποποίηση 4646/2019, Άρθρο 43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4" w:history="1">
        <w:r>
          <w:rPr>
            <w:rStyle w:val="Hyperlink"/>
            <w:color w:val="0000EE"/>
            <w:u w:color="0000EE"/>
            <w:lang w:val="el" w:eastAsia="el"/>
          </w:rPr>
          <w:t>Τροποποίηση 4174/2013, Άρθρο 74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4" w:history="1">
        <w:r>
          <w:rPr>
            <w:rStyle w:val="Hyperlink"/>
            <w:color w:val="0000EE"/>
            <w:u w:color="0000EE"/>
            <w:lang w:val="el" w:eastAsia="el"/>
          </w:rPr>
          <w:t>Τροποποίηση 5162/2024, Άρθρο 94</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4" w:history="1">
        <w:r>
          <w:rPr>
            <w:rStyle w:val="Hyperlink"/>
            <w:color w:val="0000EE"/>
            <w:u w:color="0000EE"/>
            <w:lang w:val="el" w:eastAsia="el"/>
          </w:rPr>
          <w:t>Τροποποίηση 5162/2024, Άρθρο 94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4" w:history="1">
        <w:r>
          <w:rPr>
            <w:rStyle w:val="Hyperlink"/>
            <w:color w:val="0000EE"/>
            <w:u w:color="0000EE"/>
            <w:lang w:val="el" w:eastAsia="el"/>
          </w:rPr>
          <w:t>Τροποποίηση 5162/2024, Άρθρο 94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2" w:history="1">
        <w:r>
          <w:rPr>
            <w:rStyle w:val="Hyperlink"/>
            <w:color w:val="0000EE"/>
            <w:u w:color="0000EE"/>
            <w:lang w:val="el" w:eastAsia="el"/>
          </w:rPr>
          <w:t>Τροποποίηση 5104/2024, Άρθρο 32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2" w:history="1">
        <w:r>
          <w:rPr>
            <w:rStyle w:val="Hyperlink"/>
            <w:color w:val="0000EE"/>
            <w:u w:color="0000EE"/>
            <w:lang w:val="el" w:eastAsia="el"/>
          </w:rPr>
          <w:t>Τροποποίηση 5104/2024, Άρθρο 32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2" w:history="1">
        <w:r>
          <w:rPr>
            <w:rStyle w:val="Hyperlink"/>
            <w:color w:val="0000EE"/>
            <w:u w:color="0000EE"/>
            <w:lang w:val="el" w:eastAsia="el"/>
          </w:rPr>
          <w:t>Τροποποίηση 5104/2024, Άρθρο 32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2" w:history="1">
        <w:r>
          <w:rPr>
            <w:rStyle w:val="Hyperlink"/>
            <w:color w:val="0000EE"/>
            <w:u w:color="0000EE"/>
            <w:lang w:val="el" w:eastAsia="el"/>
          </w:rPr>
          <w:t>Τροποποίηση 5104/2024, Άρθρο 32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2" w:history="1">
        <w:r>
          <w:rPr>
            <w:rStyle w:val="Hyperlink"/>
            <w:color w:val="0000EE"/>
            <w:u w:color="0000EE"/>
            <w:lang w:val="el" w:eastAsia="el"/>
          </w:rPr>
          <w:t>Τροποποίηση 5104/2024, Άρθρο 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2" w:history="1">
        <w:r>
          <w:rPr>
            <w:rStyle w:val="Hyperlink"/>
            <w:color w:val="0000EE"/>
            <w:u w:color="0000EE"/>
            <w:lang w:val="el" w:eastAsia="el"/>
          </w:rPr>
          <w:t>Τροποποίηση 5104/2024, Άρθρο 32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3" w:history="1">
        <w:r>
          <w:rPr>
            <w:rStyle w:val="Hyperlink"/>
            <w:color w:val="0000EE"/>
            <w:u w:color="0000EE"/>
            <w:lang w:val="el" w:eastAsia="el"/>
          </w:rPr>
          <w:t>Προσθήκη 4646/2019,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3" w:history="1">
        <w:r>
          <w:rPr>
            <w:rStyle w:val="Hyperlink"/>
            <w:color w:val="0000EE"/>
            <w:u w:color="0000EE"/>
            <w:lang w:val="el" w:eastAsia="el"/>
          </w:rPr>
          <w:t>Τροποποίηση 4646/2019,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3" w:history="1">
        <w:r>
          <w:rPr>
            <w:rStyle w:val="Hyperlink"/>
            <w:color w:val="0000EE"/>
            <w:u w:color="0000EE"/>
            <w:lang w:val="el" w:eastAsia="el"/>
          </w:rPr>
          <w:t>Προσθήκη 4646/2019, Άρθρο 43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3" w:history="1">
        <w:r>
          <w:rPr>
            <w:rStyle w:val="Hyperlink"/>
            <w:color w:val="0000EE"/>
            <w:u w:color="0000EE"/>
            <w:lang w:val="el" w:eastAsia="el"/>
          </w:rPr>
          <w:t>Τροποποίηση 4646/2019,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8" w:history="1">
        <w:r>
          <w:rPr>
            <w:rStyle w:val="Hyperlink"/>
            <w:color w:val="0000EE"/>
            <w:u w:color="0000EE"/>
            <w:lang w:val="el" w:eastAsia="el"/>
          </w:rPr>
          <w:t>Αφαίρεση 4172/2013, Άρθρο 88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r>
        <w:rPr>
          <w:lang w:val="el" w:eastAsia="el"/>
        </w:rPr>
        <w:t xml:space="preserve">; </w:t>
      </w:r>
      <w:hyperlink r:id="rId58" w:anchor="art_107" w:history="1">
        <w:r>
          <w:rPr>
            <w:rStyle w:val="Hyperlink"/>
            <w:color w:val="0000EE"/>
            <w:u w:color="0000EE"/>
            <w:lang w:val="el" w:eastAsia="el"/>
          </w:rPr>
          <w:t>Τροποποίηση 4316/2014, Άρθρο 107</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 w:history="1">
        <w:r>
          <w:rPr>
            <w:rStyle w:val="Hyperlink"/>
            <w:color w:val="0000EE"/>
            <w:u w:color="0000EE"/>
            <w:lang w:val="el" w:eastAsia="el"/>
          </w:rPr>
          <w:t>Αφαίρεση 5000/2022, Άρθρο 35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r>
        <w:rPr>
          <w:lang w:val="el" w:eastAsia="el"/>
        </w:rPr>
        <w:t xml:space="preserve">; </w:t>
      </w:r>
      <w:hyperlink r:id="rId63" w:anchor="art_85" w:history="1">
        <w:r>
          <w:rPr>
            <w:rStyle w:val="Hyperlink"/>
            <w:color w:val="0000EE"/>
            <w:u w:color="0000EE"/>
            <w:lang w:val="el" w:eastAsia="el"/>
          </w:rPr>
          <w:t>Τροποποίηση 4714/2020, Άρθρο 85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r>
        <w:rPr>
          <w:lang w:val="el" w:eastAsia="el"/>
        </w:rPr>
        <w:t xml:space="preserve">; </w:t>
      </w:r>
      <w:hyperlink r:id="rId65" w:anchor="art_85" w:history="1">
        <w:r>
          <w:rPr>
            <w:rStyle w:val="Hyperlink"/>
            <w:color w:val="0000EE"/>
            <w:u w:color="0000EE"/>
            <w:lang w:val="el" w:eastAsia="el"/>
          </w:rPr>
          <w:t>Τροποποίηση 4714/2020, Άρθρο 85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r>
        <w:rPr>
          <w:lang w:val="el" w:eastAsia="el"/>
        </w:rPr>
        <w:t xml:space="preserve">; </w:t>
      </w:r>
      <w:hyperlink r:id="rId71" w:anchor="art_132" w:history="1">
        <w:r>
          <w:rPr>
            <w:rStyle w:val="Hyperlink"/>
            <w:color w:val="0000EE"/>
            <w:u w:color="0000EE"/>
            <w:lang w:val="el" w:eastAsia="el"/>
          </w:rPr>
          <w:t>Προσθήκη 4537/2018, Άρθρο 132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5" w:history="1">
        <w:r>
          <w:rPr>
            <w:rStyle w:val="Hyperlink"/>
            <w:color w:val="0000EE"/>
            <w:u w:color="0000EE"/>
            <w:lang w:val="el" w:eastAsia="el"/>
          </w:rPr>
          <w:t>Αφαίρεση 5000/2022, Άρθρο 35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5" w:history="1">
        <w:r>
          <w:rPr>
            <w:rStyle w:val="Hyperlink"/>
            <w:color w:val="0000EE"/>
            <w:u w:color="0000EE"/>
            <w:lang w:val="el" w:eastAsia="el"/>
          </w:rPr>
          <w:t>Αφαίρεση 5000/2022, Άρθρο 35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r>
        <w:rPr>
          <w:lang w:val="el" w:eastAsia="el"/>
        </w:rPr>
        <w:t xml:space="preserve">; </w:t>
      </w:r>
      <w:hyperlink r:id="rId98" w:anchor="art_73" w:history="1">
        <w:r>
          <w:rPr>
            <w:rStyle w:val="Hyperlink"/>
            <w:color w:val="0000EE"/>
            <w:u w:color="0000EE"/>
            <w:lang w:val="el" w:eastAsia="el"/>
          </w:rPr>
          <w:t>Τροποποίηση 4170/2013, Άρθρο 73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5" w:history="1">
        <w:r>
          <w:rPr>
            <w:rStyle w:val="Hyperlink"/>
            <w:color w:val="0000EE"/>
            <w:u w:color="0000EE"/>
            <w:lang w:val="el" w:eastAsia="el"/>
          </w:rPr>
          <w:t>Αφαίρεση 5000/2022, Άρθρο 35</w:t>
        </w:r>
      </w:hyperlink>
      <w:r>
        <w:rPr>
          <w:lang w:val="el" w:eastAsia="el"/>
        </w:rPr>
        <w:t xml:space="preserve">; </w:t>
      </w:r>
      <w:hyperlink r:id="rId100" w:anchor="art_132" w:history="1">
        <w:r>
          <w:rPr>
            <w:rStyle w:val="Hyperlink"/>
            <w:color w:val="0000EE"/>
            <w:u w:color="0000EE"/>
            <w:lang w:val="el" w:eastAsia="el"/>
          </w:rPr>
          <w:t>Προσθήκη 4537/2018, Άρθρο 132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5" w:history="1">
        <w:r>
          <w:rPr>
            <w:rStyle w:val="Hyperlink"/>
            <w:color w:val="0000EE"/>
            <w:u w:color="0000EE"/>
            <w:lang w:val="el" w:eastAsia="el"/>
          </w:rPr>
          <w:t>Αφαίρεση 5000/2022, Άρθρο 35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5" w:history="1">
        <w:r>
          <w:rPr>
            <w:rStyle w:val="Hyperlink"/>
            <w:color w:val="0000EE"/>
            <w:u w:color="0000EE"/>
            <w:lang w:val="el" w:eastAsia="el"/>
          </w:rPr>
          <w:t>Αφαίρεση 5000/2022, Άρθρο 35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5" w:history="1">
        <w:r>
          <w:rPr>
            <w:rStyle w:val="Hyperlink"/>
            <w:color w:val="0000EE"/>
            <w:u w:color="0000EE"/>
            <w:lang w:val="el" w:eastAsia="el"/>
          </w:rPr>
          <w:t>Αφαίρεση 5000/2022, Άρθρο 35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5" w:history="1">
        <w:r>
          <w:rPr>
            <w:rStyle w:val="Hyperlink"/>
            <w:color w:val="0000EE"/>
            <w:u w:color="0000EE"/>
            <w:lang w:val="el" w:eastAsia="el"/>
          </w:rPr>
          <w:t>Αφαίρεση 5000/2022, Άρθρο 35</w:t>
        </w:r>
      </w:hyperlink>
      <w:r>
        <w:rPr>
          <w:lang w:val="el" w:eastAsia="el"/>
        </w:rPr>
        <w:t xml:space="preserve">; </w:t>
      </w:r>
      <w:hyperlink r:id="rId105" w:anchor="art_44" w:history="1">
        <w:r>
          <w:rPr>
            <w:rStyle w:val="Hyperlink"/>
            <w:color w:val="0000EE"/>
            <w:u w:color="0000EE"/>
            <w:lang w:val="el" w:eastAsia="el"/>
          </w:rPr>
          <w:t>Προσθήκη 4438/2016,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5" w:history="1">
        <w:r>
          <w:rPr>
            <w:rStyle w:val="Hyperlink"/>
            <w:color w:val="0000EE"/>
            <w:u w:color="0000EE"/>
            <w:lang w:val="el" w:eastAsia="el"/>
          </w:rPr>
          <w:t>Αφαίρεση 5000/2022, Άρθρο 35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5" w:history="1">
        <w:r>
          <w:rPr>
            <w:rStyle w:val="Hyperlink"/>
            <w:color w:val="0000EE"/>
            <w:u w:color="0000EE"/>
            <w:lang w:val="el" w:eastAsia="el"/>
          </w:rPr>
          <w:t>Αφαίρεση 5000/2022, Άρθρο 35</w:t>
        </w:r>
      </w:hyperlink>
      <w:r>
        <w:rPr>
          <w:lang w:val="el" w:eastAsia="el"/>
        </w:rPr>
        <w:t xml:space="preserve">; </w:t>
      </w:r>
      <w:hyperlink r:id="rId108" w:anchor="art_44" w:history="1">
        <w:r>
          <w:rPr>
            <w:rStyle w:val="Hyperlink"/>
            <w:color w:val="0000EE"/>
            <w:u w:color="0000EE"/>
            <w:lang w:val="el" w:eastAsia="el"/>
          </w:rPr>
          <w:t>Τροποποίηση 4438/2016, Άρθρο 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9" w:history="1">
        <w:r>
          <w:rPr>
            <w:rStyle w:val="Hyperlink"/>
            <w:color w:val="0000EE"/>
            <w:u w:color="0000EE"/>
            <w:lang w:val="el" w:eastAsia="el"/>
          </w:rPr>
          <w:t>Τροποποίηση 4778/2021, Άρθρο 29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9" w:history="1">
        <w:r>
          <w:rPr>
            <w:rStyle w:val="Hyperlink"/>
            <w:color w:val="0000EE"/>
            <w:u w:color="0000EE"/>
            <w:lang w:val="el" w:eastAsia="el"/>
          </w:rPr>
          <w:t>Τροποποίηση 4778/2021, Άρθρο 29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9" w:history="1">
        <w:r>
          <w:rPr>
            <w:rStyle w:val="Hyperlink"/>
            <w:color w:val="0000EE"/>
            <w:u w:color="0000EE"/>
            <w:lang w:val="el" w:eastAsia="el"/>
          </w:rPr>
          <w:t>Τροποποίηση 4778/2021, Άρθρο 29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9" w:history="1">
        <w:r>
          <w:rPr>
            <w:rStyle w:val="Hyperlink"/>
            <w:color w:val="0000EE"/>
            <w:u w:color="0000EE"/>
            <w:lang w:val="el" w:eastAsia="el"/>
          </w:rPr>
          <w:t>Τροποποίηση 4778/2021, Άρθρο 29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9" w:history="1">
        <w:r>
          <w:rPr>
            <w:rStyle w:val="Hyperlink"/>
            <w:color w:val="0000EE"/>
            <w:u w:color="0000EE"/>
            <w:lang w:val="el" w:eastAsia="el"/>
          </w:rPr>
          <w:t>Τροποποίηση 4778/2021, Άρθρο 29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9" w:history="1">
        <w:r>
          <w:rPr>
            <w:rStyle w:val="Hyperlink"/>
            <w:color w:val="0000EE"/>
            <w:u w:color="0000EE"/>
            <w:lang w:val="el" w:eastAsia="el"/>
          </w:rPr>
          <w:t>Τροποποίηση 4778/2021, Άρθρο 29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9" w:history="1">
        <w:r>
          <w:rPr>
            <w:rStyle w:val="Hyperlink"/>
            <w:color w:val="0000EE"/>
            <w:u w:color="0000EE"/>
            <w:lang w:val="el" w:eastAsia="el"/>
          </w:rPr>
          <w:t>Τροποποίηση 4778/2021, Άρθρο 29</w:t>
        </w:r>
      </w:hyperlink>
      <w:r>
        <w:rPr>
          <w:lang w:val="el" w:eastAsia="el"/>
        </w:rPr>
        <w:t xml:space="preserve">; </w:t>
      </w:r>
      <w:hyperlink r:id="rId156" w:anchor="art_1" w:history="1">
        <w:r>
          <w:rPr>
            <w:rStyle w:val="Hyperlink"/>
            <w:color w:val="0000EE"/>
            <w:u w:color="0000EE"/>
            <w:lang w:val="el" w:eastAsia="el"/>
          </w:rPr>
          <w:t>Τροποποίηση 4254/2014, Άρθρο 1</w:t>
        </w:r>
      </w:hyperlink>
      <w:r>
        <w:rPr>
          <w:lang w:val="el" w:eastAsia="el"/>
        </w:rPr>
        <w:t xml:space="preserve">; </w:t>
      </w:r>
      <w:hyperlink r:id="rId157" w:anchor="art_38" w:history="1">
        <w:r>
          <w:rPr>
            <w:rStyle w:val="Hyperlink"/>
            <w:color w:val="0000EE"/>
            <w:u w:color="0000EE"/>
            <w:lang w:val="el" w:eastAsia="el"/>
          </w:rPr>
          <w:t>Προσθήκη 4223/2013, Άρθρο 38</w:t>
        </w:r>
      </w:hyperlink>
      <w:r>
        <w:rPr>
          <w:lang w:val="el" w:eastAsia="el"/>
        </w:rPr>
        <w:t xml:space="preserve">; </w:t>
      </w:r>
      <w:hyperlink r:id="rId158" w:anchor="art_38" w:history="1">
        <w:r>
          <w:rPr>
            <w:rStyle w:val="Hyperlink"/>
            <w:color w:val="0000EE"/>
            <w:u w:color="0000EE"/>
            <w:lang w:val="el" w:eastAsia="el"/>
          </w:rPr>
          <w:t>Τροποποίηση 4223/2013, Άρθρο 38</w:t>
        </w:r>
      </w:hyperlink>
      <w:r>
        <w:rPr>
          <w:lang w:val="el" w:eastAsia="el"/>
        </w:rPr>
        <w:t xml:space="preserve">; </w:t>
      </w:r>
      <w:hyperlink r:id="rId159" w:anchor="art_73" w:history="1">
        <w:r>
          <w:rPr>
            <w:rStyle w:val="Hyperlink"/>
            <w:color w:val="0000EE"/>
            <w:u w:color="0000EE"/>
            <w:lang w:val="el" w:eastAsia="el"/>
          </w:rPr>
          <w:t>Τροποποίηση 4170/2013, Άρθρο 73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Αφαίρεση 4254/2014, Άρθρο 1</w:t>
        </w:r>
      </w:hyperlink>
      <w:r>
        <w:rPr>
          <w:lang w:val="el" w:eastAsia="el"/>
        </w:rPr>
        <w:t xml:space="preserve">; </w:t>
      </w:r>
      <w:hyperlink r:id="rId161" w:anchor="art_38" w:history="1">
        <w:r>
          <w:rPr>
            <w:rStyle w:val="Hyperlink"/>
            <w:color w:val="0000EE"/>
            <w:u w:color="0000EE"/>
            <w:lang w:val="el" w:eastAsia="el"/>
          </w:rPr>
          <w:t>Τροποποίηση 4223/2013, Άρθρο 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Αφαίρεση 4254/2014, Άρθρο 1</w:t>
        </w:r>
      </w:hyperlink>
      <w:r>
        <w:rPr>
          <w:lang w:val="el" w:eastAsia="el"/>
        </w:rPr>
        <w:t xml:space="preserve">; </w:t>
      </w:r>
      <w:hyperlink r:id="rId163" w:anchor="art_38" w:history="1">
        <w:r>
          <w:rPr>
            <w:rStyle w:val="Hyperlink"/>
            <w:color w:val="0000EE"/>
            <w:u w:color="0000EE"/>
            <w:lang w:val="el" w:eastAsia="el"/>
          </w:rPr>
          <w:t>Τροποποίηση 4223/2013, Άρθρο 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Αφαίρεση 4254/2014, Άρθρο 1</w:t>
        </w:r>
      </w:hyperlink>
      <w:r>
        <w:rPr>
          <w:lang w:val="el" w:eastAsia="el"/>
        </w:rPr>
        <w:t xml:space="preserve">; </w:t>
      </w:r>
      <w:hyperlink r:id="rId165" w:anchor="art_38" w:history="1">
        <w:r>
          <w:rPr>
            <w:rStyle w:val="Hyperlink"/>
            <w:color w:val="0000EE"/>
            <w:u w:color="0000EE"/>
            <w:lang w:val="el" w:eastAsia="el"/>
          </w:rPr>
          <w:t>Αφαίρεση 4223/2013, Άρθρο 38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r>
        <w:rPr>
          <w:lang w:val="el" w:eastAsia="el"/>
        </w:rPr>
        <w:t xml:space="preserve">; </w:t>
      </w:r>
      <w:hyperlink r:id="rId172" w:anchor="art_38" w:history="1">
        <w:r>
          <w:rPr>
            <w:rStyle w:val="Hyperlink"/>
            <w:color w:val="0000EE"/>
            <w:u w:color="0000EE"/>
            <w:lang w:val="el" w:eastAsia="el"/>
          </w:rPr>
          <w:t>Αφαίρεση 4223/2013, Άρθρο 38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8" w:history="1">
        <w:r>
          <w:rPr>
            <w:rStyle w:val="Hyperlink"/>
            <w:color w:val="0000EE"/>
            <w:u w:color="0000EE"/>
            <w:lang w:val="el" w:eastAsia="el"/>
          </w:rPr>
          <w:t>Τροποποίηση 4223/2013, Άρθρο 38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9" w:history="1">
        <w:r>
          <w:rPr>
            <w:rStyle w:val="Hyperlink"/>
            <w:color w:val="0000EE"/>
            <w:u w:color="0000EE"/>
            <w:lang w:val="el" w:eastAsia="el"/>
          </w:rPr>
          <w:t>Τροποποίηση 4778/2021, Άρθρο 29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9" w:history="1">
        <w:r>
          <w:rPr>
            <w:rStyle w:val="Hyperlink"/>
            <w:color w:val="0000EE"/>
            <w:u w:color="0000EE"/>
            <w:lang w:val="el" w:eastAsia="el"/>
          </w:rPr>
          <w:t>Τροποποίηση 4778/2021, Άρθρο 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9" w:history="1">
        <w:r>
          <w:rPr>
            <w:rStyle w:val="Hyperlink"/>
            <w:color w:val="0000EE"/>
            <w:u w:color="0000EE"/>
            <w:lang w:val="el" w:eastAsia="el"/>
          </w:rPr>
          <w:t>Τροποποίηση 4778/2021, Άρθρο 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9" w:history="1">
        <w:r>
          <w:rPr>
            <w:rStyle w:val="Hyperlink"/>
            <w:color w:val="0000EE"/>
            <w:u w:color="0000EE"/>
            <w:lang w:val="el" w:eastAsia="el"/>
          </w:rPr>
          <w:t>Τροποποίηση 4778/2021, Άρθρο 29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9" w:history="1">
        <w:r>
          <w:rPr>
            <w:rStyle w:val="Hyperlink"/>
            <w:color w:val="0000EE"/>
            <w:u w:color="0000EE"/>
            <w:lang w:val="el" w:eastAsia="el"/>
          </w:rPr>
          <w:t>Τροποποίηση 4778/2021, Άρθρο 29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9" w:history="1">
        <w:r>
          <w:rPr>
            <w:rStyle w:val="Hyperlink"/>
            <w:color w:val="0000EE"/>
            <w:u w:color="0000EE"/>
            <w:lang w:val="el" w:eastAsia="el"/>
          </w:rPr>
          <w:t>Τροποποίηση 4778/2021, Άρθρο 29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9" w:history="1">
        <w:r>
          <w:rPr>
            <w:rStyle w:val="Hyperlink"/>
            <w:color w:val="0000EE"/>
            <w:u w:color="0000EE"/>
            <w:lang w:val="el" w:eastAsia="el"/>
          </w:rPr>
          <w:t>Τροποποίηση 4778/2021, Άρθρο 29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9" w:history="1">
        <w:r>
          <w:rPr>
            <w:rStyle w:val="Hyperlink"/>
            <w:color w:val="0000EE"/>
            <w:u w:color="0000EE"/>
            <w:lang w:val="el" w:eastAsia="el"/>
          </w:rPr>
          <w:t>Τροποποίηση 4778/2021, Άρθρο 29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9" w:history="1">
        <w:r>
          <w:rPr>
            <w:rStyle w:val="Hyperlink"/>
            <w:color w:val="0000EE"/>
            <w:u w:color="0000EE"/>
            <w:lang w:val="el" w:eastAsia="el"/>
          </w:rPr>
          <w:t>Τροποποίηση 4778/2021, Άρθρο 29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9" w:history="1">
        <w:r>
          <w:rPr>
            <w:rStyle w:val="Hyperlink"/>
            <w:color w:val="0000EE"/>
            <w:u w:color="0000EE"/>
            <w:lang w:val="el" w:eastAsia="el"/>
          </w:rPr>
          <w:t>Τροποποίηση 4778/2021, Άρθρο 29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99" w:history="1">
        <w:r>
          <w:rPr>
            <w:rStyle w:val="Hyperlink"/>
            <w:color w:val="0000EE"/>
            <w:u w:color="0000EE"/>
            <w:lang w:val="el" w:eastAsia="el"/>
          </w:rPr>
          <w:t>Αφαίρεση 4281/2014, Άρθρο 199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73" w:history="1">
        <w:r>
          <w:rPr>
            <w:rStyle w:val="Hyperlink"/>
            <w:color w:val="0000EE"/>
            <w:u w:color="0000EE"/>
            <w:lang w:val="el" w:eastAsia="el"/>
          </w:rPr>
          <w:t>Προσθήκη 4170/2013, Άρθρο 73</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97" w:anchor="art_27" w:history="1">
        <w:r>
          <w:rPr>
            <w:rStyle w:val="Hyperlink"/>
            <w:color w:val="0000EE"/>
            <w:u w:color="0000EE"/>
            <w:lang w:val="el" w:eastAsia="el"/>
          </w:rPr>
          <w:t>Τροποποίηση 4441/2016, Άρθρο 27</w:t>
        </w:r>
      </w:hyperlink>
      <w:r>
        <w:rPr>
          <w:lang w:val="el" w:eastAsia="el"/>
        </w:rPr>
        <w:t xml:space="preserve">; </w:t>
      </w:r>
      <w:hyperlink r:id="rId198" w:anchor="art_47" w:history="1">
        <w:r>
          <w:rPr>
            <w:rStyle w:val="Hyperlink"/>
            <w:color w:val="0000EE"/>
            <w:u w:color="0000EE"/>
            <w:lang w:val="el" w:eastAsia="el"/>
          </w:rPr>
          <w:t>Τροποποίηση 4384/2016, Άρθρο 47</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2" w:history="1">
        <w:r>
          <w:rPr>
            <w:rStyle w:val="Hyperlink"/>
            <w:color w:val="0000EE"/>
            <w:u w:color="0000EE"/>
            <w:lang w:val="el" w:eastAsia="el"/>
          </w:rPr>
          <w:t>Τροποποίηση 5102/2024, Άρθρο 32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0" w:history="1">
        <w:r>
          <w:rPr>
            <w:rStyle w:val="Hyperlink"/>
            <w:color w:val="0000EE"/>
            <w:u w:color="0000EE"/>
            <w:lang w:val="el" w:eastAsia="el"/>
          </w:rPr>
          <w:t>Αφαίρεση 4264/2014,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0" w:history="1">
        <w:r>
          <w:rPr>
            <w:rStyle w:val="Hyperlink"/>
            <w:color w:val="0000EE"/>
            <w:u w:color="0000EE"/>
            <w:lang w:val="el" w:eastAsia="el"/>
          </w:rPr>
          <w:t>Αφαίρεση 4264/2014,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0" w:history="1">
        <w:r>
          <w:rPr>
            <w:rStyle w:val="Hyperlink"/>
            <w:color w:val="0000EE"/>
            <w:u w:color="0000EE"/>
            <w:lang w:val="el" w:eastAsia="el"/>
          </w:rPr>
          <w:t>Αφαίρεση 4264/2014, Άρθρο 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8" w:history="1">
        <w:r>
          <w:rPr>
            <w:rStyle w:val="Hyperlink"/>
            <w:color w:val="0000EE"/>
            <w:u w:color="0000EE"/>
            <w:lang w:val="el" w:eastAsia="el"/>
          </w:rPr>
          <w:t>Αφαίρεση 4951/2022, Άρθρο 58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8" w:history="1">
        <w:r>
          <w:rPr>
            <w:rStyle w:val="Hyperlink"/>
            <w:color w:val="0000EE"/>
            <w:u w:color="0000EE"/>
            <w:lang w:val="el" w:eastAsia="el"/>
          </w:rPr>
          <w:t>Αφαίρεση 4951/2022, Άρθρο 58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8" w:history="1">
        <w:r>
          <w:rPr>
            <w:rStyle w:val="Hyperlink"/>
            <w:color w:val="0000EE"/>
            <w:u w:color="0000EE"/>
            <w:lang w:val="el" w:eastAsia="el"/>
          </w:rPr>
          <w:t>Αφαίρεση 4951/2022, Άρθρο 58</w:t>
        </w:r>
      </w:hyperlink>
      <w:r>
        <w:rPr>
          <w:lang w:val="el" w:eastAsia="el"/>
        </w:rPr>
        <w:t xml:space="preserve">; </w:t>
      </w:r>
      <w:hyperlink r:id="rId206" w:anchor="art_39" w:history="1">
        <w:r>
          <w:rPr>
            <w:rStyle w:val="Hyperlink"/>
            <w:color w:val="0000EE"/>
            <w:u w:color="0000EE"/>
            <w:lang w:val="el" w:eastAsia="el"/>
          </w:rPr>
          <w:t>Προσθήκη 4409/2016, Άρθρο 39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8" w:history="1">
        <w:r>
          <w:rPr>
            <w:rStyle w:val="Hyperlink"/>
            <w:color w:val="0000EE"/>
            <w:u w:color="0000EE"/>
            <w:lang w:val="el" w:eastAsia="el"/>
          </w:rPr>
          <w:t>Αφαίρεση 4951/2022, Άρθρο 58</w:t>
        </w:r>
      </w:hyperlink>
      <w:r>
        <w:rPr>
          <w:lang w:val="el" w:eastAsia="el"/>
        </w:rPr>
        <w:t xml:space="preserve">; </w:t>
      </w:r>
      <w:hyperlink r:id="rId208" w:anchor="art_34" w:history="1">
        <w:r>
          <w:rPr>
            <w:rStyle w:val="Hyperlink"/>
            <w:color w:val="0000EE"/>
            <w:u w:color="0000EE"/>
            <w:lang w:val="el" w:eastAsia="el"/>
          </w:rPr>
          <w:t>Τροποποίηση 4342/2015, Άρθρο 34</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8" w:history="1">
        <w:r>
          <w:rPr>
            <w:rStyle w:val="Hyperlink"/>
            <w:color w:val="0000EE"/>
            <w:u w:color="0000EE"/>
            <w:lang w:val="el" w:eastAsia="el"/>
          </w:rPr>
          <w:t>Αφαίρεση 4951/2022, Άρθρο 58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8" w:history="1">
        <w:r>
          <w:rPr>
            <w:rStyle w:val="Hyperlink"/>
            <w:color w:val="0000EE"/>
            <w:u w:color="0000EE"/>
            <w:lang w:val="el" w:eastAsia="el"/>
          </w:rPr>
          <w:t>Αφαίρεση 4951/2022, Άρθρο 58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8" w:history="1">
        <w:r>
          <w:rPr>
            <w:rStyle w:val="Hyperlink"/>
            <w:color w:val="0000EE"/>
            <w:u w:color="0000EE"/>
            <w:lang w:val="el" w:eastAsia="el"/>
          </w:rPr>
          <w:t>Αφαίρεση 4951/2022, Άρθρο 58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8" w:history="1">
        <w:r>
          <w:rPr>
            <w:rStyle w:val="Hyperlink"/>
            <w:color w:val="0000EE"/>
            <w:u w:color="0000EE"/>
            <w:lang w:val="el" w:eastAsia="el"/>
          </w:rPr>
          <w:t>Αφαίρεση 4951/2022, Άρθρο 58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0" w:history="1">
        <w:r>
          <w:rPr>
            <w:rStyle w:val="Hyperlink"/>
            <w:color w:val="0000EE"/>
            <w:u w:color="0000EE"/>
            <w:lang w:val="el" w:eastAsia="el"/>
          </w:rPr>
          <w:t>Τροποποίηση 4203/2013, Άρθρο 20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r>
        <w:rPr>
          <w:lang w:val="el" w:eastAsia="el"/>
        </w:rPr>
        <w:t xml:space="preserve">; </w:t>
      </w:r>
      <w:hyperlink r:id="rId220" w:anchor="art_20" w:history="1">
        <w:r>
          <w:rPr>
            <w:rStyle w:val="Hyperlink"/>
            <w:color w:val="0000EE"/>
            <w:u w:color="0000EE"/>
            <w:lang w:val="el" w:eastAsia="el"/>
          </w:rPr>
          <w:t>Τροποποίηση 4203/2013, Άρθρο 20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4342/2015,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4342/2015, Άρθρο 27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4342/2015,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4342/2015,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4342/2015, Άρθρο 27</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4342/2015, Άρθρο 27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4342/2015, Άρθρο 27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4342/2015, Άρθρο 27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4342/2015, Άρθρο 27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4342/2015, Άρθρο 27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32"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33" w:anchor="art_27" w:history="1">
        <w:r>
          <w:rPr>
            <w:rStyle w:val="Hyperlink"/>
            <w:color w:val="0000EE"/>
            <w:u w:color="0000EE"/>
            <w:lang w:val="el" w:eastAsia="el"/>
          </w:rPr>
          <w:t>Τροποποίηση 4342/2015, Άρθρο 27</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0" w:history="1">
        <w:r>
          <w:rPr>
            <w:rStyle w:val="Hyperlink"/>
            <w:color w:val="0000EE"/>
            <w:u w:color="0000EE"/>
            <w:lang w:val="el" w:eastAsia="el"/>
          </w:rPr>
          <w:t>Τροποποίηση 4203/2013,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6" w:history="1">
        <w:r>
          <w:rPr>
            <w:rStyle w:val="Hyperlink"/>
            <w:color w:val="0000EE"/>
            <w:u w:color="0000EE"/>
            <w:lang w:val="el" w:eastAsia="el"/>
          </w:rPr>
          <w:t>Τροποποίηση 4296/2014, Άρθρο 6</w:t>
        </w:r>
      </w:hyperlink>
      <w:r>
        <w:rPr>
          <w:lang w:val="el" w:eastAsia="el"/>
        </w:rPr>
        <w:t xml:space="preserve">; </w:t>
      </w:r>
      <w:hyperlink r:id="rId236" w:anchor="art_20" w:history="1">
        <w:r>
          <w:rPr>
            <w:rStyle w:val="Hyperlink"/>
            <w:color w:val="0000EE"/>
            <w:u w:color="0000EE"/>
            <w:lang w:val="el" w:eastAsia="el"/>
          </w:rPr>
          <w:t>Τροποποίηση 4203/2013,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0" w:history="1">
        <w:r>
          <w:rPr>
            <w:rStyle w:val="Hyperlink"/>
            <w:color w:val="0000EE"/>
            <w:u w:color="0000EE"/>
            <w:lang w:val="el" w:eastAsia="el"/>
          </w:rPr>
          <w:t>Τροποποίηση 4203/2013, Άρθρο 20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8" w:history="1">
        <w:r>
          <w:rPr>
            <w:rStyle w:val="Hyperlink"/>
            <w:color w:val="0000EE"/>
            <w:u w:color="0000EE"/>
            <w:lang w:val="el" w:eastAsia="el"/>
          </w:rPr>
          <w:t>Προσθήκη 4203/2013, Άρθρο 28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9" w:anchor="art_12" w:history="1">
        <w:r>
          <w:rPr>
            <w:rStyle w:val="Hyperlink"/>
            <w:color w:val="0000EE"/>
            <w:u w:color="0000EE"/>
            <w:lang w:val="el" w:eastAsia="el"/>
          </w:rPr>
          <w:t>Αφαίρεση 4225/2014, Άρθρο 12</w:t>
        </w:r>
      </w:hyperlink>
      <w:r>
        <w:rPr>
          <w:lang w:val="el" w:eastAsia="el"/>
        </w:rPr>
        <w:t xml:space="preserve">; </w:t>
      </w:r>
      <w:hyperlink r:id="rId240"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1" w:anchor="art_2" w:history="1">
        <w:r>
          <w:rPr>
            <w:rStyle w:val="Hyperlink"/>
            <w:color w:val="0000EE"/>
            <w:u w:color="0000EE"/>
            <w:lang w:val="el" w:eastAsia="el"/>
          </w:rPr>
          <w:t>Αφαίρεση 4336/2015, Άρθρο 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2" w:anchor="art_2" w:history="1">
        <w:r>
          <w:rPr>
            <w:rStyle w:val="Hyperlink"/>
            <w:color w:val="0000EE"/>
            <w:u w:color="0000EE"/>
            <w:lang w:val="el" w:eastAsia="el"/>
          </w:rPr>
          <w:t>Προσθήκη 4336/2015, Άρθρο 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3" w:anchor="art_2" w:history="1">
        <w:r>
          <w:rPr>
            <w:rStyle w:val="Hyperlink"/>
            <w:color w:val="0000EE"/>
            <w:u w:color="0000EE"/>
            <w:lang w:val="el" w:eastAsia="el"/>
          </w:rPr>
          <w:t>Προσθήκη 4336/2015, Άρθρο 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44" w:anchor="art_2" w:history="1">
        <w:r>
          <w:rPr>
            <w:rStyle w:val="Hyperlink"/>
            <w:color w:val="0000EE"/>
            <w:u w:color="0000EE"/>
            <w:lang w:val="el" w:eastAsia="el"/>
          </w:rPr>
          <w:t>Τροποποίηση 4336/2015, Άρθρο 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2" w:history="1">
        <w:r>
          <w:rPr>
            <w:rStyle w:val="Hyperlink"/>
            <w:color w:val="0000EE"/>
            <w:u w:color="0000EE"/>
            <w:lang w:val="el" w:eastAsia="el"/>
          </w:rPr>
          <w:t>Τροποποίηση 4225/2014, Άρθρο 12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5" w:history="1">
        <w:r>
          <w:rPr>
            <w:rStyle w:val="Hyperlink"/>
            <w:color w:val="0000EE"/>
            <w:u w:color="0000EE"/>
            <w:lang w:val="el" w:eastAsia="el"/>
          </w:rPr>
          <w:t>Αφαίρεση 4320/2015, Άρθρο 15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5" w:history="1">
        <w:r>
          <w:rPr>
            <w:rStyle w:val="Hyperlink"/>
            <w:color w:val="0000EE"/>
            <w:u w:color="0000EE"/>
            <w:lang w:val="el" w:eastAsia="el"/>
          </w:rPr>
          <w:t>Αφαίρεση 4320/2015, Άρθρο 15</w:t>
        </w:r>
      </w:hyperlink>
      <w:r>
        <w:rPr>
          <w:lang w:val="el" w:eastAsia="el"/>
        </w:rPr>
        <w:t xml:space="preserve">; </w:t>
      </w:r>
      <w:hyperlink r:id="rId252" w:anchor="art_69" w:history="1">
        <w:r>
          <w:rPr>
            <w:rStyle w:val="Hyperlink"/>
            <w:color w:val="0000EE"/>
            <w:u w:color="0000EE"/>
            <w:lang w:val="el" w:eastAsia="el"/>
          </w:rPr>
          <w:t>Προσθήκη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5" w:history="1">
        <w:r>
          <w:rPr>
            <w:rStyle w:val="Hyperlink"/>
            <w:color w:val="0000EE"/>
            <w:u w:color="0000EE"/>
            <w:lang w:val="el" w:eastAsia="el"/>
          </w:rPr>
          <w:t>Αφαίρεση 4320/2015, Άρθρο 15</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5" w:history="1">
        <w:r>
          <w:rPr>
            <w:rStyle w:val="Hyperlink"/>
            <w:color w:val="0000EE"/>
            <w:u w:color="0000EE"/>
            <w:lang w:val="el" w:eastAsia="el"/>
          </w:rPr>
          <w:t>Αφαίρεση 4320/2015, Άρθρο 15</w:t>
        </w:r>
      </w:hyperlink>
      <w:r>
        <w:rPr>
          <w:lang w:val="el" w:eastAsia="el"/>
        </w:rPr>
        <w:t xml:space="preserve">; </w:t>
      </w:r>
      <w:hyperlink r:id="rId258"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5" w:history="1">
        <w:r>
          <w:rPr>
            <w:rStyle w:val="Hyperlink"/>
            <w:color w:val="0000EE"/>
            <w:u w:color="0000EE"/>
            <w:lang w:val="el" w:eastAsia="el"/>
          </w:rPr>
          <w:t>Αφαίρεση 4320/2015, Άρθρο 15</w:t>
        </w:r>
      </w:hyperlink>
      <w:r>
        <w:rPr>
          <w:lang w:val="el" w:eastAsia="el"/>
        </w:rPr>
        <w:t xml:space="preserve">; </w:t>
      </w:r>
      <w:hyperlink r:id="rId260"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5" w:history="1">
        <w:r>
          <w:rPr>
            <w:rStyle w:val="Hyperlink"/>
            <w:color w:val="0000EE"/>
            <w:u w:color="0000EE"/>
            <w:lang w:val="el" w:eastAsia="el"/>
          </w:rPr>
          <w:t>Αφαίρεση 4320/2015, Άρθρο 15</w:t>
        </w:r>
      </w:hyperlink>
      <w:r>
        <w:rPr>
          <w:lang w:val="el" w:eastAsia="el"/>
        </w:rPr>
        <w:t xml:space="preserve">; </w:t>
      </w:r>
      <w:hyperlink r:id="rId262"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5" w:history="1">
        <w:r>
          <w:rPr>
            <w:rStyle w:val="Hyperlink"/>
            <w:color w:val="0000EE"/>
            <w:u w:color="0000EE"/>
            <w:lang w:val="el" w:eastAsia="el"/>
          </w:rPr>
          <w:t>Αφαίρεση 4320/2015, Άρθρο 15</w:t>
        </w:r>
      </w:hyperlink>
      <w:r>
        <w:rPr>
          <w:lang w:val="el" w:eastAsia="el"/>
        </w:rPr>
        <w:t xml:space="preserve">; </w:t>
      </w:r>
      <w:hyperlink r:id="rId264"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5" w:history="1">
        <w:r>
          <w:rPr>
            <w:rStyle w:val="Hyperlink"/>
            <w:color w:val="0000EE"/>
            <w:u w:color="0000EE"/>
            <w:lang w:val="el" w:eastAsia="el"/>
          </w:rPr>
          <w:t>Αφαίρεση 4320/2015, Άρθρο 15</w:t>
        </w:r>
      </w:hyperlink>
      <w:r>
        <w:rPr>
          <w:lang w:val="el" w:eastAsia="el"/>
        </w:rPr>
        <w:t xml:space="preserve">; </w:t>
      </w:r>
      <w:hyperlink r:id="rId266"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5" w:history="1">
        <w:r>
          <w:rPr>
            <w:rStyle w:val="Hyperlink"/>
            <w:color w:val="0000EE"/>
            <w:u w:color="0000EE"/>
            <w:lang w:val="el" w:eastAsia="el"/>
          </w:rPr>
          <w:t>Αφαίρεση 4320/2015, Άρθρο 15</w:t>
        </w:r>
      </w:hyperlink>
      <w:r>
        <w:rPr>
          <w:lang w:val="el" w:eastAsia="el"/>
        </w:rPr>
        <w:t xml:space="preserve">; </w:t>
      </w:r>
      <w:hyperlink r:id="rId268"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5" w:history="1">
        <w:r>
          <w:rPr>
            <w:rStyle w:val="Hyperlink"/>
            <w:color w:val="0000EE"/>
            <w:u w:color="0000EE"/>
            <w:lang w:val="el" w:eastAsia="el"/>
          </w:rPr>
          <w:t>Αφαίρεση 4320/2015, Άρθρο 15</w:t>
        </w:r>
      </w:hyperlink>
      <w:r>
        <w:rPr>
          <w:lang w:val="el" w:eastAsia="el"/>
        </w:rPr>
        <w:t xml:space="preserve">; </w:t>
      </w:r>
      <w:hyperlink r:id="rId270"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5" w:history="1">
        <w:r>
          <w:rPr>
            <w:rStyle w:val="Hyperlink"/>
            <w:color w:val="0000EE"/>
            <w:u w:color="0000EE"/>
            <w:lang w:val="el" w:eastAsia="el"/>
          </w:rPr>
          <w:t>Αφαίρεση 4320/2015, Άρθρο 15</w:t>
        </w:r>
      </w:hyperlink>
      <w:r>
        <w:rPr>
          <w:lang w:val="el" w:eastAsia="el"/>
        </w:rPr>
        <w:t xml:space="preserve">; </w:t>
      </w:r>
      <w:hyperlink r:id="rId272"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5" w:history="1">
        <w:r>
          <w:rPr>
            <w:rStyle w:val="Hyperlink"/>
            <w:color w:val="0000EE"/>
            <w:u w:color="0000EE"/>
            <w:lang w:val="el" w:eastAsia="el"/>
          </w:rPr>
          <w:t>Αφαίρεση 4320/2015, Άρθρο 15</w:t>
        </w:r>
      </w:hyperlink>
      <w:r>
        <w:rPr>
          <w:lang w:val="el" w:eastAsia="el"/>
        </w:rPr>
        <w:t xml:space="preserve">; </w:t>
      </w:r>
      <w:hyperlink r:id="rId274"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5" w:history="1">
        <w:r>
          <w:rPr>
            <w:rStyle w:val="Hyperlink"/>
            <w:color w:val="0000EE"/>
            <w:u w:color="0000EE"/>
            <w:lang w:val="el" w:eastAsia="el"/>
          </w:rPr>
          <w:t>Αφαίρεση 4320/2015, Άρθρο 15</w:t>
        </w:r>
      </w:hyperlink>
      <w:r>
        <w:rPr>
          <w:lang w:val="el" w:eastAsia="el"/>
        </w:rPr>
        <w:t xml:space="preserve">; </w:t>
      </w:r>
      <w:hyperlink r:id="rId276"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5" w:history="1">
        <w:r>
          <w:rPr>
            <w:rStyle w:val="Hyperlink"/>
            <w:color w:val="0000EE"/>
            <w:u w:color="0000EE"/>
            <w:lang w:val="el" w:eastAsia="el"/>
          </w:rPr>
          <w:t>Αφαίρεση 4320/2015, Άρθρο 15</w:t>
        </w:r>
      </w:hyperlink>
      <w:r>
        <w:rPr>
          <w:lang w:val="el" w:eastAsia="el"/>
        </w:rPr>
        <w:t xml:space="preserve">; </w:t>
      </w:r>
      <w:hyperlink r:id="rId278"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5" w:history="1">
        <w:r>
          <w:rPr>
            <w:rStyle w:val="Hyperlink"/>
            <w:color w:val="0000EE"/>
            <w:u w:color="0000EE"/>
            <w:lang w:val="el" w:eastAsia="el"/>
          </w:rPr>
          <w:t>Αφαίρεση 4320/2015, Άρθρο 15</w:t>
        </w:r>
      </w:hyperlink>
      <w:r>
        <w:rPr>
          <w:lang w:val="el" w:eastAsia="el"/>
        </w:rPr>
        <w:t xml:space="preserve">; </w:t>
      </w:r>
      <w:hyperlink r:id="rId280" w:anchor="art_69" w:history="1">
        <w:r>
          <w:rPr>
            <w:rStyle w:val="Hyperlink"/>
            <w:color w:val="0000EE"/>
            <w:u w:color="0000EE"/>
            <w:lang w:val="el" w:eastAsia="el"/>
          </w:rPr>
          <w:t>Τροποποίηση 4316/2014, Άρθρο 69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5" w:history="1">
        <w:r>
          <w:rPr>
            <w:rStyle w:val="Hyperlink"/>
            <w:color w:val="0000EE"/>
            <w:u w:color="0000EE"/>
            <w:lang w:val="el" w:eastAsia="el"/>
          </w:rPr>
          <w:t>Αφαίρεση 4320/2015, Άρθρο 15</w:t>
        </w:r>
      </w:hyperlink>
      <w:r>
        <w:rPr>
          <w:lang w:val="el" w:eastAsia="el"/>
        </w:rPr>
        <w:t xml:space="preserve">; </w:t>
      </w:r>
      <w:hyperlink r:id="rId282"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5" w:history="1">
        <w:r>
          <w:rPr>
            <w:rStyle w:val="Hyperlink"/>
            <w:color w:val="0000EE"/>
            <w:u w:color="0000EE"/>
            <w:lang w:val="el" w:eastAsia="el"/>
          </w:rPr>
          <w:t>Αφαίρεση 4320/2015, Άρθρο 15</w:t>
        </w:r>
      </w:hyperlink>
      <w:r>
        <w:rPr>
          <w:lang w:val="el" w:eastAsia="el"/>
        </w:rPr>
        <w:t xml:space="preserve">; </w:t>
      </w:r>
      <w:hyperlink r:id="rId284"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5" w:history="1">
        <w:r>
          <w:rPr>
            <w:rStyle w:val="Hyperlink"/>
            <w:color w:val="0000EE"/>
            <w:u w:color="0000EE"/>
            <w:lang w:val="el" w:eastAsia="el"/>
          </w:rPr>
          <w:t>Αφαίρεση 4320/2015, Άρθρο 15</w:t>
        </w:r>
      </w:hyperlink>
      <w:r>
        <w:rPr>
          <w:lang w:val="el" w:eastAsia="el"/>
        </w:rPr>
        <w:t xml:space="preserve">; </w:t>
      </w:r>
      <w:hyperlink r:id="rId286"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5" w:history="1">
        <w:r>
          <w:rPr>
            <w:rStyle w:val="Hyperlink"/>
            <w:color w:val="0000EE"/>
            <w:u w:color="0000EE"/>
            <w:lang w:val="el" w:eastAsia="el"/>
          </w:rPr>
          <w:t>Αφαίρεση 4320/2015, Άρθρο 15</w:t>
        </w:r>
      </w:hyperlink>
      <w:r>
        <w:rPr>
          <w:lang w:val="el" w:eastAsia="el"/>
        </w:rPr>
        <w:t xml:space="preserve">; </w:t>
      </w:r>
      <w:hyperlink r:id="rId288"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5" w:history="1">
        <w:r>
          <w:rPr>
            <w:rStyle w:val="Hyperlink"/>
            <w:color w:val="0000EE"/>
            <w:u w:color="0000EE"/>
            <w:lang w:val="el" w:eastAsia="el"/>
          </w:rPr>
          <w:t>Αφαίρεση 4320/2015, Άρθρο 15</w:t>
        </w:r>
      </w:hyperlink>
      <w:r>
        <w:rPr>
          <w:lang w:val="el" w:eastAsia="el"/>
        </w:rPr>
        <w:t xml:space="preserve">; </w:t>
      </w:r>
      <w:hyperlink r:id="rId290"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r>
        <w:rPr>
          <w:lang w:val="el" w:eastAsia="el"/>
        </w:rPr>
        <w:t xml:space="preserve">; </w:t>
      </w:r>
      <w:hyperlink r:id="rId292"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5" w:history="1">
        <w:r>
          <w:rPr>
            <w:rStyle w:val="Hyperlink"/>
            <w:color w:val="0000EE"/>
            <w:u w:color="0000EE"/>
            <w:lang w:val="el" w:eastAsia="el"/>
          </w:rPr>
          <w:t>Αφαίρεση 4320/2015, Άρθρο 15</w:t>
        </w:r>
      </w:hyperlink>
      <w:r>
        <w:rPr>
          <w:lang w:val="el" w:eastAsia="el"/>
        </w:rPr>
        <w:t xml:space="preserve">; </w:t>
      </w:r>
      <w:hyperlink r:id="rId294"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5" w:history="1">
        <w:r>
          <w:rPr>
            <w:rStyle w:val="Hyperlink"/>
            <w:color w:val="0000EE"/>
            <w:u w:color="0000EE"/>
            <w:lang w:val="el" w:eastAsia="el"/>
          </w:rPr>
          <w:t>Αφαίρεση 4320/2015, Άρθρο 15</w:t>
        </w:r>
      </w:hyperlink>
      <w:r>
        <w:rPr>
          <w:lang w:val="el" w:eastAsia="el"/>
        </w:rPr>
        <w:t xml:space="preserve">; </w:t>
      </w:r>
      <w:hyperlink r:id="rId296"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5" w:history="1">
        <w:r>
          <w:rPr>
            <w:rStyle w:val="Hyperlink"/>
            <w:color w:val="0000EE"/>
            <w:u w:color="0000EE"/>
            <w:lang w:val="el" w:eastAsia="el"/>
          </w:rPr>
          <w:t>Αφαίρεση 4320/2015, Άρθρο 15</w:t>
        </w:r>
      </w:hyperlink>
      <w:r>
        <w:rPr>
          <w:lang w:val="el" w:eastAsia="el"/>
        </w:rPr>
        <w:t xml:space="preserve">; </w:t>
      </w:r>
      <w:hyperlink r:id="rId298"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5" w:history="1">
        <w:r>
          <w:rPr>
            <w:rStyle w:val="Hyperlink"/>
            <w:color w:val="0000EE"/>
            <w:u w:color="0000EE"/>
            <w:lang w:val="el" w:eastAsia="el"/>
          </w:rPr>
          <w:t>Αφαίρεση 4320/2015, Άρθρο 15</w:t>
        </w:r>
      </w:hyperlink>
      <w:r>
        <w:rPr>
          <w:lang w:val="el" w:eastAsia="el"/>
        </w:rPr>
        <w:t xml:space="preserve">; </w:t>
      </w:r>
      <w:hyperlink r:id="rId300"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5" w:history="1">
        <w:r>
          <w:rPr>
            <w:rStyle w:val="Hyperlink"/>
            <w:color w:val="0000EE"/>
            <w:u w:color="0000EE"/>
            <w:lang w:val="el" w:eastAsia="el"/>
          </w:rPr>
          <w:t>Αφαίρεση 4320/2015, Άρθρο 15</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r>
        <w:rPr>
          <w:lang w:val="el" w:eastAsia="el"/>
        </w:rPr>
        <w:t xml:space="preserve">; </w:t>
      </w:r>
      <w:hyperlink r:id="rId303"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5" w:history="1">
        <w:r>
          <w:rPr>
            <w:rStyle w:val="Hyperlink"/>
            <w:color w:val="0000EE"/>
            <w:u w:color="0000EE"/>
            <w:lang w:val="el" w:eastAsia="el"/>
          </w:rPr>
          <w:t>Αφαίρεση 4320/2015, Άρθρο 15</w:t>
        </w:r>
      </w:hyperlink>
      <w:r>
        <w:rPr>
          <w:lang w:val="el" w:eastAsia="el"/>
        </w:rPr>
        <w:t xml:space="preserve">; </w:t>
      </w:r>
      <w:hyperlink r:id="rId305"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5" w:history="1">
        <w:r>
          <w:rPr>
            <w:rStyle w:val="Hyperlink"/>
            <w:color w:val="0000EE"/>
            <w:u w:color="0000EE"/>
            <w:lang w:val="el" w:eastAsia="el"/>
          </w:rPr>
          <w:t>Αφαίρεση 4320/2015, Άρθρο 15</w:t>
        </w:r>
      </w:hyperlink>
      <w:r>
        <w:rPr>
          <w:lang w:val="el" w:eastAsia="el"/>
        </w:rPr>
        <w:t xml:space="preserve">; </w:t>
      </w:r>
      <w:hyperlink r:id="rId307"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5" w:history="1">
        <w:r>
          <w:rPr>
            <w:rStyle w:val="Hyperlink"/>
            <w:color w:val="0000EE"/>
            <w:u w:color="0000EE"/>
            <w:lang w:val="el" w:eastAsia="el"/>
          </w:rPr>
          <w:t>Αφαίρεση 4320/2015, Άρθρο 15</w:t>
        </w:r>
      </w:hyperlink>
      <w:r>
        <w:rPr>
          <w:lang w:val="el" w:eastAsia="el"/>
        </w:rPr>
        <w:t xml:space="preserve">; </w:t>
      </w:r>
      <w:hyperlink r:id="rId309"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5" w:history="1">
        <w:r>
          <w:rPr>
            <w:rStyle w:val="Hyperlink"/>
            <w:color w:val="0000EE"/>
            <w:u w:color="0000EE"/>
            <w:lang w:val="el" w:eastAsia="el"/>
          </w:rPr>
          <w:t>Αφαίρεση 4320/2015, Άρθρο 15</w:t>
        </w:r>
      </w:hyperlink>
      <w:r>
        <w:rPr>
          <w:lang w:val="el" w:eastAsia="el"/>
        </w:rPr>
        <w:t xml:space="preserve">; </w:t>
      </w:r>
      <w:hyperlink r:id="rId311"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5" w:history="1">
        <w:r>
          <w:rPr>
            <w:rStyle w:val="Hyperlink"/>
            <w:color w:val="0000EE"/>
            <w:u w:color="0000EE"/>
            <w:lang w:val="el" w:eastAsia="el"/>
          </w:rPr>
          <w:t>Αφαίρεση 4320/2015, Άρθρο 15</w:t>
        </w:r>
      </w:hyperlink>
      <w:r>
        <w:rPr>
          <w:lang w:val="el" w:eastAsia="el"/>
        </w:rPr>
        <w:t xml:space="preserve">; </w:t>
      </w:r>
      <w:hyperlink r:id="rId313"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5" w:history="1">
        <w:r>
          <w:rPr>
            <w:rStyle w:val="Hyperlink"/>
            <w:color w:val="0000EE"/>
            <w:u w:color="0000EE"/>
            <w:lang w:val="el" w:eastAsia="el"/>
          </w:rPr>
          <w:t>Αφαίρεση 4320/2015, Άρθρο 15</w:t>
        </w:r>
      </w:hyperlink>
      <w:r>
        <w:rPr>
          <w:lang w:val="el" w:eastAsia="el"/>
        </w:rPr>
        <w:t xml:space="preserve">; </w:t>
      </w:r>
      <w:hyperlink r:id="rId315"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5" w:history="1">
        <w:r>
          <w:rPr>
            <w:rStyle w:val="Hyperlink"/>
            <w:color w:val="0000EE"/>
            <w:u w:color="0000EE"/>
            <w:lang w:val="el" w:eastAsia="el"/>
          </w:rPr>
          <w:t>Αφαίρεση 4320/2015, Άρθρο 15</w:t>
        </w:r>
      </w:hyperlink>
      <w:r>
        <w:rPr>
          <w:lang w:val="el" w:eastAsia="el"/>
        </w:rPr>
        <w:t xml:space="preserve">; </w:t>
      </w:r>
      <w:hyperlink r:id="rId317"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5" w:history="1">
        <w:r>
          <w:rPr>
            <w:rStyle w:val="Hyperlink"/>
            <w:color w:val="0000EE"/>
            <w:u w:color="0000EE"/>
            <w:lang w:val="el" w:eastAsia="el"/>
          </w:rPr>
          <w:t>Αφαίρεση 4320/2015, Άρθρο 15</w:t>
        </w:r>
      </w:hyperlink>
      <w:r>
        <w:rPr>
          <w:lang w:val="el" w:eastAsia="el"/>
        </w:rPr>
        <w:t xml:space="preserve">; </w:t>
      </w:r>
      <w:hyperlink r:id="rId319"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5" w:history="1">
        <w:r>
          <w:rPr>
            <w:rStyle w:val="Hyperlink"/>
            <w:color w:val="0000EE"/>
            <w:u w:color="0000EE"/>
            <w:lang w:val="el" w:eastAsia="el"/>
          </w:rPr>
          <w:t>Αφαίρεση 4320/2015, Άρθρο 15</w:t>
        </w:r>
      </w:hyperlink>
      <w:r>
        <w:rPr>
          <w:lang w:val="el" w:eastAsia="el"/>
        </w:rPr>
        <w:t xml:space="preserve">; </w:t>
      </w:r>
      <w:hyperlink r:id="rId321"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5" w:history="1">
        <w:r>
          <w:rPr>
            <w:rStyle w:val="Hyperlink"/>
            <w:color w:val="0000EE"/>
            <w:u w:color="0000EE"/>
            <w:lang w:val="el" w:eastAsia="el"/>
          </w:rPr>
          <w:t>Αφαίρεση 4320/2015, Άρθρο 15</w:t>
        </w:r>
      </w:hyperlink>
      <w:r>
        <w:rPr>
          <w:lang w:val="el" w:eastAsia="el"/>
        </w:rPr>
        <w:t xml:space="preserve">; </w:t>
      </w:r>
      <w:hyperlink r:id="rId323"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5" w:history="1">
        <w:r>
          <w:rPr>
            <w:rStyle w:val="Hyperlink"/>
            <w:color w:val="0000EE"/>
            <w:u w:color="0000EE"/>
            <w:lang w:val="el" w:eastAsia="el"/>
          </w:rPr>
          <w:t>Αφαίρεση 4320/2015, Άρθρο 15</w:t>
        </w:r>
      </w:hyperlink>
      <w:r>
        <w:rPr>
          <w:lang w:val="el" w:eastAsia="el"/>
        </w:rPr>
        <w:t xml:space="preserve">; </w:t>
      </w:r>
      <w:hyperlink r:id="rId325"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5" w:history="1">
        <w:r>
          <w:rPr>
            <w:rStyle w:val="Hyperlink"/>
            <w:color w:val="0000EE"/>
            <w:u w:color="0000EE"/>
            <w:lang w:val="el" w:eastAsia="el"/>
          </w:rPr>
          <w:t>Αφαίρεση 4320/2015, Άρθρο 15</w:t>
        </w:r>
      </w:hyperlink>
      <w:r>
        <w:rPr>
          <w:lang w:val="el" w:eastAsia="el"/>
        </w:rPr>
        <w:t xml:space="preserve">; </w:t>
      </w:r>
      <w:hyperlink r:id="rId327"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5" w:history="1">
        <w:r>
          <w:rPr>
            <w:rStyle w:val="Hyperlink"/>
            <w:color w:val="0000EE"/>
            <w:u w:color="0000EE"/>
            <w:lang w:val="el" w:eastAsia="el"/>
          </w:rPr>
          <w:t>Αφαίρεση 4320/2015, Άρθρο 15</w:t>
        </w:r>
      </w:hyperlink>
      <w:r>
        <w:rPr>
          <w:lang w:val="el" w:eastAsia="el"/>
        </w:rPr>
        <w:t xml:space="preserve">; </w:t>
      </w:r>
      <w:hyperlink r:id="rId329"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5" w:history="1">
        <w:r>
          <w:rPr>
            <w:rStyle w:val="Hyperlink"/>
            <w:color w:val="0000EE"/>
            <w:u w:color="0000EE"/>
            <w:lang w:val="el" w:eastAsia="el"/>
          </w:rPr>
          <w:t>Αφαίρεση 4320/2015, Άρθρο 15</w:t>
        </w:r>
      </w:hyperlink>
      <w:r>
        <w:rPr>
          <w:lang w:val="el" w:eastAsia="el"/>
        </w:rPr>
        <w:t xml:space="preserve">; </w:t>
      </w:r>
      <w:hyperlink r:id="rId331"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5" w:history="1">
        <w:r>
          <w:rPr>
            <w:rStyle w:val="Hyperlink"/>
            <w:color w:val="0000EE"/>
            <w:u w:color="0000EE"/>
            <w:lang w:val="el" w:eastAsia="el"/>
          </w:rPr>
          <w:t>Αφαίρεση 4320/2015, Άρθρο 15</w:t>
        </w:r>
      </w:hyperlink>
      <w:r>
        <w:rPr>
          <w:lang w:val="el" w:eastAsia="el"/>
        </w:rPr>
        <w:t xml:space="preserve">; </w:t>
      </w:r>
      <w:hyperlink r:id="rId333" w:anchor="art_69" w:history="1">
        <w:r>
          <w:rPr>
            <w:rStyle w:val="Hyperlink"/>
            <w:color w:val="0000EE"/>
            <w:u w:color="0000EE"/>
            <w:lang w:val="el" w:eastAsia="el"/>
          </w:rPr>
          <w:t>Τροποποίηση 4316/2014, Άρθρο 69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5" w:history="1">
        <w:r>
          <w:rPr>
            <w:rStyle w:val="Hyperlink"/>
            <w:color w:val="0000EE"/>
            <w:u w:color="0000EE"/>
            <w:lang w:val="el" w:eastAsia="el"/>
          </w:rPr>
          <w:t>Αφαίρεση 4320/2015, Άρθρο 15</w:t>
        </w:r>
      </w:hyperlink>
      <w:r>
        <w:rPr>
          <w:lang w:val="el" w:eastAsia="el"/>
        </w:rPr>
        <w:t xml:space="preserve">; </w:t>
      </w:r>
      <w:hyperlink r:id="rId335" w:anchor="art_69" w:history="1">
        <w:r>
          <w:rPr>
            <w:rStyle w:val="Hyperlink"/>
            <w:color w:val="0000EE"/>
            <w:u w:color="0000EE"/>
            <w:lang w:val="el" w:eastAsia="el"/>
          </w:rPr>
          <w:t>Τροποποίηση 4316/2014, Άρθρο 69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5" w:history="1">
        <w:r>
          <w:rPr>
            <w:rStyle w:val="Hyperlink"/>
            <w:color w:val="0000EE"/>
            <w:u w:color="0000EE"/>
            <w:lang w:val="el" w:eastAsia="el"/>
          </w:rPr>
          <w:t>Αφαίρεση 4320/2015, Άρθρο 15</w:t>
        </w:r>
      </w:hyperlink>
      <w:r>
        <w:rPr>
          <w:lang w:val="el" w:eastAsia="el"/>
        </w:rPr>
        <w:t xml:space="preserve">; </w:t>
      </w:r>
      <w:hyperlink r:id="rId337" w:anchor="art_69" w:history="1">
        <w:r>
          <w:rPr>
            <w:rStyle w:val="Hyperlink"/>
            <w:color w:val="0000EE"/>
            <w:u w:color="0000EE"/>
            <w:lang w:val="el" w:eastAsia="el"/>
          </w:rPr>
          <w:t>Τροποποίηση 4316/2014, Άρθρο 69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5" w:history="1">
        <w:r>
          <w:rPr>
            <w:rStyle w:val="Hyperlink"/>
            <w:color w:val="0000EE"/>
            <w:u w:color="0000EE"/>
            <w:lang w:val="el" w:eastAsia="el"/>
          </w:rPr>
          <w:t>Αφαίρεση 4320/2015, Άρθρο 15</w:t>
        </w:r>
      </w:hyperlink>
      <w:r>
        <w:rPr>
          <w:lang w:val="el" w:eastAsia="el"/>
        </w:rPr>
        <w:t xml:space="preserve">; </w:t>
      </w:r>
      <w:hyperlink r:id="rId339" w:anchor="art_69" w:history="1">
        <w:r>
          <w:rPr>
            <w:rStyle w:val="Hyperlink"/>
            <w:color w:val="0000EE"/>
            <w:u w:color="0000EE"/>
            <w:lang w:val="el" w:eastAsia="el"/>
          </w:rPr>
          <w:t>Τροποποίηση 4316/2014, Άρθρο 69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5" w:history="1">
        <w:r>
          <w:rPr>
            <w:rStyle w:val="Hyperlink"/>
            <w:color w:val="0000EE"/>
            <w:u w:color="0000EE"/>
            <w:lang w:val="el" w:eastAsia="el"/>
          </w:rPr>
          <w:t>Αφαίρεση 4320/2015, Άρθρο 15</w:t>
        </w:r>
      </w:hyperlink>
      <w:r>
        <w:rPr>
          <w:lang w:val="el" w:eastAsia="el"/>
        </w:rPr>
        <w:t xml:space="preserve">; </w:t>
      </w:r>
      <w:hyperlink r:id="rId341" w:anchor="art_69" w:history="1">
        <w:r>
          <w:rPr>
            <w:rStyle w:val="Hyperlink"/>
            <w:color w:val="0000EE"/>
            <w:u w:color="0000EE"/>
            <w:lang w:val="el" w:eastAsia="el"/>
          </w:rPr>
          <w:t>Τροποποίηση 4316/2014, Άρθρο 69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5" w:history="1">
        <w:r>
          <w:rPr>
            <w:rStyle w:val="Hyperlink"/>
            <w:color w:val="0000EE"/>
            <w:u w:color="0000EE"/>
            <w:lang w:val="el" w:eastAsia="el"/>
          </w:rPr>
          <w:t>Αφαίρεση 4320/2015, Άρθρο 15</w:t>
        </w:r>
      </w:hyperlink>
      <w:r>
        <w:rPr>
          <w:lang w:val="el" w:eastAsia="el"/>
        </w:rPr>
        <w:t xml:space="preserve">; </w:t>
      </w:r>
      <w:hyperlink r:id="rId343"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5" w:history="1">
        <w:r>
          <w:rPr>
            <w:rStyle w:val="Hyperlink"/>
            <w:color w:val="0000EE"/>
            <w:u w:color="0000EE"/>
            <w:lang w:val="el" w:eastAsia="el"/>
          </w:rPr>
          <w:t>Αφαίρεση 4320/2015, Άρθρο 15</w:t>
        </w:r>
      </w:hyperlink>
      <w:r>
        <w:rPr>
          <w:lang w:val="el" w:eastAsia="el"/>
        </w:rPr>
        <w:t xml:space="preserve">; </w:t>
      </w:r>
      <w:hyperlink r:id="rId345" w:anchor="art_69" w:history="1">
        <w:r>
          <w:rPr>
            <w:rStyle w:val="Hyperlink"/>
            <w:color w:val="0000EE"/>
            <w:u w:color="0000EE"/>
            <w:lang w:val="el" w:eastAsia="el"/>
          </w:rPr>
          <w:t>Τροποποίηση 4316/2014, Άρθρο 69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5" w:history="1">
        <w:r>
          <w:rPr>
            <w:rStyle w:val="Hyperlink"/>
            <w:color w:val="0000EE"/>
            <w:u w:color="0000EE"/>
            <w:lang w:val="el" w:eastAsia="el"/>
          </w:rPr>
          <w:t>Αφαίρεση 4320/2015, Άρθρο 15</w:t>
        </w:r>
      </w:hyperlink>
      <w:r>
        <w:rPr>
          <w:lang w:val="el" w:eastAsia="el"/>
        </w:rPr>
        <w:t xml:space="preserve">; </w:t>
      </w:r>
      <w:hyperlink r:id="rId347" w:anchor="art_69" w:history="1">
        <w:r>
          <w:rPr>
            <w:rStyle w:val="Hyperlink"/>
            <w:color w:val="0000EE"/>
            <w:u w:color="0000EE"/>
            <w:lang w:val="el" w:eastAsia="el"/>
          </w:rPr>
          <w:t>Τροποποίηση 4316/2014, Άρθρο 69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5" w:history="1">
        <w:r>
          <w:rPr>
            <w:rStyle w:val="Hyperlink"/>
            <w:color w:val="0000EE"/>
            <w:u w:color="0000EE"/>
            <w:lang w:val="el" w:eastAsia="el"/>
          </w:rPr>
          <w:t>Αφαίρεση 4320/2015, Άρθρο 15</w:t>
        </w:r>
      </w:hyperlink>
      <w:r>
        <w:rPr>
          <w:lang w:val="el" w:eastAsia="el"/>
        </w:rPr>
        <w:t xml:space="preserve">; </w:t>
      </w:r>
      <w:hyperlink r:id="rId349" w:anchor="art_69" w:history="1">
        <w:r>
          <w:rPr>
            <w:rStyle w:val="Hyperlink"/>
            <w:color w:val="0000EE"/>
            <w:u w:color="0000EE"/>
            <w:lang w:val="el" w:eastAsia="el"/>
          </w:rPr>
          <w:t>Τροποποίηση 4316/2014, Άρθρο 69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5" w:history="1">
        <w:r>
          <w:rPr>
            <w:rStyle w:val="Hyperlink"/>
            <w:color w:val="0000EE"/>
            <w:u w:color="0000EE"/>
            <w:lang w:val="el" w:eastAsia="el"/>
          </w:rPr>
          <w:t>Αφαίρεση 4320/2015, Άρθρο 15</w:t>
        </w:r>
      </w:hyperlink>
      <w:r>
        <w:rPr>
          <w:lang w:val="el" w:eastAsia="el"/>
        </w:rPr>
        <w:t xml:space="preserve">; </w:t>
      </w:r>
      <w:hyperlink r:id="rId351" w:anchor="art_69" w:history="1">
        <w:r>
          <w:rPr>
            <w:rStyle w:val="Hyperlink"/>
            <w:color w:val="0000EE"/>
            <w:u w:color="0000EE"/>
            <w:lang w:val="el" w:eastAsia="el"/>
          </w:rPr>
          <w:t>Τροποποίηση 4316/2014, Άρθρο 69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5" w:history="1">
        <w:r>
          <w:rPr>
            <w:rStyle w:val="Hyperlink"/>
            <w:color w:val="0000EE"/>
            <w:u w:color="0000EE"/>
            <w:lang w:val="el" w:eastAsia="el"/>
          </w:rPr>
          <w:t>Αφαίρεση 4320/2015, Άρθρο 15</w:t>
        </w:r>
      </w:hyperlink>
      <w:r>
        <w:rPr>
          <w:lang w:val="el" w:eastAsia="el"/>
        </w:rPr>
        <w:t xml:space="preserve">; </w:t>
      </w:r>
      <w:hyperlink r:id="rId353" w:anchor="art_69" w:history="1">
        <w:r>
          <w:rPr>
            <w:rStyle w:val="Hyperlink"/>
            <w:color w:val="0000EE"/>
            <w:u w:color="0000EE"/>
            <w:lang w:val="el" w:eastAsia="el"/>
          </w:rPr>
          <w:t>Τροποποίηση 4316/2014, Άρθρο 69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5" w:history="1">
        <w:r>
          <w:rPr>
            <w:rStyle w:val="Hyperlink"/>
            <w:color w:val="0000EE"/>
            <w:u w:color="0000EE"/>
            <w:lang w:val="el" w:eastAsia="el"/>
          </w:rPr>
          <w:t>Αφαίρεση 4320/2015, Άρθρο 15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r>
        <w:rPr>
          <w:lang w:val="el" w:eastAsia="el"/>
        </w:rPr>
        <w:t xml:space="preserve">; </w:t>
      </w:r>
      <w:hyperlink r:id="rId356" w:anchor="art_69" w:history="1">
        <w:r>
          <w:rPr>
            <w:rStyle w:val="Hyperlink"/>
            <w:color w:val="0000EE"/>
            <w:u w:color="0000EE"/>
            <w:lang w:val="el" w:eastAsia="el"/>
          </w:rPr>
          <w:t>Τροποποίηση 4316/2014, Άρθρο 69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5" w:history="1">
        <w:r>
          <w:rPr>
            <w:rStyle w:val="Hyperlink"/>
            <w:color w:val="0000EE"/>
            <w:u w:color="0000EE"/>
            <w:lang w:val="el" w:eastAsia="el"/>
          </w:rPr>
          <w:t>Αφαίρεση 4320/2015, Άρθρο 15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5" w:history="1">
        <w:r>
          <w:rPr>
            <w:rStyle w:val="Hyperlink"/>
            <w:color w:val="0000EE"/>
            <w:u w:color="0000EE"/>
            <w:lang w:val="el" w:eastAsia="el"/>
          </w:rPr>
          <w:t>Αφαίρεση 4320/2015, Άρθρο 15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5" w:history="1">
        <w:r>
          <w:rPr>
            <w:rStyle w:val="Hyperlink"/>
            <w:color w:val="0000EE"/>
            <w:u w:color="0000EE"/>
            <w:lang w:val="el" w:eastAsia="el"/>
          </w:rPr>
          <w:t>Αφαίρεση 4320/2015, Άρθρο 15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5" w:history="1">
        <w:r>
          <w:rPr>
            <w:rStyle w:val="Hyperlink"/>
            <w:color w:val="0000EE"/>
            <w:u w:color="0000EE"/>
            <w:lang w:val="el" w:eastAsia="el"/>
          </w:rPr>
          <w:t>Αφαίρεση 4320/2015, Άρθρο 15</w:t>
        </w:r>
      </w:hyperlink>
      <w:r>
        <w:rPr>
          <w:lang w:val="el" w:eastAsia="el"/>
        </w:rPr>
        <w:t xml:space="preserve">; </w:t>
      </w:r>
      <w:hyperlink r:id="rId361" w:anchor="art_69" w:history="1">
        <w:r>
          <w:rPr>
            <w:rStyle w:val="Hyperlink"/>
            <w:color w:val="0000EE"/>
            <w:u w:color="0000EE"/>
            <w:lang w:val="el" w:eastAsia="el"/>
          </w:rPr>
          <w:t>Τροποποίηση 4316/2014, Άρθρο 69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5" w:history="1">
        <w:r>
          <w:rPr>
            <w:rStyle w:val="Hyperlink"/>
            <w:color w:val="0000EE"/>
            <w:u w:color="0000EE"/>
            <w:lang w:val="el" w:eastAsia="el"/>
          </w:rPr>
          <w:t>Αφαίρεση 4320/2015, Άρθρο 15</w:t>
        </w:r>
      </w:hyperlink>
      <w:r>
        <w:rPr>
          <w:lang w:val="el" w:eastAsia="el"/>
        </w:rPr>
        <w:t xml:space="preserve">; </w:t>
      </w:r>
      <w:hyperlink r:id="rId36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5" w:history="1">
        <w:r>
          <w:rPr>
            <w:rStyle w:val="Hyperlink"/>
            <w:color w:val="0000EE"/>
            <w:u w:color="0000EE"/>
            <w:lang w:val="el" w:eastAsia="el"/>
          </w:rPr>
          <w:t>Αφαίρεση 4320/2015, Άρθρο 15</w:t>
        </w:r>
      </w:hyperlink>
      <w:r>
        <w:rPr>
          <w:lang w:val="el" w:eastAsia="el"/>
        </w:rPr>
        <w:t xml:space="preserve">; </w:t>
      </w:r>
      <w:hyperlink r:id="rId365" w:anchor="art_69" w:history="1">
        <w:r>
          <w:rPr>
            <w:rStyle w:val="Hyperlink"/>
            <w:color w:val="0000EE"/>
            <w:u w:color="0000EE"/>
            <w:lang w:val="el" w:eastAsia="el"/>
          </w:rPr>
          <w:t>Τροποποίηση 4316/2014, Άρθρο 69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5" w:history="1">
        <w:r>
          <w:rPr>
            <w:rStyle w:val="Hyperlink"/>
            <w:color w:val="0000EE"/>
            <w:u w:color="0000EE"/>
            <w:lang w:val="el" w:eastAsia="el"/>
          </w:rPr>
          <w:t>Αφαίρεση 4320/2015, Άρθρο 15</w:t>
        </w:r>
      </w:hyperlink>
      <w:r>
        <w:rPr>
          <w:lang w:val="el" w:eastAsia="el"/>
        </w:rPr>
        <w:t xml:space="preserve">; </w:t>
      </w:r>
      <w:hyperlink r:id="rId367" w:anchor="art_69" w:history="1">
        <w:r>
          <w:rPr>
            <w:rStyle w:val="Hyperlink"/>
            <w:color w:val="0000EE"/>
            <w:u w:color="0000EE"/>
            <w:lang w:val="el" w:eastAsia="el"/>
          </w:rPr>
          <w:t>Τροποποίηση 4316/2014, Άρθρο 69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5" w:history="1">
        <w:r>
          <w:rPr>
            <w:rStyle w:val="Hyperlink"/>
            <w:color w:val="0000EE"/>
            <w:u w:color="0000EE"/>
            <w:lang w:val="el" w:eastAsia="el"/>
          </w:rPr>
          <w:t>Αφαίρεση 4320/2015, Άρθρο 15</w:t>
        </w:r>
      </w:hyperlink>
      <w:r>
        <w:rPr>
          <w:lang w:val="el" w:eastAsia="el"/>
        </w:rPr>
        <w:t xml:space="preserve">; </w:t>
      </w:r>
      <w:hyperlink r:id="rId369" w:anchor="art_69" w:history="1">
        <w:r>
          <w:rPr>
            <w:rStyle w:val="Hyperlink"/>
            <w:color w:val="0000EE"/>
            <w:u w:color="0000EE"/>
            <w:lang w:val="el" w:eastAsia="el"/>
          </w:rPr>
          <w:t>Τροποποίηση 4316/2014, Άρθρο 69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5" w:history="1">
        <w:r>
          <w:rPr>
            <w:rStyle w:val="Hyperlink"/>
            <w:color w:val="0000EE"/>
            <w:u w:color="0000EE"/>
            <w:lang w:val="el" w:eastAsia="el"/>
          </w:rPr>
          <w:t>Αφαίρεση 4320/2015, Άρθρο 15</w:t>
        </w:r>
      </w:hyperlink>
      <w:r>
        <w:rPr>
          <w:lang w:val="el" w:eastAsia="el"/>
        </w:rPr>
        <w:t xml:space="preserve">; </w:t>
      </w:r>
      <w:hyperlink r:id="rId37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5" w:history="1">
        <w:r>
          <w:rPr>
            <w:rStyle w:val="Hyperlink"/>
            <w:color w:val="0000EE"/>
            <w:u w:color="0000EE"/>
            <w:lang w:val="el" w:eastAsia="el"/>
          </w:rPr>
          <w:t>Αφαίρεση 4320/2015, Άρθρο 15</w:t>
        </w:r>
      </w:hyperlink>
      <w:r>
        <w:rPr>
          <w:lang w:val="el" w:eastAsia="el"/>
        </w:rPr>
        <w:t xml:space="preserve">; </w:t>
      </w:r>
      <w:hyperlink r:id="rId37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5" w:history="1">
        <w:r>
          <w:rPr>
            <w:rStyle w:val="Hyperlink"/>
            <w:color w:val="0000EE"/>
            <w:u w:color="0000EE"/>
            <w:lang w:val="el" w:eastAsia="el"/>
          </w:rPr>
          <w:t>Αφαίρεση 4320/2015, Άρθρο 15</w:t>
        </w:r>
      </w:hyperlink>
      <w:r>
        <w:rPr>
          <w:lang w:val="el" w:eastAsia="el"/>
        </w:rPr>
        <w:t xml:space="preserve">; </w:t>
      </w:r>
      <w:hyperlink r:id="rId375" w:anchor="art_69" w:history="1">
        <w:r>
          <w:rPr>
            <w:rStyle w:val="Hyperlink"/>
            <w:color w:val="0000EE"/>
            <w:u w:color="0000EE"/>
            <w:lang w:val="el" w:eastAsia="el"/>
          </w:rPr>
          <w:t>Προσθήκη 4316/2014, Άρθρο 69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5" w:history="1">
        <w:r>
          <w:rPr>
            <w:rStyle w:val="Hyperlink"/>
            <w:color w:val="0000EE"/>
            <w:u w:color="0000EE"/>
            <w:lang w:val="el" w:eastAsia="el"/>
          </w:rPr>
          <w:t>Αφαίρεση 4320/2015, Άρθρο 15</w:t>
        </w:r>
      </w:hyperlink>
      <w:r>
        <w:rPr>
          <w:lang w:val="el" w:eastAsia="el"/>
        </w:rPr>
        <w:t xml:space="preserve">; </w:t>
      </w:r>
      <w:hyperlink r:id="rId377" w:anchor="art_69" w:history="1">
        <w:r>
          <w:rPr>
            <w:rStyle w:val="Hyperlink"/>
            <w:color w:val="0000EE"/>
            <w:u w:color="0000EE"/>
            <w:lang w:val="el" w:eastAsia="el"/>
          </w:rPr>
          <w:t>Προσθήκη 4316/2014, Άρθρο 69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5" w:history="1">
        <w:r>
          <w:rPr>
            <w:rStyle w:val="Hyperlink"/>
            <w:color w:val="0000EE"/>
            <w:u w:color="0000EE"/>
            <w:lang w:val="el" w:eastAsia="el"/>
          </w:rPr>
          <w:t>Αφαίρεση 4320/2015, Άρθρο 15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5" w:history="1">
        <w:r>
          <w:rPr>
            <w:rStyle w:val="Hyperlink"/>
            <w:color w:val="0000EE"/>
            <w:u w:color="0000EE"/>
            <w:lang w:val="el" w:eastAsia="el"/>
          </w:rPr>
          <w:t>Αφαίρεση 4320/2015, Άρθρο 15</w:t>
        </w:r>
      </w:hyperlink>
      <w:r>
        <w:rPr>
          <w:lang w:val="el" w:eastAsia="el"/>
        </w:rPr>
        <w:t xml:space="preserve">; </w:t>
      </w:r>
      <w:hyperlink r:id="rId380" w:anchor="art_69" w:history="1">
        <w:r>
          <w:rPr>
            <w:rStyle w:val="Hyperlink"/>
            <w:color w:val="0000EE"/>
            <w:u w:color="0000EE"/>
            <w:lang w:val="el" w:eastAsia="el"/>
          </w:rPr>
          <w:t>Τροποποίηση 4316/2014, Άρθρο 69</w:t>
        </w:r>
      </w:hyperlink>
      <w:r>
        <w:rPr>
          <w:lang w:val="el" w:eastAsia="el"/>
        </w:rPr>
        <w:t xml:space="preserve">; </w:t>
      </w:r>
      <w:hyperlink r:id="rId381" w:anchor="art_19" w:history="1">
        <w:r>
          <w:rPr>
            <w:rStyle w:val="Hyperlink"/>
            <w:color w:val="0000EE"/>
            <w:u w:color="0000EE"/>
            <w:lang w:val="el" w:eastAsia="el"/>
          </w:rPr>
          <w:t>Τροποποίηση 4208/2013, Άρθρο 19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5" w:history="1">
        <w:r>
          <w:rPr>
            <w:rStyle w:val="Hyperlink"/>
            <w:color w:val="0000EE"/>
            <w:u w:color="0000EE"/>
            <w:lang w:val="el" w:eastAsia="el"/>
          </w:rPr>
          <w:t>Αφαίρεση 4320/2015, Άρθρο 15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5094/2024, Άρθρο 206; </w:t>
      </w:r>
      <w:hyperlink r:id="rId383"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84" w:anchor="art_27" w:history="1">
        <w:r>
          <w:rPr>
            <w:rStyle w:val="Hyperlink"/>
            <w:color w:val="0000EE"/>
            <w:u w:color="0000EE"/>
            <w:lang w:val="el" w:eastAsia="el"/>
          </w:rPr>
          <w:t>Προσθήκη 4411/2016, Άρθρο 27</w:t>
        </w:r>
      </w:hyperlink>
      <w:r>
        <w:rPr>
          <w:lang w:val="el" w:eastAsia="el"/>
        </w:rPr>
        <w:t xml:space="preserve">; </w:t>
      </w:r>
      <w:hyperlink r:id="rId385" w:anchor="art_70" w:history="1">
        <w:r>
          <w:rPr>
            <w:rStyle w:val="Hyperlink"/>
            <w:color w:val="0000EE"/>
            <w:u w:color="0000EE"/>
            <w:lang w:val="el" w:eastAsia="el"/>
          </w:rPr>
          <w:t>Προσθήκη 4370/2016, Άρθρο 70</w:t>
        </w:r>
      </w:hyperlink>
      <w:r>
        <w:rPr>
          <w:lang w:val="el" w:eastAsia="el"/>
        </w:rPr>
        <w:t xml:space="preserve">; </w:t>
      </w:r>
      <w:hyperlink r:id="rId386" w:anchor="art_70" w:history="1">
        <w:r>
          <w:rPr>
            <w:rStyle w:val="Hyperlink"/>
            <w:color w:val="0000EE"/>
            <w:u w:color="0000EE"/>
            <w:lang w:val="el" w:eastAsia="el"/>
          </w:rPr>
          <w:t>Προσθήκη 4370/2016, Άρθρο 70</w:t>
        </w:r>
      </w:hyperlink>
      <w:r>
        <w:rPr>
          <w:lang w:val="el" w:eastAsia="el"/>
        </w:rPr>
        <w:t xml:space="preserve">; </w:t>
      </w:r>
      <w:hyperlink r:id="rId38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Προσθήκη 4411/2016, Άρθρο 27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Προσθήκη 4411/2016, Άρθρο 27</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Προσθήκη 4411/2016, Άρθρο 27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7" w:history="1">
        <w:r>
          <w:rPr>
            <w:rStyle w:val="Hyperlink"/>
            <w:color w:val="0000EE"/>
            <w:u w:color="0000EE"/>
            <w:lang w:val="el" w:eastAsia="el"/>
          </w:rPr>
          <w:t>Τροποποίηση 4411/2016, Άρθρο 27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7" w:history="1">
        <w:r>
          <w:rPr>
            <w:rStyle w:val="Hyperlink"/>
            <w:color w:val="0000EE"/>
            <w:u w:color="0000EE"/>
            <w:lang w:val="el" w:eastAsia="el"/>
          </w:rPr>
          <w:t>Τροποποίηση 4411/2016, Άρθρο 27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7" w:history="1">
        <w:r>
          <w:rPr>
            <w:rStyle w:val="Hyperlink"/>
            <w:color w:val="0000EE"/>
            <w:u w:color="0000EE"/>
            <w:lang w:val="el" w:eastAsia="el"/>
          </w:rPr>
          <w:t>Τροποποίηση 4411/2016, Άρθρο 27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7" w:history="1">
        <w:r>
          <w:rPr>
            <w:rStyle w:val="Hyperlink"/>
            <w:color w:val="0000EE"/>
            <w:u w:color="0000EE"/>
            <w:lang w:val="el" w:eastAsia="el"/>
          </w:rPr>
          <w:t>Τροποποίηση 4411/2016, Άρθρο 27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4411/2016, Άρθρο 27</w:t>
        </w:r>
      </w:hyperlink>
      <w:r>
        <w:rPr>
          <w:lang w:val="el" w:eastAsia="el"/>
        </w:rPr>
        <w:t xml:space="preserve">; </w:t>
      </w:r>
      <w:hyperlink r:id="rId407" w:anchor="art_70" w:history="1">
        <w:r>
          <w:rPr>
            <w:rStyle w:val="Hyperlink"/>
            <w:color w:val="0000EE"/>
            <w:u w:color="0000EE"/>
            <w:lang w:val="el" w:eastAsia="el"/>
          </w:rPr>
          <w:t>Προσθήκη 4370/2016, Άρθρο 70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40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42" w:history="1">
        <w:r>
          <w:rPr>
            <w:rStyle w:val="Hyperlink"/>
            <w:color w:val="0000EE"/>
            <w:u w:color="0000EE"/>
            <w:lang w:val="el" w:eastAsia="el"/>
          </w:rPr>
          <w:t>Τροποποίηση 4320/2015, Άρθρο 42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0" w:history="1">
        <w:r>
          <w:rPr>
            <w:rStyle w:val="Hyperlink"/>
            <w:color w:val="0000EE"/>
            <w:u w:color="0000EE"/>
            <w:lang w:val="el" w:eastAsia="el"/>
          </w:rPr>
          <w:t>Τροποποίηση 4255/2014,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8/05/15/4537" TargetMode="External" /><Relationship Id="rId101" Type="http://schemas.openxmlformats.org/officeDocument/2006/relationships/hyperlink" Target="http://data.aade.gr/eli/pri/law/2022/12/08/5000" TargetMode="External" /><Relationship Id="rId102" Type="http://schemas.openxmlformats.org/officeDocument/2006/relationships/hyperlink" Target="http://data.aade.gr/eli/pri/law/2022/12/08/5000" TargetMode="External" /><Relationship Id="rId103" Type="http://schemas.openxmlformats.org/officeDocument/2006/relationships/hyperlink" Target="http://data.aade.gr/eli/pri/law/2022/12/08/5000" TargetMode="External" /><Relationship Id="rId104" Type="http://schemas.openxmlformats.org/officeDocument/2006/relationships/hyperlink" Target="http://data.aade.gr/eli/pri/law/2022/12/08/5000" TargetMode="External" /><Relationship Id="rId105" Type="http://schemas.openxmlformats.org/officeDocument/2006/relationships/hyperlink" Target="http://data.aade.gr/eli/pri/law/2016/11/28/4438" TargetMode="External" /><Relationship Id="rId106" Type="http://schemas.openxmlformats.org/officeDocument/2006/relationships/hyperlink" Target="http://data.aade.gr/eli/pri/law/2022/12/08/5000" TargetMode="External" /><Relationship Id="rId107" Type="http://schemas.openxmlformats.org/officeDocument/2006/relationships/hyperlink" Target="http://data.aade.gr/eli/pri/law/2022/12/08/5000" TargetMode="External" /><Relationship Id="rId108" Type="http://schemas.openxmlformats.org/officeDocument/2006/relationships/hyperlink" Target="http://data.aade.gr/eli/pri/law/2016/11/28/443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21/05/07/4778" TargetMode="External" /><Relationship Id="rId147" Type="http://schemas.openxmlformats.org/officeDocument/2006/relationships/hyperlink" Target="http://data.aade.gr/eli/pri/law/2021/05/07/4778" TargetMode="External" /><Relationship Id="rId148" Type="http://schemas.openxmlformats.org/officeDocument/2006/relationships/hyperlink" Target="http://data.aade.gr/eli/pri/law/2021/05/07/4778" TargetMode="External" /><Relationship Id="rId149" Type="http://schemas.openxmlformats.org/officeDocument/2006/relationships/hyperlink" Target="http://data.aade.gr/eli/pri/law/2021/05/07/4778"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21/05/07/4778" TargetMode="External" /><Relationship Id="rId151" Type="http://schemas.openxmlformats.org/officeDocument/2006/relationships/hyperlink" Target="http://data.aade.gr/eli/pri/law/2021/05/07/4778" TargetMode="External" /><Relationship Id="rId152" Type="http://schemas.openxmlformats.org/officeDocument/2006/relationships/hyperlink" Target="http://data.aade.gr/eli/pri/law/2021/05/07/4778" TargetMode="External" /><Relationship Id="rId153" Type="http://schemas.openxmlformats.org/officeDocument/2006/relationships/hyperlink" Target="http://data.aade.gr/eli/pri/law/2021/05/07/4778" TargetMode="External" /><Relationship Id="rId154" Type="http://schemas.openxmlformats.org/officeDocument/2006/relationships/hyperlink" Target="http://data.aade.gr/eli/pri/law/2021/05/07/4778" TargetMode="External" /><Relationship Id="rId155" Type="http://schemas.openxmlformats.org/officeDocument/2006/relationships/hyperlink" Target="http://data.aade.gr/eli/pri/law/2021/05/07/4778"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07/12/4170"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21/05/07/4778"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21/05/07/4778"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21/05/07/4778" TargetMode="External" /><Relationship Id="rId186" Type="http://schemas.openxmlformats.org/officeDocument/2006/relationships/hyperlink" Target="http://data.aade.gr/eli/pri/law/2021/05/07/4778" TargetMode="External" /><Relationship Id="rId187" Type="http://schemas.openxmlformats.org/officeDocument/2006/relationships/hyperlink" Target="http://data.aade.gr/eli/pri/law/2021/05/07/4778" TargetMode="External" /><Relationship Id="rId188" Type="http://schemas.openxmlformats.org/officeDocument/2006/relationships/hyperlink" Target="http://data.aade.gr/eli/pri/law/2021/05/07/4778" TargetMode="External" /><Relationship Id="rId189" Type="http://schemas.openxmlformats.org/officeDocument/2006/relationships/hyperlink" Target="http://data.aade.gr/eli/pri/law/2021/05/07/4778"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21/05/07/4778" TargetMode="External" /><Relationship Id="rId191" Type="http://schemas.openxmlformats.org/officeDocument/2006/relationships/hyperlink" Target="http://data.aade.gr/eli/pri/law/2021/05/07/4778" TargetMode="External" /><Relationship Id="rId192" Type="http://schemas.openxmlformats.org/officeDocument/2006/relationships/hyperlink" Target="http://data.aade.gr/eli/pri/law/2021/05/07/4778" TargetMode="External" /><Relationship Id="rId193" Type="http://schemas.openxmlformats.org/officeDocument/2006/relationships/hyperlink" Target="http://data.aade.gr/eli/pri/law/2021/05/07/4778" TargetMode="External" /><Relationship Id="rId194" Type="http://schemas.openxmlformats.org/officeDocument/2006/relationships/hyperlink" Target="http://data.aade.gr/eli/pri/law/2021/05/07/4778" TargetMode="External" /><Relationship Id="rId195" Type="http://schemas.openxmlformats.org/officeDocument/2006/relationships/hyperlink" Target="http://data.aade.gr/eli/pri/law/2014/08/08/4281" TargetMode="External" /><Relationship Id="rId196" Type="http://schemas.openxmlformats.org/officeDocument/2006/relationships/hyperlink" Target="http://data.aade.gr/eli/pri/law/2013/07/12/4170" TargetMode="External" /><Relationship Id="rId197" Type="http://schemas.openxmlformats.org/officeDocument/2006/relationships/hyperlink" Target="http://data.aade.gr/eli/pri/law/2016/12/06/4441" TargetMode="External" /><Relationship Id="rId198" Type="http://schemas.openxmlformats.org/officeDocument/2006/relationships/hyperlink" Target="http://data.aade.gr/eli/pri/law/2016/04/26/4384" TargetMode="External" /><Relationship Id="rId199" Type="http://schemas.openxmlformats.org/officeDocument/2006/relationships/hyperlink" Target="http://data.aade.gr/eli/pri/law/2024/04/13/5102"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4/05/15/4264" TargetMode="External" /><Relationship Id="rId201" Type="http://schemas.openxmlformats.org/officeDocument/2006/relationships/hyperlink" Target="http://data.aade.gr/eli/pri/law/2014/05/15/4264" TargetMode="External" /><Relationship Id="rId202" Type="http://schemas.openxmlformats.org/officeDocument/2006/relationships/hyperlink" Target="http://data.aade.gr/eli/pri/law/2014/05/15/4264" TargetMode="External" /><Relationship Id="rId203" Type="http://schemas.openxmlformats.org/officeDocument/2006/relationships/hyperlink" Target="http://data.aade.gr/eli/pri/law/2022/07/04/4951" TargetMode="External" /><Relationship Id="rId204" Type="http://schemas.openxmlformats.org/officeDocument/2006/relationships/hyperlink" Target="http://data.aade.gr/eli/pri/law/2022/07/04/4951" TargetMode="External" /><Relationship Id="rId205" Type="http://schemas.openxmlformats.org/officeDocument/2006/relationships/hyperlink" Target="http://data.aade.gr/eli/pri/law/2022/07/04/4951" TargetMode="External" /><Relationship Id="rId206" Type="http://schemas.openxmlformats.org/officeDocument/2006/relationships/hyperlink" Target="http://data.aade.gr/eli/pri/law/2016/07/28/4409" TargetMode="External" /><Relationship Id="rId207" Type="http://schemas.openxmlformats.org/officeDocument/2006/relationships/hyperlink" Target="http://data.aade.gr/eli/pri/law/2022/07/04/4951" TargetMode="External" /><Relationship Id="rId208" Type="http://schemas.openxmlformats.org/officeDocument/2006/relationships/hyperlink" Target="http://data.aade.gr/eli/pri/law/2015/11/09/4342" TargetMode="External" /><Relationship Id="rId209" Type="http://schemas.openxmlformats.org/officeDocument/2006/relationships/hyperlink" Target="http://data.aade.gr/eli/pri/law/2022/07/04/4951"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22/07/04/4951" TargetMode="External" /><Relationship Id="rId211" Type="http://schemas.openxmlformats.org/officeDocument/2006/relationships/hyperlink" Target="http://data.aade.gr/eli/pri/law/2022/07/04/4951" TargetMode="External" /><Relationship Id="rId212" Type="http://schemas.openxmlformats.org/officeDocument/2006/relationships/hyperlink" Target="http://data.aade.gr/eli/pri/law/2022/07/04/4951" TargetMode="External" /><Relationship Id="rId213" Type="http://schemas.openxmlformats.org/officeDocument/2006/relationships/hyperlink" Target="http://data.aade.gr/eli/pri/law/2015/11/09/4342"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3/11/01/4203"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3/11/01/4203" TargetMode="External" /><Relationship Id="rId221" Type="http://schemas.openxmlformats.org/officeDocument/2006/relationships/hyperlink" Target="http://data.aade.gr/eli/pri/law/2015/11/09/4342"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5/11/09/4342" TargetMode="External" /><Relationship Id="rId224" Type="http://schemas.openxmlformats.org/officeDocument/2006/relationships/hyperlink" Target="http://data.aade.gr/eli/pri/law/2015/11/09/4342" TargetMode="External" /><Relationship Id="rId225" Type="http://schemas.openxmlformats.org/officeDocument/2006/relationships/hyperlink" Target="http://data.aade.gr/eli/pri/law/2015/11/09/4342" TargetMode="External" /><Relationship Id="rId226" Type="http://schemas.openxmlformats.org/officeDocument/2006/relationships/hyperlink" Target="http://data.aade.gr/eli/pri/law/2015/11/09/4342" TargetMode="External" /><Relationship Id="rId227" Type="http://schemas.openxmlformats.org/officeDocument/2006/relationships/hyperlink" Target="http://data.aade.gr/eli/pri/law/2015/11/09/4342" TargetMode="External" /><Relationship Id="rId228" Type="http://schemas.openxmlformats.org/officeDocument/2006/relationships/hyperlink" Target="http://data.aade.gr/eli/pri/law/2015/11/09/4342" TargetMode="External" /><Relationship Id="rId229" Type="http://schemas.openxmlformats.org/officeDocument/2006/relationships/hyperlink" Target="http://data.aade.gr/eli/pri/law/2015/11/09/4342"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11/09/4342" TargetMode="External" /><Relationship Id="rId231" Type="http://schemas.openxmlformats.org/officeDocument/2006/relationships/hyperlink" Target="http://data.aade.gr/eli/pri/law/2015/11/09/4342" TargetMode="External" /><Relationship Id="rId232" Type="http://schemas.openxmlformats.org/officeDocument/2006/relationships/hyperlink" Target="http://data.aade.gr/eli/pri/law/2016/12/23/4447" TargetMode="External" /><Relationship Id="rId233" Type="http://schemas.openxmlformats.org/officeDocument/2006/relationships/hyperlink" Target="http://data.aade.gr/eli/pri/law/2015/11/09/4342" TargetMode="External" /><Relationship Id="rId234" Type="http://schemas.openxmlformats.org/officeDocument/2006/relationships/hyperlink" Target="http://data.aade.gr/eli/pri/law/2013/11/01/4203" TargetMode="External" /><Relationship Id="rId235" Type="http://schemas.openxmlformats.org/officeDocument/2006/relationships/hyperlink" Target="http://data.aade.gr/eli/pri/law/2014/10/02/4296" TargetMode="External" /><Relationship Id="rId236" Type="http://schemas.openxmlformats.org/officeDocument/2006/relationships/hyperlink" Target="http://data.aade.gr/eli/pri/law/2013/11/01/4203" TargetMode="External" /><Relationship Id="rId237" Type="http://schemas.openxmlformats.org/officeDocument/2006/relationships/hyperlink" Target="http://data.aade.gr/eli/pri/law/2013/11/01/4203" TargetMode="External" /><Relationship Id="rId238" Type="http://schemas.openxmlformats.org/officeDocument/2006/relationships/hyperlink" Target="http://data.aade.gr/eli/pri/law/2013/11/01/4203" TargetMode="External" /><Relationship Id="rId239" Type="http://schemas.openxmlformats.org/officeDocument/2006/relationships/hyperlink" Target="http://data.aade.gr/eli/pri/law/2014/01/07/4225"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4/01/07/4225" TargetMode="External" /><Relationship Id="rId241" Type="http://schemas.openxmlformats.org/officeDocument/2006/relationships/hyperlink" Target="http://data.aade.gr/eli/pri/law/2015/08/14/4336"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5/08/14/4336" TargetMode="External" /><Relationship Id="rId244" Type="http://schemas.openxmlformats.org/officeDocument/2006/relationships/hyperlink" Target="http://data.aade.gr/eli/pri/law/2015/08/14/4336" TargetMode="External" /><Relationship Id="rId245" Type="http://schemas.openxmlformats.org/officeDocument/2006/relationships/hyperlink" Target="http://data.aade.gr/eli/pri/law/2014/01/07/4225" TargetMode="External" /><Relationship Id="rId246" Type="http://schemas.openxmlformats.org/officeDocument/2006/relationships/hyperlink" Target="http://data.aade.gr/eli/pri/law/2014/01/07/4225" TargetMode="External" /><Relationship Id="rId247" Type="http://schemas.openxmlformats.org/officeDocument/2006/relationships/hyperlink" Target="http://data.aade.gr/eli/pri/law/2015/03/19/4320"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5/03/19/4320"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5/03/19/4320"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5/03/19/4320"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5/03/19/4320"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5/03/19/4320"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3/19/4320"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5/03/19/4320"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5/03/19/4320" TargetMode="External" /><Relationship Id="rId268" Type="http://schemas.openxmlformats.org/officeDocument/2006/relationships/hyperlink" Target="http://data.aade.gr/eli/pri/law/2014/12/24/4316" TargetMode="External" /><Relationship Id="rId269" Type="http://schemas.openxmlformats.org/officeDocument/2006/relationships/hyperlink" Target="http://data.aade.gr/eli/pri/law/2015/03/19/4320"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4/12/24/4316" TargetMode="External" /><Relationship Id="rId271" Type="http://schemas.openxmlformats.org/officeDocument/2006/relationships/hyperlink" Target="http://data.aade.gr/eli/pri/law/2015/03/19/4320" TargetMode="External" /><Relationship Id="rId272" Type="http://schemas.openxmlformats.org/officeDocument/2006/relationships/hyperlink" Target="http://data.aade.gr/eli/pri/law/2014/12/24/4316" TargetMode="External" /><Relationship Id="rId273" Type="http://schemas.openxmlformats.org/officeDocument/2006/relationships/hyperlink" Target="http://data.aade.gr/eli/pri/law/2015/03/19/4320" TargetMode="External" /><Relationship Id="rId274" Type="http://schemas.openxmlformats.org/officeDocument/2006/relationships/hyperlink" Target="http://data.aade.gr/eli/pri/law/2014/12/24/4316" TargetMode="External" /><Relationship Id="rId275" Type="http://schemas.openxmlformats.org/officeDocument/2006/relationships/hyperlink" Target="http://data.aade.gr/eli/pri/law/2015/03/19/4320"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15/03/19/4320"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5/03/19/4320"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5/03/19/4320"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5/03/19/4320"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15/03/19/4320" TargetMode="External" /><Relationship Id="rId286" Type="http://schemas.openxmlformats.org/officeDocument/2006/relationships/hyperlink" Target="http://data.aade.gr/eli/pri/law/2014/12/24/4316" TargetMode="External" /><Relationship Id="rId287" Type="http://schemas.openxmlformats.org/officeDocument/2006/relationships/hyperlink" Target="http://data.aade.gr/eli/pri/law/2015/03/19/4320" TargetMode="External" /><Relationship Id="rId288" Type="http://schemas.openxmlformats.org/officeDocument/2006/relationships/hyperlink" Target="http://data.aade.gr/eli/pri/law/2014/12/24/4316" TargetMode="External" /><Relationship Id="rId289" Type="http://schemas.openxmlformats.org/officeDocument/2006/relationships/hyperlink" Target="http://data.aade.gr/eli/pri/law/2015/03/19/4320"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4/12/24/4316"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5/03/19/4320"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5/03/19/4320"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5/03/19/4320"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15/03/19/432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15/03/19/4320"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5/03/19/4320"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15/03/19/4320"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5/03/19/4320"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3/19/4320"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5/03/19/4320"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5/03/19/4320"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5/03/19/4320"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5/03/19/4320"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5/03/19/4320"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5/03/19/4320"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5/03/19/4320"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5/03/19/4320"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5/03/19/4320"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5/03/19/4320"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5/03/19/4320"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5/03/19/4320"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5/03/19/4320"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5/03/19/4320"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5/03/19/4320"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5/03/19/4320"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5/03/19/4320"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5/03/19/4320" TargetMode="External" /><Relationship Id="rId347" Type="http://schemas.openxmlformats.org/officeDocument/2006/relationships/hyperlink" Target="http://data.aade.gr/eli/pri/law/2014/12/24/4316" TargetMode="External" /><Relationship Id="rId348" Type="http://schemas.openxmlformats.org/officeDocument/2006/relationships/hyperlink" Target="http://data.aade.gr/eli/pri/law/2015/03/19/4320"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3/19/4320" TargetMode="External" /><Relationship Id="rId351" Type="http://schemas.openxmlformats.org/officeDocument/2006/relationships/hyperlink" Target="http://data.aade.gr/eli/pri/law/2014/12/24/4316" TargetMode="External" /><Relationship Id="rId352" Type="http://schemas.openxmlformats.org/officeDocument/2006/relationships/hyperlink" Target="http://data.aade.gr/eli/pri/law/2015/03/19/4320" TargetMode="External" /><Relationship Id="rId353" Type="http://schemas.openxmlformats.org/officeDocument/2006/relationships/hyperlink" Target="http://data.aade.gr/eli/pri/law/2014/12/24/4316" TargetMode="External" /><Relationship Id="rId354" Type="http://schemas.openxmlformats.org/officeDocument/2006/relationships/hyperlink" Target="http://data.aade.gr/eli/pri/law/2015/03/19/4320"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4/12/24/4316" TargetMode="External" /><Relationship Id="rId357" Type="http://schemas.openxmlformats.org/officeDocument/2006/relationships/hyperlink" Target="http://data.aade.gr/eli/pri/law/2015/03/19/4320" TargetMode="External" /><Relationship Id="rId358" Type="http://schemas.openxmlformats.org/officeDocument/2006/relationships/hyperlink" Target="http://data.aade.gr/eli/pri/law/2015/03/19/4320" TargetMode="External" /><Relationship Id="rId359" Type="http://schemas.openxmlformats.org/officeDocument/2006/relationships/hyperlink" Target="http://data.aade.gr/eli/pri/law/2015/03/19/4320"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3/19/4320"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5/03/19/4320" TargetMode="External" /><Relationship Id="rId363" Type="http://schemas.openxmlformats.org/officeDocument/2006/relationships/hyperlink" Target="http://data.aade.gr/eli/pri/law/2014/12/24/4316" TargetMode="External" /><Relationship Id="rId364" Type="http://schemas.openxmlformats.org/officeDocument/2006/relationships/hyperlink" Target="http://data.aade.gr/eli/pri/law/2015/03/19/4320"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5/03/19/4320"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15/03/19/4320"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5/03/19/4320"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15/03/19/4320"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5/03/19/4320" TargetMode="External" /><Relationship Id="rId375" Type="http://schemas.openxmlformats.org/officeDocument/2006/relationships/hyperlink" Target="http://data.aade.gr/eli/pri/law/2014/12/24/4316" TargetMode="External" /><Relationship Id="rId376" Type="http://schemas.openxmlformats.org/officeDocument/2006/relationships/hyperlink" Target="http://data.aade.gr/eli/pri/law/2015/03/19/4320" TargetMode="External" /><Relationship Id="rId377" Type="http://schemas.openxmlformats.org/officeDocument/2006/relationships/hyperlink" Target="http://data.aade.gr/eli/pri/law/2014/12/24/4316" TargetMode="External" /><Relationship Id="rId378" Type="http://schemas.openxmlformats.org/officeDocument/2006/relationships/hyperlink" Target="http://data.aade.gr/eli/pri/law/2015/03/19/4320" TargetMode="External" /><Relationship Id="rId379" Type="http://schemas.openxmlformats.org/officeDocument/2006/relationships/hyperlink" Target="http://data.aade.gr/eli/pri/law/2015/03/19/4320" TargetMode="External" /><Relationship Id="rId38" Type="http://schemas.openxmlformats.org/officeDocument/2006/relationships/hyperlink" Target="http://data.aade.gr/eli/pri/law/2024/05/24/5111" TargetMode="External" /><Relationship Id="rId380" Type="http://schemas.openxmlformats.org/officeDocument/2006/relationships/hyperlink" Target="http://data.aade.gr/eli/pri/law/2014/12/24/4316" TargetMode="External" /><Relationship Id="rId381" Type="http://schemas.openxmlformats.org/officeDocument/2006/relationships/hyperlink" Target="http://data.aade.gr/eli/pri/law/2013/11/18/4208" TargetMode="External" /><Relationship Id="rId382" Type="http://schemas.openxmlformats.org/officeDocument/2006/relationships/hyperlink" Target="http://data.aade.gr/eli/pri/law/2015/03/19/4320" TargetMode="External" /><Relationship Id="rId383" Type="http://schemas.openxmlformats.org/officeDocument/2006/relationships/hyperlink" Target="http://data.aade.gr/eli/pri/law/2019/06/10/4618" TargetMode="External" /><Relationship Id="rId384" Type="http://schemas.openxmlformats.org/officeDocument/2006/relationships/hyperlink" Target="http://data.aade.gr/eli/pri/law/2016/08/03/4411" TargetMode="External" /><Relationship Id="rId385" Type="http://schemas.openxmlformats.org/officeDocument/2006/relationships/hyperlink" Target="http://data.aade.gr/eli/pri/law/2016/03/07/4370" TargetMode="External" /><Relationship Id="rId386" Type="http://schemas.openxmlformats.org/officeDocument/2006/relationships/hyperlink" Target="http://data.aade.gr/eli/pri/law/2016/03/07/4370" TargetMode="External" /><Relationship Id="rId387" Type="http://schemas.openxmlformats.org/officeDocument/2006/relationships/hyperlink" Target="http://data.aade.gr/eli/pri/law/2016/03/07/4370"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9/12/12/4646"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8/03/4411"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3/07/26/4174"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6/08/03/4411" TargetMode="External" /><Relationship Id="rId403" Type="http://schemas.openxmlformats.org/officeDocument/2006/relationships/hyperlink" Target="http://data.aade.gr/eli/pri/law/2016/08/03/4411" TargetMode="External" /><Relationship Id="rId404" Type="http://schemas.openxmlformats.org/officeDocument/2006/relationships/hyperlink" Target="http://data.aade.gr/eli/pri/law/2016/08/03/4411" TargetMode="External" /><Relationship Id="rId405" Type="http://schemas.openxmlformats.org/officeDocument/2006/relationships/hyperlink" Target="http://data.aade.gr/eli/pri/law/2016/08/03/4411" TargetMode="External" /><Relationship Id="rId406" Type="http://schemas.openxmlformats.org/officeDocument/2006/relationships/hyperlink" Target="http://data.aade.gr/eli/pri/law/2016/08/03/4411" TargetMode="External" /><Relationship Id="rId407" Type="http://schemas.openxmlformats.org/officeDocument/2006/relationships/hyperlink" Target="http://data.aade.gr/eli/pri/law/2016/03/07/4370" TargetMode="External" /><Relationship Id="rId408" Type="http://schemas.openxmlformats.org/officeDocument/2006/relationships/hyperlink" Target="http://data.aade.gr/eli/pri/law/2016/08/03/4411" TargetMode="External" /><Relationship Id="rId409" Type="http://schemas.openxmlformats.org/officeDocument/2006/relationships/hyperlink" Target="http://data.aade.gr/eli/pri/law/2016/08/03/4411" TargetMode="External" /><Relationship Id="rId41" Type="http://schemas.openxmlformats.org/officeDocument/2006/relationships/hyperlink" Target="http://data.aade.gr/eli/pri/law/2024/12/05/5162" TargetMode="External" /><Relationship Id="rId410" Type="http://schemas.openxmlformats.org/officeDocument/2006/relationships/hyperlink" Target="http://data.aade.gr/eli/pri/law/2016/08/03/4411" TargetMode="External" /><Relationship Id="rId411" Type="http://schemas.openxmlformats.org/officeDocument/2006/relationships/hyperlink" Target="http://data.aade.gr/eli/pri/law/2016/08/03/4411" TargetMode="External" /><Relationship Id="rId412" Type="http://schemas.openxmlformats.org/officeDocument/2006/relationships/hyperlink" Target="http://data.aade.gr/eli/pri/law/2016/08/03/4411" TargetMode="External" /><Relationship Id="rId413" Type="http://schemas.openxmlformats.org/officeDocument/2006/relationships/hyperlink" Target="http://data.aade.gr/eli/pri/law/2015/03/19/4320" TargetMode="External" /><Relationship Id="rId414" Type="http://schemas.openxmlformats.org/officeDocument/2006/relationships/hyperlink" Target="http://data.aade.gr/eli/pri/law/2014/04/11/4255" TargetMode="External" /><Relationship Id="rId415" Type="http://schemas.openxmlformats.org/officeDocument/2006/relationships/hyperlink" Target="http://data.aade.gr/eli/pri/law/2013/07/12/4170" TargetMode="External" /><Relationship Id="rId42" Type="http://schemas.openxmlformats.org/officeDocument/2006/relationships/hyperlink" Target="http://data.aade.gr/eli/pri/law/2024/12/05/5162" TargetMode="External" /><Relationship Id="rId43" Type="http://schemas.openxmlformats.org/officeDocument/2006/relationships/hyperlink" Target="http://data.aade.gr/eli/pri/law/2024/12/05/5162"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24/04/19/5104" TargetMode="External" /><Relationship Id="rId46" Type="http://schemas.openxmlformats.org/officeDocument/2006/relationships/hyperlink" Target="http://data.aade.gr/eli/pri/law/2024/04/19/5104" TargetMode="External" /><Relationship Id="rId47" Type="http://schemas.openxmlformats.org/officeDocument/2006/relationships/hyperlink" Target="http://data.aade.gr/eli/pri/law/2024/04/19/5104" TargetMode="External" /><Relationship Id="rId48" Type="http://schemas.openxmlformats.org/officeDocument/2006/relationships/hyperlink" Target="http://data.aade.gr/eli/pri/law/2024/04/19/5104" TargetMode="External" /><Relationship Id="rId49" Type="http://schemas.openxmlformats.org/officeDocument/2006/relationships/hyperlink" Target="http://data.aade.gr/eli/pri/law/2024/04/19/510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04/19/5104" TargetMode="External" /><Relationship Id="rId51" Type="http://schemas.openxmlformats.org/officeDocument/2006/relationships/hyperlink" Target="http://data.aade.gr/eli/pri/law/2019/12/12/4646"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9/12/12/4646" TargetMode="External" /><Relationship Id="rId55" Type="http://schemas.openxmlformats.org/officeDocument/2006/relationships/hyperlink" Target="http://data.aade.gr/eli/pri/law/2013/07/23/4172"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22/12/08/500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22/12/08/5000"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0/07/31/4714"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0/07/31/4714"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18/05/15/4537"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22/12/08/500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2/12/08/5000"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22/12/08/5000"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13/07/12/4170" TargetMode="External" /><Relationship Id="rId99" Type="http://schemas.openxmlformats.org/officeDocument/2006/relationships/hyperlink" Target="http://data.aade.gr/eli/pri/law/2022/12/08/5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