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\στ) 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4"/>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πάροδο είκοσι (20) ημερών από τη λήξη έκαστου ημερολογιακού μήνα.</w:t>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ανατίθενται, για λόγους διασφάλισης του δημοσίου συμφέροντος και εύρυθμης λειτουργίας του Ε.Ο.Π.Υ.Υ., σε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κανόνων και ο έλεγχος των παραστατικών και αναγκαίων δικαιολογητικών, καθώς και η εκκαθάριση των λογαριασμών μεταξύ του Ε.Ο.Π.Υ.Υ. και των συμβεβλημένων με αυτόν παρόχων υπηρεσιών υγείας. Το σύνολο των δαπανών για την υλοποίηση των ανωτέρω βαρύνει τους παρόχους υπηρεσιών υγείας. </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9" w:history="1">
        <w:r>
          <w:rPr>
            <w:rStyle w:val="Hyperlink"/>
            <w:color w:val="0000EE"/>
            <w:u w:color="0000EE"/>
            <w:lang w:val="el" w:eastAsia="el"/>
          </w:rPr>
          <w:t>Τροποποίηση 4174/2013, Άρθρο 79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9" w:history="1">
        <w:r>
          <w:rPr>
            <w:rStyle w:val="Hyperlink"/>
            <w:color w:val="0000EE"/>
            <w:u w:color="0000EE"/>
            <w:lang w:val="el" w:eastAsia="el"/>
          </w:rPr>
          <w:t>Τροποποίηση 4174/2013, Άρθρο 79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6/41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