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παράγραφο 2, για το εισόδημα που προκύπτει στην αλλοδαπή κατά την έννοια της παραγράφου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αποδεικνύει ότι επενδύει o ίδιος ή συγγενικό του πρόσωπο, κατά την έννοια της περίπτωσης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παράγραφο 3.</w:t>
      </w:r>
    </w:p>
    <w:p>
      <w:pPr>
        <w:spacing w:before="240" w:after="240"/>
        <w:rPr>
          <w:lang w:val="el" w:eastAsia="el"/>
        </w:rPr>
      </w:pPr>
      <w:r>
        <w:rPr>
          <w:lang w:val="el" w:eastAsia="el"/>
        </w:rPr>
        <w:t>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παραγράφου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παράγραφο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περίπτωσης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παράγραφο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παραγράφου 1 και έχουν ήδη μεταφέρει τη φορολογική τους κατοικία στην Ελλάδα εντός του προηγούμενου φορολογικού έτους.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παράγραφος 2 του ΚΦΔ, για τον φορολογούμενο και για κάθε συγγενικό του πρόσωπο κατά την έννοια της περίπτωσης στ` του άρθρου 2 για το οποίο επεκτείνεται η εφαρμογή του άρθρου αυτού.</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οριζόμενο στην παράγραφο 2 κατ` αποκοπή ποσό φόρου, παύει να υπάγεται στις διατάξεις του παρόντος άρθρου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παράγραφο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παραγράφου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παραγράφου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διαδικασία απόδειξης της επένδυσης, η παρακολούθηση της διατήρησης της επένδυσης και κάθε αναγκαία λεπτομέρεια για την εφαρμογή των διατάξεων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καθορίζεται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αναγκαίο θέμα ή λεπτομέρειες για την εφαρμογή των διατάξεων του παρόντος άρθρου.</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για την υπαγωγή στις διατάξεις του παρόντος υποβάλλεται στη Φορολογική Διοίκηση από το φυσικό πρόσωπο εντός του έτους ανάληψης της υπηρεσίας του σύμφωνα με την περ. γ` της παρ. 1 και όχι πέραν της 31ης Ιουλίου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6 εφαρμόζονται αποκλειστικά για την πλήρωση νέων θέσεων εργασίας.</w:t>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μεταφοράς της φορολογικής κατοικίας για την υπαγωγή στις διατάξεις του παρόντος υποβάλλεται στη Φορολογική Διοίκηση από το φυσικό πρόσωπο εντός του φορολογικού έτους έναρξης των εργασιών του στην Ελλάδα και όχι πέραν της 31ης Ιουλίου του έτους αυτού.</w:t>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 xml:space="preserve">η ελεγκτική αποζημίωση των παρ. 1 και 2 του άρθρου 70 του ν. 4647/2019 (Α` 204). ιστ) το άνευ χρηματικού ανταλλάγματος κόστος φόρτισης επιβατικού αυτοκινήτου μηδενικών ή χαμηλών ρύπων έως 50 γρ. CO-,/χλμ. στις εγκαταστάσεις του εργοδότη. </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 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η πτητική αποζημίωση που καταβάλλεται στους πιλότους της πολιτικής αεροπορίας και της Υπηρεσίας Πολιτικής Αεροπορίας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2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δέκα τοις εκατό (10%).</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 αυτά.</w:t>
      </w:r>
    </w:p>
    <w:p>
      <w:pPr>
        <w:spacing w:before="240" w:after="240"/>
        <w:rPr>
          <w:lang w:val="el" w:eastAsia="el"/>
        </w:rPr>
      </w:pPr>
      <w:r>
        <w:rPr>
          <w:lang w:val="el" w:eastAsia="el"/>
        </w:rPr>
        <w:t>[…]</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23"/>
      </w:r>
      <w:r>
        <w:rPr>
          <w:rStyle w:val="Hyperlink"/>
          <w:color w:val="000000"/>
          <w:sz w:val="20"/>
          <w:szCs w:val="20"/>
          <w:u w:val="none" w:color="0000EE"/>
          <w:vertAlign w:val="superscript"/>
          <w:lang w:val="el" w:eastAsia="el"/>
        </w:rPr>
        <w:footnoteReference w:id="24"/>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περίπτωσης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καθορίζεται κάθε άλλη αναγκαία λεπτομέρεια για την εφαρμογή της παρούσας. Με απόφαση του Διοικητή της ΑΑΔΕ καθορίζεται η διαδικασία συγκέντρωσης των απαραίτητων δεδομένων από τους παρόχους υπηρεσιών πληρωμών.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6.</w:t>
      </w:r>
      <w:r>
        <w:rPr>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Heading6"/>
        <w:spacing w:before="240" w:after="240"/>
        <w:rPr>
          <w:lang w:val="el" w:eastAsia="el"/>
        </w:rPr>
      </w:pPr>
      <w:r>
        <w:rPr>
          <w:rStyle w:val="article-num"/>
          <w:b/>
          <w:bCs/>
          <w:lang w:val="el" w:eastAsia="el"/>
        </w:rPr>
        <w:t>Αρθρο 22Α</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1.</w:t>
      </w:r>
      <w:r>
        <w:rPr>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lang w:val="el" w:eastAsia="el"/>
        </w:rPr>
        <w:t xml:space="preserve"> α) Εναλλακτικά, αντί της διαδικασίας της παρ. 2, η επιχείρηση, συγχρόνως με την υποβολή της φορολογικής της δήλωσης, μπορεί να υποβάλει στη Γενική Γραμματεία Έρευνας και Τεχνολογίας του Υπουργείου Ανάπτυξης και Επενδύσεων, τα απαραίτητα δικαιολογητικά, συνοδευόμενα από έκθεση ελέγχου για την πραγματοποίηση των δαπανών και το ύψος αυτών, η οποία υπογράφεται από ορκωτό ελεγκτή - λογιστή ή/και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w:t>
      </w:r>
    </w:p>
    <w:p>
      <w:pPr>
        <w:pStyle w:val="StructureList1"/>
        <w:spacing w:before="120" w:after="0"/>
        <w:rPr>
          <w:lang w:val="el" w:eastAsia="el"/>
        </w:rPr>
      </w:pPr>
      <w:r>
        <w:rPr>
          <w:lang w:val="el" w:eastAsia="el"/>
        </w:rPr>
        <w:t>β)</w:t>
      </w:r>
      <w:r>
        <w:rPr>
          <w:lang w:val="en" w:eastAsia="en"/>
        </w:rPr>
        <w:tab/>
      </w:r>
      <w:r>
        <w:rPr>
          <w:lang w:val="el" w:eastAsia="el"/>
        </w:rPr>
        <w:t>Στην περίπτωση αυτή η Γενική Γραμματεία Έρευνας και Τεχνολογίας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lang w:val="el" w:eastAsia="el"/>
        </w:rPr>
        <w:t>γ)</w:t>
      </w:r>
      <w:r>
        <w:rPr>
          <w:lang w:val="en" w:eastAsia="en"/>
        </w:rPr>
        <w:tab/>
      </w:r>
      <w:r>
        <w:rPr>
          <w:lang w:val="el" w:eastAsia="el"/>
        </w:rPr>
        <w:t>Με κοινή απόφαση των Υπουργών Οικονομικών και Ανάπτυξης και Επενδύσεων, η οποία εκδίδεται ύστερα από γνώμη της Επιτροπής Λογιστικής Τυποποίησης και Ελέγχων (ΕΛ.Τ.Ε.), καθορίζεται το ελεγκτικό πλαίσιο (Διεθνή Πρότυπα), βάσει του οποίου διενεργούνται οι έλεγχοι από τους ορκωτούς ελεγκτές λογιστές ή/και τις ελεγκτικές εταιρείες, σύμφωνα με τον ν. 4449/2017, τα απαραίτητα δικαιολογητικά, καθώς και η διαδικασία ελέγχου από τη Γενική Γραμματεία Έρευνας και Τεχνολογίας. Η διενέργεια του ελέγχου των δαπανών επιστημονικής και τεχνολογικής έρευνας από ορκωτούς ελεγκτές λογιστές ή/και ελεγκτικές εταιρείες, όπως ορίζεται στο παρόν, θεωρείται υποχρεωτικός έλεγχος. Οι ορκωτοί ελεγκτές λογιστές ή/και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και τον ν. 4449/2017, όπως ισχύουν για τις οντότητες μη δημοσίου συμφέροντος.</w:t>
      </w:r>
    </w:p>
    <w:p>
      <w:pPr>
        <w:pStyle w:val="StructureList1"/>
        <w:spacing w:before="120" w:after="0"/>
        <w:rPr>
          <w:lang w:val="el" w:eastAsia="el"/>
        </w:rPr>
      </w:pPr>
      <w:r>
        <w:rPr>
          <w:lang w:val="el" w:eastAsia="el"/>
        </w:rPr>
        <w:t>δ)</w:t>
      </w:r>
      <w:r>
        <w:rPr>
          <w:lang w:val="en" w:eastAsia="en"/>
        </w:rPr>
        <w:tab/>
      </w:r>
      <w:r>
        <w:rPr>
          <w:lang w:val="el" w:eastAsia="el"/>
        </w:rPr>
        <w:t>Οι εκθέσεις ελέγχου της παρ. 3.α υπόκεινται σε δειγματοληπτικό έλεγχο που διενεργείται από τη Γενική Γραμματεία Έρευνας και Τεχνολογίας του Υπουργείου Ανάπτυξης και Επενδύσεων. Ο δειγματοληπτικός αυτός έλεγχος διενεργείται σε ετήσια βάση και αφορά κατ` ελάχιστον στο πέντε τοις εκατό (5%)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α)</w:t>
      </w:r>
      <w:r>
        <w:rPr>
          <w:lang w:val="en" w:eastAsia="en"/>
        </w:rPr>
        <w:tab/>
      </w:r>
      <w:r>
        <w:rPr>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lang w:val="el" w:eastAsia="el"/>
        </w:rPr>
        <w:t>β)</w:t>
      </w:r>
      <w:r>
        <w:rPr>
          <w:lang w:val="en" w:eastAsia="en"/>
        </w:rPr>
        <w:tab/>
      </w:r>
      <w:r>
        <w:rPr>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lang w:val="el" w:eastAsia="el"/>
        </w:rPr>
        <w:t>γ)</w:t>
      </w:r>
      <w:r>
        <w:rPr>
          <w:lang w:val="en" w:eastAsia="en"/>
        </w:rPr>
        <w:tab/>
      </w:r>
      <w:r>
        <w:rPr>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lang w:val="el" w:eastAsia="el"/>
        </w:rPr>
        <w:t>δ)</w:t>
      </w:r>
      <w:r>
        <w:rPr>
          <w:lang w:val="en" w:eastAsia="en"/>
        </w:rPr>
        <w:tab/>
      </w:r>
      <w:r>
        <w:rPr>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lang w:val="el" w:eastAsia="el"/>
        </w:rPr>
        <w:t>ε)</w:t>
      </w:r>
      <w:r>
        <w:rPr>
          <w:lang w:val="en" w:eastAsia="en"/>
        </w:rPr>
        <w:tab/>
      </w:r>
      <w:r>
        <w:rPr>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και 2021</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H διαφημιστική δαπάνη που πραγματοποιεί επιχείρηση κατά τα φορολογικά έτη 2020 και 2021, κατά το μέρος που η εν λόγω δαπάνη αφορά:</w:t>
      </w:r>
    </w:p>
    <w:p>
      <w:pPr>
        <w:pStyle w:val="StructureList1"/>
        <w:spacing w:before="120" w:after="0"/>
        <w:rPr>
          <w:lang w:val="el" w:eastAsia="el"/>
        </w:rPr>
      </w:pPr>
      <w:r>
        <w:rPr>
          <w:lang w:val="el" w:eastAsia="el"/>
        </w:rPr>
        <w:t>α)</w:t>
      </w:r>
      <w:r>
        <w:rPr>
          <w:lang w:val="en" w:eastAsia="en"/>
        </w:rPr>
        <w:tab/>
      </w:r>
      <w:r>
        <w:rPr>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lang w:val="el" w:eastAsia="el"/>
        </w:rPr>
        <w:t>β)</w:t>
      </w:r>
      <w:r>
        <w:rPr>
          <w:lang w:val="en" w:eastAsia="en"/>
        </w:rPr>
        <w:tab/>
      </w:r>
      <w:r>
        <w:rPr>
          <w:lang w:val="el" w:eastAsia="el"/>
        </w:rPr>
        <w:t>στην αγορά χρόνου ή χώρου, με σκοπό τη μετάδοση ή καταχώριση δια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και κατά εξήντα τοις εκατό (60%) για το φορολογικό έτος 2021 υπό τις ακόλουθες προϋποθέσεις:</w:t>
      </w:r>
    </w:p>
    <w:p>
      <w:pPr>
        <w:spacing w:before="240" w:after="240"/>
        <w:rPr>
          <w:lang w:val="el" w:eastAsia="el"/>
        </w:rPr>
      </w:pPr>
      <w:r>
        <w:rPr>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lang w:val="el" w:eastAsia="el"/>
        </w:rPr>
        <w:t>(ii) η διαφημιστική δαπάνη της επιχείρησης για το φορολογικό έτος 2021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w:t>
      </w:r>
    </w:p>
    <w:p>
      <w:pPr>
        <w:spacing w:before="240" w:after="240"/>
        <w:rPr>
          <w:lang w:val="el" w:eastAsia="el"/>
        </w:rPr>
      </w:pPr>
      <w:r>
        <w:rPr>
          <w:lang w:val="el" w:eastAsia="el"/>
        </w:rPr>
        <w:t>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 Αν προκύψουν ζημιές μετά από την αφαίρεση των ως άνω ποσοστών, αυτές μεταφέρονται με βάση το άρθρο 27.</w:t>
      </w:r>
    </w:p>
    <w:p>
      <w:pPr>
        <w:spacing w:before="240" w:after="240"/>
        <w:rPr>
          <w:lang w:val="el" w:eastAsia="el"/>
        </w:rPr>
      </w:pPr>
      <w:r>
        <w:rPr>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p>
    <w:p>
      <w:pPr>
        <w:pStyle w:val="Heading6"/>
        <w:spacing w:before="240" w:after="240"/>
        <w:rPr>
          <w:lang w:val="el" w:eastAsia="el"/>
        </w:rPr>
      </w:pPr>
      <w:r>
        <w:rPr>
          <w:b/>
          <w:bCs/>
          <w:lang w:val="el" w:eastAsia="el"/>
        </w:rPr>
        <w:t>Διαφημιστικές δαπάνες</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Οι ακόλουθες δαπάνες δεν εκπίπτουν:</w:t>
      </w:r>
    </w:p>
    <w:p>
      <w:pPr>
        <w:spacing w:before="240" w:after="240"/>
        <w:rPr>
          <w:lang w:val="el" w:eastAsia="el"/>
        </w:rPr>
      </w:pPr>
      <w:r>
        <w:rPr>
          <w:rStyle w:val="Hyperlink"/>
          <w:color w:val="000000"/>
          <w:sz w:val="20"/>
          <w:szCs w:val="20"/>
          <w:u w:val="none" w:color="0000EE"/>
          <w:vertAlign w:val="superscript"/>
          <w:lang w:val="el" w:eastAsia="el"/>
        </w:rPr>
        <w:footnoteReference w:id="44"/>
      </w:r>
      <w:r>
        <w:rPr>
          <w:lang w:val="el" w:eastAsia="el"/>
        </w:rPr>
        <w:t>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lang w:val="el" w:eastAsia="el"/>
        </w:rPr>
        <w:t>Γ) Οι μη καταβληθείσες ασφαλιστικές εισφορές.</w:t>
      </w:r>
    </w:p>
    <w:p>
      <w:pPr>
        <w:spacing w:before="240" w:after="240"/>
        <w:rPr>
          <w:lang w:val="el" w:eastAsia="el"/>
        </w:rPr>
      </w:pPr>
      <w:r>
        <w:rPr>
          <w:lang w:val="el" w:eastAsia="el"/>
        </w:rPr>
        <w:t>Δ) Προβλέψεις εκτός των οριζομένων στο άρθρο 26.</w:t>
      </w:r>
    </w:p>
    <w:p>
      <w:pPr>
        <w:spacing w:before="240" w:after="240"/>
        <w:rPr>
          <w:lang w:val="el" w:eastAsia="el"/>
        </w:rPr>
      </w:pPr>
      <w:r>
        <w:rPr>
          <w:lang w:val="el" w:eastAsia="el"/>
        </w:rPr>
        <w:t>Ε) Πρόστιμα και ποινές, περιλαμβανομένων των προσαυξήσεων.</w:t>
      </w:r>
    </w:p>
    <w:p>
      <w:pPr>
        <w:spacing w:before="240" w:after="240"/>
        <w:rPr>
          <w:lang w:val="el" w:eastAsia="el"/>
        </w:rPr>
      </w:pPr>
      <w:r>
        <w:rPr>
          <w:lang w:val="el" w:eastAsia="el"/>
        </w:rPr>
        <w:t>Στ) Η παροχή αμοιβών σε χρήμα ή είδος που συνιστούν ποινικό αδίκημα,</w:t>
      </w:r>
    </w:p>
    <w:p>
      <w:pPr>
        <w:spacing w:before="240" w:after="240"/>
        <w:rPr>
          <w:lang w:val="el" w:eastAsia="el"/>
        </w:rPr>
      </w:pPr>
      <w:r>
        <w:rPr>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lang w:val="el" w:eastAsia="el"/>
        </w:rPr>
        <w:t>Ιβ). Προσωπικές καταναλωτικές δαπάνες.</w:t>
      </w:r>
    </w:p>
    <w:p>
      <w:pPr>
        <w:pStyle w:val="StructureList1"/>
        <w:spacing w:before="120" w:after="0"/>
        <w:rPr>
          <w:lang w:val="el" w:eastAsia="el"/>
        </w:rPr>
      </w:pPr>
      <w:r>
        <w:rPr>
          <w:lang w:val="el" w:eastAsia="el"/>
        </w:rPr>
        <w:t>ιγ)</w:t>
      </w:r>
      <w:r>
        <w:rPr>
          <w:lang w:val="en" w:eastAsia="en"/>
        </w:rPr>
        <w:tab/>
      </w:r>
      <w:r>
        <w:rPr>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α)</w:t>
      </w:r>
      <w:r>
        <w:rPr>
          <w:lang w:val="en" w:eastAsia="en"/>
        </w:rPr>
        <w:tab/>
      </w:r>
      <w:r>
        <w:rPr>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lang w:val="el" w:eastAsia="el"/>
        </w:rPr>
        <w:t>β)</w:t>
      </w:r>
      <w:r>
        <w:rPr>
          <w:lang w:val="en" w:eastAsia="en"/>
        </w:rPr>
        <w:tab/>
      </w:r>
      <w:r>
        <w:rPr>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lang w:val="el" w:eastAsia="el"/>
        </w:rPr>
        <w:t>γ)</w:t>
      </w:r>
      <w:r>
        <w:rPr>
          <w:lang w:val="en" w:eastAsia="en"/>
        </w:rPr>
        <w:tab/>
      </w:r>
      <w:r>
        <w:rPr>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lang w:val="el" w:eastAsia="el"/>
        </w:rPr>
        <w:t>δ)</w:t>
      </w:r>
      <w:r>
        <w:rPr>
          <w:lang w:val="en" w:eastAsia="en"/>
        </w:rPr>
        <w:tab/>
      </w:r>
      <w:r>
        <w:rPr>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lang w:val="el" w:eastAsia="el"/>
        </w:rPr>
        <w:t>ιδ)</w:t>
      </w:r>
      <w:r>
        <w:rPr>
          <w:lang w:val="en" w:eastAsia="en"/>
        </w:rPr>
        <w:tab/>
      </w:r>
      <w:r>
        <w:rPr>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lang w:val="el" w:eastAsia="el"/>
        </w:rPr>
        <w:t>ιε)</w:t>
      </w:r>
      <w:r>
        <w:rPr>
          <w:lang w:val="en" w:eastAsia="en"/>
        </w:rPr>
        <w:tab/>
      </w:r>
      <w:r>
        <w:rPr>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lang w:val="el" w:eastAsia="el"/>
        </w:rPr>
        <w:t>ιστ)</w:t>
      </w:r>
      <w:r>
        <w:rPr>
          <w:lang w:val="en" w:eastAsia="en"/>
        </w:rPr>
        <w:tab/>
      </w:r>
      <w:r>
        <w:rPr>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lang w:val="el" w:eastAsia="el"/>
        </w:rPr>
        <w:t>β)</w:t>
      </w:r>
      <w:r>
        <w:rPr>
          <w:lang w:val="en" w:eastAsia="en"/>
        </w:rPr>
        <w:tab/>
      </w:r>
      <w:r>
        <w:rPr>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3.</w:t>
      </w:r>
      <w:r>
        <w:rPr>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4.</w:t>
      </w:r>
      <w:r>
        <w:rPr>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color w:val="000000"/>
          <w:sz w:val="20"/>
          <w:szCs w:val="20"/>
          <w:u w:val="none" w:color="0000EE"/>
          <w:vertAlign w:val="superscript"/>
          <w:lang w:val="el" w:eastAsia="el"/>
        </w:rPr>
        <w:footnoteReference w:id="5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5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5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5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5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5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5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5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6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6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6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6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6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6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7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7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80"/>
            </w:r>
          </w:p>
        </w:tc>
      </w:tr>
    </w:tbl>
    <w:p>
      <w:pPr>
        <w:spacing w:before="240" w:after="240"/>
        <w:rPr>
          <w:lang w:val="el" w:eastAsia="el"/>
        </w:rPr>
      </w:pPr>
      <w:r>
        <w:rPr>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5.</w:t>
      </w:r>
      <w:r>
        <w:rPr>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6.</w:t>
      </w:r>
      <w:r>
        <w:rPr>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7.</w:t>
      </w:r>
      <w:r>
        <w:rPr>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8.</w:t>
      </w:r>
      <w:r>
        <w:rPr>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9.</w:t>
      </w:r>
      <w:r>
        <w:rPr>
          <w:lang w:val="el" w:eastAsia="el"/>
        </w:rPr>
        <w:t xml:space="preserve"> Ο υπολογισμός της τιμής κτήσης σύμφωνα με τα άρθρα 41 και 42 γίνεται με βάση τις φορολογικές αποσβέσεις.</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10.</w:t>
      </w:r>
      <w:r>
        <w:rPr>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89"/>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rStyle w:val="Hyperlink"/>
          <w:color w:val="000000"/>
          <w:sz w:val="20"/>
          <w:szCs w:val="20"/>
          <w:u w:val="none" w:color="0000EE"/>
          <w:vertAlign w:val="superscript"/>
          <w:lang w:val="el" w:eastAsia="el"/>
        </w:rPr>
        <w:footnoteReference w:id="90"/>
      </w: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pStyle w:val="MainText"/>
        <w:spacing w:before="120" w:after="0"/>
        <w:rPr>
          <w:lang w:val="el" w:eastAsia="el"/>
        </w:rPr>
      </w:pPr>
      <w:r>
        <w:rPr>
          <w:b/>
          <w:bCs/>
          <w:lang w:val="el" w:eastAsia="el"/>
        </w:rPr>
        <w:t>1.</w:t>
      </w:r>
      <w:r>
        <w:rPr>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lang w:val="el" w:eastAsia="el"/>
        </w:rPr>
        <w:t>α)</w:t>
      </w:r>
      <w:r>
        <w:rPr>
          <w:lang w:val="en" w:eastAsia="en"/>
        </w:rPr>
        <w:tab/>
      </w:r>
      <w:r>
        <w:rPr>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lang w:val="el" w:eastAsia="el"/>
        </w:rPr>
        <w:t>β)</w:t>
      </w:r>
      <w:r>
        <w:rPr>
          <w:lang w:val="en" w:eastAsia="en"/>
        </w:rPr>
        <w:tab/>
      </w:r>
      <w:r>
        <w:rPr>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(i) έχει προηγουμένως εγγραφεί ποσό που αντιστοιχεί στην οφειλή ως έσοδο,</w:t>
      </w:r>
    </w:p>
    <w:p>
      <w:pPr>
        <w:spacing w:before="240" w:after="240"/>
        <w:rPr>
          <w:lang w:val="el" w:eastAsia="el"/>
        </w:rPr>
      </w:pPr>
      <w:r>
        <w:rPr>
          <w:lang w:val="el" w:eastAsia="el"/>
        </w:rPr>
        <w:t>(ii) έχει προηγουμένως διαγραφεί από τα βιβλία του φορολογούμενου, και</w:t>
      </w:r>
    </w:p>
    <w:p>
      <w:pPr>
        <w:spacing w:before="240" w:after="240"/>
        <w:rPr>
          <w:lang w:val="el" w:eastAsia="el"/>
        </w:rPr>
      </w:pPr>
      <w:r>
        <w:rPr>
          <w:lang w:val="el" w:eastAsia="el"/>
        </w:rPr>
        <w:t>(iii) έχουν αναληφθεί όλες οι κατά νόμον ενέργειες για την είσπραξη της απαίτησης.</w:t>
      </w:r>
    </w:p>
    <w:p>
      <w:pPr>
        <w:spacing w:before="240" w:after="240"/>
        <w:rPr>
          <w:lang w:val="el" w:eastAsia="el"/>
        </w:rPr>
      </w:pPr>
      <w:r>
        <w:rPr>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1.</w:t>
      </w:r>
      <w:r>
        <w:rPr>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αα)</w:t>
      </w:r>
      <w:r>
        <w:rPr>
          <w:lang w:val="en" w:eastAsia="en"/>
        </w:rPr>
        <w:tab/>
      </w:r>
      <w:r>
        <w:rPr>
          <w:lang w:val="el" w:eastAsia="el"/>
        </w:rPr>
        <w:t>τη διαγραφή χρεών οφειλετών τους,</w:t>
      </w:r>
    </w:p>
    <w:p>
      <w:pPr>
        <w:pStyle w:val="StructureList1"/>
        <w:spacing w:before="120" w:after="0"/>
        <w:rPr>
          <w:lang w:val="el" w:eastAsia="el"/>
        </w:rPr>
      </w:pPr>
      <w:r>
        <w:rPr>
          <w:lang w:val="el" w:eastAsia="el"/>
        </w:rPr>
        <w:t>i)</w:t>
      </w:r>
      <w:r>
        <w:rPr>
          <w:lang w:val="en" w:eastAsia="en"/>
        </w:rPr>
        <w:tab/>
      </w:r>
      <w:r>
        <w:rPr>
          <w:lang w:val="el" w:eastAsia="el"/>
        </w:rPr>
        <w:t>κατ` εφαρμογή των διατάξεων του άρθρου 61 του ν. 4307/2014 (Α`246),</w:t>
      </w:r>
    </w:p>
    <w:p>
      <w:pPr>
        <w:pStyle w:val="StructureList1"/>
        <w:spacing w:before="120" w:after="0"/>
        <w:rPr>
          <w:lang w:val="el" w:eastAsia="el"/>
        </w:rPr>
      </w:pPr>
      <w:r>
        <w:rPr>
          <w:lang w:val="el" w:eastAsia="el"/>
        </w:rPr>
        <w:t>ii)</w:t>
      </w:r>
      <w:r>
        <w:rPr>
          <w:lang w:val="en" w:eastAsia="en"/>
        </w:rPr>
        <w:tab/>
      </w:r>
      <w:r>
        <w:rPr>
          <w:lang w:val="el" w:eastAsia="el"/>
        </w:rPr>
        <w:t>κατά τις διατάξεις του ν. 3869/2010 (Α` 130),</w:t>
      </w:r>
    </w:p>
    <w:p>
      <w:pPr>
        <w:pStyle w:val="StructureList1"/>
        <w:spacing w:before="120" w:after="0"/>
        <w:rPr>
          <w:lang w:val="el" w:eastAsia="el"/>
        </w:rPr>
      </w:pPr>
      <w:r>
        <w:rPr>
          <w:lang w:val="el" w:eastAsia="el"/>
        </w:rPr>
        <w:t>iii)</w:t>
      </w:r>
      <w:r>
        <w:rPr>
          <w:lang w:val="en" w:eastAsia="en"/>
        </w:rPr>
        <w:tab/>
      </w:r>
      <w:r>
        <w:rPr>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lang w:val="el" w:eastAsia="el"/>
        </w:rPr>
        <w:t>ββ)</w:t>
      </w:r>
      <w:r>
        <w:rPr>
          <w:lang w:val="en" w:eastAsia="en"/>
        </w:rPr>
        <w:tab/>
      </w:r>
      <w:r>
        <w:rPr>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ανεξάρτητα από τον χρόνο λογιστικής από αναγνώριση των οικείων περιουσιακών στοιχείων.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5.</w:t>
      </w:r>
      <w:r>
        <w:rPr>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00"/>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04"/>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06"/>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07"/>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08"/>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10"/>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1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12"/>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13"/>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14"/>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15"/>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18"/>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2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2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27"/>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28"/>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29"/>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30"/>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31"/>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32"/>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rStyle w:val="Hyperlink"/>
          <w:b/>
          <w:bCs/>
          <w:color w:val="000000"/>
          <w:sz w:val="20"/>
          <w:szCs w:val="20"/>
          <w:u w:val="none" w:color="0000EE"/>
          <w:vertAlign w:val="superscript"/>
          <w:lang w:val="el" w:eastAsia="el"/>
        </w:rPr>
        <w:footnoteReference w:id="141"/>
      </w: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42"/>
      </w:r>
    </w:p>
    <w:p>
      <w:pPr>
        <w:spacing w:before="240" w:after="240"/>
        <w:rPr>
          <w:lang w:val="el" w:eastAsia="el"/>
        </w:rPr>
      </w:pPr>
      <w:r>
        <w:rPr>
          <w:b/>
          <w:bCs/>
          <w:lang w:val="el" w:eastAsia="el"/>
        </w:rPr>
        <w:t>Από το φόρο εισοδήματος απαλλάσσονται: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περίπτωσης γ` του άρθρου 45, εκπίπτουν ως δαπάνη κατά το άρθρο 22 οι δωρεές σε χρήμα ή σε είδος προς το Ελληνικό Δημόσιο και τους οργανισμούς τοπικής αυτοδιοίκησης. </w:t>
      </w:r>
      <w:r>
        <w:rPr>
          <w:rStyle w:val="Hyperlink"/>
          <w:b/>
          <w:bCs/>
          <w:color w:val="000000"/>
          <w:sz w:val="20"/>
          <w:szCs w:val="20"/>
          <w:u w:val="none" w:color="0000EE"/>
          <w:vertAlign w:val="superscript"/>
          <w:lang w:val="el" w:eastAsia="el"/>
        </w:rPr>
        <w:footnoteReference w:id="149"/>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50"/>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51"/>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58"/>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60"/>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62"/>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63"/>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65"/>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66"/>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68"/>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69"/>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74"/>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75"/>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περίπτωση β` της παρούσας παραγράφου, καθώς και οι υπόχρεοι των περιπτώσεων β`, γ`, δ`, ε`, στ` και ζ` του άρθρου 45 που τηρούν απλογραφικά βιβλία, φορολογούνται με συντελεστή είκοσι τέσσερα τοις εκατό (24%) για τα εισοδήματα του φορολογικού έτους 2019 και εφεξής. </w:t>
      </w:r>
      <w:r>
        <w:rPr>
          <w:rStyle w:val="Hyperlink"/>
          <w:b/>
          <w:bCs/>
          <w:color w:val="000000"/>
          <w:sz w:val="20"/>
          <w:szCs w:val="20"/>
          <w:u w:val="none" w:color="0000EE"/>
          <w:vertAlign w:val="superscript"/>
          <w:lang w:val="el" w:eastAsia="el"/>
        </w:rPr>
        <w:footnoteReference w:id="176"/>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Τα πιστωτικά ιδρύματα της περίπτωσης 1 της παραγράφου 1 του </w:t>
      </w:r>
      <w:hyperlink r:id="rId5" w:history="1">
        <w:r>
          <w:rPr>
            <w:rStyle w:val="Hyperlink"/>
            <w:b/>
            <w:bCs/>
            <w:color w:val="0000EE"/>
            <w:u w:color="0000EE"/>
            <w:lang w:val="el" w:eastAsia="el"/>
          </w:rPr>
          <w:t>άρθρου 3</w:t>
        </w:r>
      </w:hyperlink>
      <w:r>
        <w:rPr>
          <w:b/>
          <w:bCs/>
          <w:lang w:val="el" w:eastAsia="el"/>
        </w:rPr>
        <w:t xml:space="preserve"> του ν. </w:t>
      </w:r>
      <w:hyperlink r:id="rId6" w:history="1">
        <w:r>
          <w:rPr>
            <w:rStyle w:val="Hyperlink"/>
            <w:b/>
            <w:bCs/>
            <w:color w:val="0000EE"/>
            <w:u w:color="0000EE"/>
            <w:lang w:val="el" w:eastAsia="el"/>
          </w:rPr>
          <w:t>4261/2014</w:t>
        </w:r>
      </w:hyperlink>
      <w:r>
        <w:rPr>
          <w:b/>
          <w:bCs/>
          <w:lang w:val="el" w:eastAsia="el"/>
        </w:rPr>
        <w:t>,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79"/>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80"/>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81"/>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183"/>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8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89"/>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190"/>
      </w:r>
      <w:r>
        <w:rPr>
          <w:rStyle w:val="Hyperlink"/>
          <w:b/>
          <w:bCs/>
          <w:color w:val="000000"/>
          <w:sz w:val="20"/>
          <w:szCs w:val="20"/>
          <w:u w:val="none" w:color="0000EE"/>
          <w:vertAlign w:val="superscript"/>
          <w:lang w:val="el" w:eastAsia="el"/>
        </w:rPr>
        <w:footnoteReference w:id="191"/>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92"/>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94"/>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96"/>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9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98"/>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199"/>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00"/>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02"/>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07"/>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9"/>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17"/>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18"/>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19"/>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24"/>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25"/>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2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29"/>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spacing w:before="240" w:after="240"/>
        <w:rPr>
          <w:lang w:val="el" w:eastAsia="el"/>
        </w:rPr>
      </w:pPr>
      <w:r>
        <w:rPr>
          <w:b/>
          <w:bCs/>
          <w:lang w:val="el" w:eastAsia="el"/>
        </w:rPr>
        <w:t xml:space="preserve">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 </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3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πώληση προϊόντων παραγωγής της, για την οποία παραγωγή χρησιμοποιήθηκε ευρεσιτεχνία διεθνώς αναγνωρισμένη στο όνομα της ίδιας επιχείρησης που αναπτύχθηκε από την ίδια, απαλλάσσονται από τον φόρο εισοδήματος για τρεις συνεχόμενες χρήσεις, αρχής γενομένης από τη χρήση μέσα στην οποία πραγματοποιήθηκαν για πρώτη φορά έσοδα από την πώληση των πιο πάνω προϊόντων. Η απαλλαγή χορηγείται και όταν τα προϊόντα παράγονται σε εγκαταστάσεις τρίτων. Επίσης, καταλαμβάνει και τα κέρδη που προέρχονται από παροχή υπηρεσιών, όταν αυτή αφορά σε εκμετάλλευση ευρεσιτεχνίας, επίσης διεθνώς αναγνωρισμένης.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Ανάπτυξης, εγκρίνεται η επιχείρηση που υπάγεται στις διατάξεις του άρθρου αυτού για το συγκεκριμένο προϊόν ή είδος υπηρεσίας, που παράγει ή παρέχει κατά περίπτωση, μετά από αίτηση που υποβάλλει στην αρμόδια υπηρεσία του πιο πάνω Υπουργείου.</w:t>
      </w:r>
    </w:p>
    <w:p>
      <w:pPr>
        <w:pStyle w:val="MainText"/>
        <w:spacing w:before="120" w:after="0"/>
        <w:rPr>
          <w:lang w:val="el" w:eastAsia="el"/>
        </w:rPr>
      </w:pPr>
      <w:r>
        <w:rPr>
          <w:b/>
          <w:bCs/>
          <w:lang w:val="el" w:eastAsia="el"/>
        </w:rPr>
        <w:t>3.</w:t>
      </w:r>
      <w:r>
        <w:rPr>
          <w:b/>
          <w:bCs/>
          <w:lang w:val="el" w:eastAsia="el"/>
        </w:rPr>
        <w:t xml:space="preserve"> Τα απαλλασσόμενα κέρδη εμφανίζονται σε ειδικό λογαριασμό αποθεματικού και υπολογίζονται με βάση τα καθαρά κέρδη που δηλώνονται με βάση την εμπρόθεσμη δήλωση φορολογίας εισοδήματος, προκύπτουν από τα τηρούμενα βιβλία και εμφανίζονται στον ισολογισμό και τα οποία προέρχονται από το σύνολο των δραστηριοτήτων της επιχείρησης, μετά την αφαίρεση των κερδών που απαλλάσσονται της φορολογίας εισοδήματος και των κερδών από συμμετοχή σε άλλες επιχειρήσεις, των κρατήσεων για το σχηματισμό τακτικού αποθεματικού και των κερδών της χρήσης που διανέμονται πραγματικά ή αναλαμβάνονται από τους εταίρους ή τον επιχειρηματία, καθώς και των αφορολόγητων εκπτώσεων επενδύσεων αναπτυξιακών νόμων. Προκειμένου για ανώνυμη εταιρεία και εταιρεία περιορισμένης ευθύνης, το τακτικό αποθεματικό και τα διανεμόμενα κέρδη ανάγονται σε μικτό ποσό με την προσθήκη του αναλογούντος σε αυτά φόρου. Για τις επιχειρήσεις που τηρούν απλογραφικά βιβλία, το αποθεματικό σχηματίζεται από τα καθαρά κέρδη που δηλώνονται με την αρχική δήλωση, αφού αφαιρεθούν οι απολήψεις. Όταν η επιχείρηση πραγματοποιεί έσοδα που δεν εμπίπτουν στις διατάξεις του παρόντος, ως κέρδη που απαλλάσσονται της φορολογίας είναι το μέρος των πιο πάνω κερδών που αντιστοιχεί στα έσοδα από την πώληση των προϊόντων ή από την παροχή υπηρεσιών της παραγράφου 1.</w:t>
      </w:r>
    </w:p>
    <w:p>
      <w:pPr>
        <w:pStyle w:val="MainText"/>
        <w:spacing w:before="120" w:after="0"/>
        <w:rPr>
          <w:lang w:val="el" w:eastAsia="el"/>
        </w:rPr>
      </w:pPr>
      <w:r>
        <w:rPr>
          <w:b/>
          <w:bCs/>
          <w:lang w:val="el" w:eastAsia="el"/>
        </w:rPr>
        <w:t>4.</w:t>
      </w:r>
      <w:r>
        <w:rPr>
          <w:b/>
          <w:bCs/>
          <w:lang w:val="el" w:eastAsia="el"/>
        </w:rPr>
        <w:t xml:space="preserve"> Το ειδικό αποθεματικό που σχηματίζεται σύμφωνα με την προηγούμενη παράγραφο υπόκειται σε φορολογία με τις γενικές διατάξεις του Κ.Φ.Ε., κατά το μέρος που διανέμεται, κεφαλαιοποιείται ή αναλαμβάνεται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Οικονομίας και Ανάπτυξης, του Υπουργού Οικονομικών και του Διοικητή της Ανεξάρτητης Αρχής Δημοσίων Εσόδων καθορίζονται οι φορείς πιστοποίησης της ευρεσιτεχνίας, οι προϋποθέσεις, οι όροι, η διαδικασία και κάθε άλλο αναγκαίο θέμα για την εφαρμογή των διατάξεων του άρθρου αυτού.</w:t>
      </w:r>
    </w:p>
    <w:p>
      <w:pPr>
        <w:pStyle w:val="MainText"/>
        <w:spacing w:before="120" w:after="0"/>
        <w:rPr>
          <w:lang w:val="el" w:eastAsia="el"/>
        </w:rPr>
      </w:pPr>
      <w:r>
        <w:rPr>
          <w:b/>
          <w:bCs/>
          <w:lang w:val="el" w:eastAsia="el"/>
        </w:rPr>
        <w:t>6.</w:t>
      </w:r>
      <w:r>
        <w:rPr>
          <w:b/>
          <w:bCs/>
          <w:lang w:val="el" w:eastAsia="el"/>
        </w:rPr>
        <w:t xml:space="preserve"> Το άρθρο 71 του ν. 3842/2010 (Α` 58) καταργείται. υπουργικές αποφάσεις που έχουν εκδοθεί κατ` εξουσιοδότηση του άρθρου 71 του ν. 3842/2010 εξακολουθούν να ισχύουν έως την τυχόν έκδοση νέων αποφάσεων των παραγράφων 2 και 5 του παρόντος.</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39"/>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49"/>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50"/>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να παρέχουν υποστήριξη στα φυσικά πρόσωπα της παρ. 1 και στα μέλη των οικογενειών τους κατά τη διοίκηση και διαχείριση των περιουσιακών στοιχείων και επενδύσεών τους, που κατέχουν είτε άμεσα είτε έμμεσα, μέσω νομικών προσώπων ή νομικών οντοτήτων.</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τα φυσικά πρόσωπα της παρ. 1 ή/και μέλη της οικογένειας αυτών.</w:t>
      </w:r>
    </w:p>
    <w:p>
      <w:pPr>
        <w:spacing w:before="240" w:after="240"/>
        <w:rPr>
          <w:lang w:val="el" w:eastAsia="el"/>
        </w:rPr>
      </w:pPr>
      <w:r>
        <w:rPr>
          <w:b/>
          <w:bCs/>
          <w:lang w:val="el" w:eastAsia="el"/>
        </w:rPr>
        <w:t>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ενός εκατομμυρίου (1.000.000)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 / 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 / 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 / Μ.Σ.Σ., εφόσον η επιμέλεια έχει νομίμως ανατεθεί για μεν τα τέκνα του/της συντηρούντος σε αυτόν/αυτήν, για δε τα τέκνα του/της ετέρου των συζύγων / 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 / 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 xml:space="preserve">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w:t>
      </w:r>
      <w:hyperlink r:id="rId7" w:history="1">
        <w:r>
          <w:rPr>
            <w:rStyle w:val="Hyperlink"/>
            <w:b/>
            <w:bCs/>
            <w:color w:val="0000EE"/>
            <w:u w:color="0000EE"/>
            <w:lang w:val="el" w:eastAsia="el"/>
          </w:rPr>
          <w:t>4308/2014</w:t>
        </w:r>
      </w:hyperlink>
      <w:r>
        <w:rPr>
          <w:b/>
          <w:bCs/>
          <w:lang w:val="el" w:eastAsia="el"/>
        </w:rPr>
        <w:t xml:space="preserve"> (</w:t>
      </w:r>
      <w:hyperlink r:id="rId8" w:history="1">
        <w:r>
          <w:rPr>
            <w:rStyle w:val="Hyperlink"/>
            <w:b/>
            <w:bCs/>
            <w:color w:val="0000EE"/>
            <w:u w:color="0000EE"/>
            <w:lang w:val="el" w:eastAsia="el"/>
          </w:rPr>
          <w:t>Α` 251</w:t>
        </w:r>
      </w:hyperlink>
      <w:r>
        <w:rPr>
          <w:b/>
          <w:bCs/>
          <w:lang w:val="el" w:eastAsia="el"/>
        </w:rPr>
        <w:t>).</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w:t>
      </w:r>
    </w:p>
    <w:p>
      <w:pPr>
        <w:spacing w:before="240" w:after="240"/>
        <w:rPr>
          <w:lang w:val="el" w:eastAsia="el"/>
        </w:rPr>
      </w:pPr>
      <w:r>
        <w:rPr>
          <w:b/>
          <w:bCs/>
          <w:lang w:val="el" w:eastAsia="el"/>
        </w:rPr>
        <w:t>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56"/>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58"/>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2022.. </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70"/>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73"/>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282"/>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51.</w:t>
      </w:r>
      <w:r>
        <w:rPr>
          <w:b/>
          <w:bCs/>
          <w:lang w:val="el" w:eastAsia="el"/>
        </w:rPr>
        <w:t xml:space="preserve"> Για το φορολογικό έτος 2021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28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289"/>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291"/>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293"/>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00"/>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01"/>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9"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10" w:history="1">
        <w:r>
          <w:rPr>
            <w:rStyle w:val="Hyperlink"/>
            <w:b/>
            <w:bCs/>
            <w:color w:val="0000EE"/>
            <w:u w:color="0000EE"/>
            <w:lang w:val="el" w:eastAsia="el"/>
          </w:rPr>
          <w:t>3448/2006</w:t>
        </w:r>
      </w:hyperlink>
      <w:r>
        <w:rPr>
          <w:b/>
          <w:bCs/>
          <w:lang w:val="el" w:eastAsia="el"/>
        </w:rPr>
        <w:t xml:space="preserve">, 19 του ν. </w:t>
      </w:r>
      <w:hyperlink r:id="rId11" w:history="1">
        <w:r>
          <w:rPr>
            <w:rStyle w:val="Hyperlink"/>
            <w:b/>
            <w:bCs/>
            <w:color w:val="0000EE"/>
            <w:u w:color="0000EE"/>
            <w:lang w:val="el" w:eastAsia="el"/>
          </w:rPr>
          <w:t>1911/1990</w:t>
        </w:r>
      </w:hyperlink>
      <w:r>
        <w:rPr>
          <w:b/>
          <w:bCs/>
          <w:lang w:val="el" w:eastAsia="el"/>
        </w:rPr>
        <w:t xml:space="preserve">, όπως ισχύει, 5 του ν. </w:t>
      </w:r>
      <w:hyperlink r:id="rId12" w:history="1">
        <w:r>
          <w:rPr>
            <w:rStyle w:val="Hyperlink"/>
            <w:b/>
            <w:bCs/>
            <w:color w:val="0000EE"/>
            <w:u w:color="0000EE"/>
            <w:lang w:val="el" w:eastAsia="el"/>
          </w:rPr>
          <w:t>2452/1996</w:t>
        </w:r>
      </w:hyperlink>
      <w:r>
        <w:rPr>
          <w:b/>
          <w:bCs/>
          <w:lang w:val="el" w:eastAsia="el"/>
        </w:rPr>
        <w:t xml:space="preserve">, 5 του ν. </w:t>
      </w:r>
      <w:hyperlink r:id="rId13" w:history="1">
        <w:r>
          <w:rPr>
            <w:rStyle w:val="Hyperlink"/>
            <w:b/>
            <w:bCs/>
            <w:color w:val="0000EE"/>
            <w:u w:color="0000EE"/>
            <w:lang w:val="el" w:eastAsia="el"/>
          </w:rPr>
          <w:t>3624/2007</w:t>
        </w:r>
      </w:hyperlink>
      <w:r>
        <w:rPr>
          <w:b/>
          <w:bCs/>
          <w:lang w:val="el" w:eastAsia="el"/>
        </w:rPr>
        <w:t xml:space="preserve">, της παρ. 20 του </w:t>
      </w:r>
      <w:hyperlink r:id="rId14" w:history="1">
        <w:r>
          <w:rPr>
            <w:rStyle w:val="Hyperlink"/>
            <w:b/>
            <w:bCs/>
            <w:color w:val="0000EE"/>
            <w:u w:color="0000EE"/>
            <w:lang w:val="el" w:eastAsia="el"/>
          </w:rPr>
          <w:t>άρθρου 14</w:t>
        </w:r>
      </w:hyperlink>
      <w:r>
        <w:rPr>
          <w:b/>
          <w:bCs/>
          <w:lang w:val="el" w:eastAsia="el"/>
        </w:rPr>
        <w:t xml:space="preserve"> του ν. </w:t>
      </w:r>
      <w:hyperlink r:id="rId15"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08"/>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10"/>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12"/>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13"/>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14"/>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15"/>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16"/>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17"/>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18"/>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19"/>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20"/>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Ο Ε.Ο.Π.Υ.Υ. δύναται να συμψηφίζει το παραπάνω ποσό με ισόποση οφειλή εντός του ίδιου ή/και του προηγούμενου έτους ή/και του επόμενου έτους, προς τους ως άνω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 </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24"/>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26"/>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27"/>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328"/>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Προσθήκη 4714/2020,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Προσθήκη 4758/2020, Άρθρο 40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 w:history="1">
        <w:r>
          <w:rPr>
            <w:rStyle w:val="Hyperlink"/>
            <w:color w:val="0000EE"/>
            <w:u w:color="0000EE"/>
            <w:lang w:val="el" w:eastAsia="el"/>
          </w:rPr>
          <w:t>Τροποποίηση 4646/2019, Άρθρο 3</w:t>
        </w:r>
      </w:hyperlink>
      <w:r>
        <w:rPr>
          <w:lang w:val="el" w:eastAsia="el"/>
        </w:rPr>
        <w:t xml:space="preserve">; </w:t>
      </w:r>
      <w:hyperlink r:id="rId14" w:anchor="art_33" w:history="1">
        <w:r>
          <w:rPr>
            <w:rStyle w:val="Hyperlink"/>
            <w:color w:val="0000EE"/>
            <w:u w:color="0000EE"/>
            <w:lang w:val="el" w:eastAsia="el"/>
          </w:rPr>
          <w:t>Τροποποίηση 4772/2021, Άρθρο 33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1" w:history="1">
        <w:r>
          <w:rPr>
            <w:rStyle w:val="Hyperlink"/>
            <w:color w:val="0000EE"/>
            <w:u w:color="0000EE"/>
            <w:lang w:val="el" w:eastAsia="el"/>
          </w:rPr>
          <w:t>Τροποποίηση 4583/2018, Άρθρο 11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2" w:history="1">
        <w:r>
          <w:rPr>
            <w:rStyle w:val="Hyperlink"/>
            <w:color w:val="0000EE"/>
            <w:u w:color="0000EE"/>
            <w:lang w:val="el" w:eastAsia="el"/>
          </w:rPr>
          <w:t>Προσθήκη 4223/2013, Άρθρο 22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9" w:history="1">
        <w:r>
          <w:rPr>
            <w:rStyle w:val="Hyperlink"/>
            <w:color w:val="0000EE"/>
            <w:u w:color="0000EE"/>
            <w:lang w:val="el" w:eastAsia="el"/>
          </w:rPr>
          <w:t>Προσθήκη 4583/2018, Άρθρο 59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4254/2014,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72" w:history="1">
        <w:r>
          <w:rPr>
            <w:rStyle w:val="Hyperlink"/>
            <w:color w:val="0000EE"/>
            <w:u w:color="0000EE"/>
            <w:lang w:val="el" w:eastAsia="el"/>
          </w:rPr>
          <w:t>Τροποποίηση 4430/2016, Άρθρο 72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4" w:history="1">
        <w:r>
          <w:rPr>
            <w:rStyle w:val="Hyperlink"/>
            <w:color w:val="0000EE"/>
            <w:u w:color="0000EE"/>
            <w:lang w:val="el" w:eastAsia="el"/>
          </w:rPr>
          <w:t>Τροποποίηση 4389/2016, Άρθρο 44</w:t>
        </w:r>
      </w:hyperlink>
      <w:r>
        <w:rPr>
          <w:lang w:val="el" w:eastAsia="el"/>
        </w:rPr>
        <w:t xml:space="preserve">; </w:t>
      </w:r>
      <w:hyperlink r:id="rId21" w:anchor="art_99" w:history="1">
        <w:r>
          <w:rPr>
            <w:rStyle w:val="Hyperlink"/>
            <w:color w:val="0000EE"/>
            <w:u w:color="0000EE"/>
            <w:lang w:val="el" w:eastAsia="el"/>
          </w:rPr>
          <w:t>Τροποποίηση 4446/2016, Άρθρο 99</w:t>
        </w:r>
      </w:hyperlink>
      <w:r>
        <w:rPr>
          <w:lang w:val="el" w:eastAsia="el"/>
        </w:rPr>
        <w:t xml:space="preserve">; </w:t>
      </w:r>
      <w:hyperlink r:id="rId22" w:anchor="art_22" w:history="1">
        <w:r>
          <w:rPr>
            <w:rStyle w:val="Hyperlink"/>
            <w:color w:val="0000EE"/>
            <w:u w:color="0000EE"/>
            <w:lang w:val="el" w:eastAsia="el"/>
          </w:rPr>
          <w:t>Τροποποίηση 4223/2013, Άρθρο 22</w:t>
        </w:r>
      </w:hyperlink>
      <w:r>
        <w:rPr>
          <w:lang w:val="el" w:eastAsia="el"/>
        </w:rPr>
        <w:t xml:space="preserve">; </w:t>
      </w:r>
      <w:hyperlink r:id="rId23" w:anchor="art_1" w:history="1">
        <w:r>
          <w:rPr>
            <w:rStyle w:val="Hyperlink"/>
            <w:color w:val="0000EE"/>
            <w:u w:color="0000EE"/>
            <w:lang w:val="el" w:eastAsia="el"/>
          </w:rPr>
          <w:t>Τροποποίηση 4646/2019,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14" w:history="1">
        <w:r>
          <w:rPr>
            <w:rStyle w:val="Hyperlink"/>
            <w:color w:val="0000EE"/>
            <w:u w:color="0000EE"/>
            <w:lang w:val="el" w:eastAsia="el"/>
          </w:rPr>
          <w:t>Τροποποίηση 4537/2018, Άρθρο 114</w:t>
        </w:r>
      </w:hyperlink>
      <w:r>
        <w:rPr>
          <w:lang w:val="el" w:eastAsia="el"/>
        </w:rPr>
        <w:t xml:space="preserve">; </w:t>
      </w:r>
      <w:hyperlink r:id="rId25"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26" w:anchor="art_6" w:history="1">
        <w:r>
          <w:rPr>
            <w:rStyle w:val="Hyperlink"/>
            <w:color w:val="0000EE"/>
            <w:u w:color="0000EE"/>
            <w:lang w:val="el" w:eastAsia="el"/>
          </w:rPr>
          <w:t>Προσθήκη 4710/2020, Άρθρο 6</w:t>
        </w:r>
      </w:hyperlink>
      <w:r>
        <w:rPr>
          <w:lang w:val="el" w:eastAsia="el"/>
        </w:rPr>
        <w:t xml:space="preserve">; </w:t>
      </w:r>
      <w:hyperlink r:id="rId27" w:anchor="art_2" w:history="1">
        <w:r>
          <w:rPr>
            <w:rStyle w:val="Hyperlink"/>
            <w:color w:val="0000EE"/>
            <w:u w:color="0000EE"/>
            <w:lang w:val="el" w:eastAsia="el"/>
          </w:rPr>
          <w:t>Τροποποίηση 4714/2020, Άρθρο 2</w:t>
        </w:r>
      </w:hyperlink>
      <w:r>
        <w:rPr>
          <w:lang w:val="el" w:eastAsia="el"/>
        </w:rPr>
        <w:t xml:space="preserve">; </w:t>
      </w:r>
      <w:hyperlink r:id="rId28" w:anchor="art_130" w:history="1">
        <w:r>
          <w:rPr>
            <w:rStyle w:val="Hyperlink"/>
            <w:color w:val="0000EE"/>
            <w:u w:color="0000EE"/>
            <w:lang w:val="el" w:eastAsia="el"/>
          </w:rPr>
          <w:t>Τροποποίηση 4764/2020, Άρθρο 130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4254/2014, Άρθρο 1</w:t>
        </w:r>
      </w:hyperlink>
      <w:r>
        <w:rPr>
          <w:lang w:val="el" w:eastAsia="el"/>
        </w:rPr>
        <w:t xml:space="preserve">; </w:t>
      </w:r>
      <w:hyperlink r:id="rId30" w:anchor="art_1" w:history="1">
        <w:r>
          <w:rPr>
            <w:rStyle w:val="Hyperlink"/>
            <w:color w:val="0000EE"/>
            <w:u w:color="0000EE"/>
            <w:lang w:val="el" w:eastAsia="el"/>
          </w:rPr>
          <w:t>Προσθήκη 4254/2014, Άρθρο 1</w:t>
        </w:r>
      </w:hyperlink>
      <w:r>
        <w:rPr>
          <w:lang w:val="el" w:eastAsia="el"/>
        </w:rPr>
        <w:t xml:space="preserve">; </w:t>
      </w:r>
      <w:hyperlink r:id="rId31" w:anchor="art_35" w:history="1">
        <w:r>
          <w:rPr>
            <w:rStyle w:val="Hyperlink"/>
            <w:color w:val="0000EE"/>
            <w:u w:color="0000EE"/>
            <w:lang w:val="el" w:eastAsia="el"/>
          </w:rPr>
          <w:t>Τροποποίηση 4569/2018, Άρθρο 35</w:t>
        </w:r>
      </w:hyperlink>
      <w:r>
        <w:rPr>
          <w:lang w:val="el" w:eastAsia="el"/>
        </w:rPr>
        <w:t xml:space="preserve">; </w:t>
      </w:r>
      <w:hyperlink r:id="rId32" w:anchor="art_57" w:history="1">
        <w:r>
          <w:rPr>
            <w:rStyle w:val="Hyperlink"/>
            <w:color w:val="0000EE"/>
            <w:u w:color="0000EE"/>
            <w:lang w:val="el" w:eastAsia="el"/>
          </w:rPr>
          <w:t>Τροποποίηση 4758/2020, Άρθρο 57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12" w:history="1">
        <w:r>
          <w:rPr>
            <w:rStyle w:val="Hyperlink"/>
            <w:color w:val="0000EE"/>
            <w:u w:color="0000EE"/>
            <w:lang w:val="el" w:eastAsia="el"/>
          </w:rPr>
          <w:t>Τροποποίηση 4387/2016, Άρθρο 112</w:t>
        </w:r>
      </w:hyperlink>
      <w:r>
        <w:rPr>
          <w:lang w:val="el" w:eastAsia="el"/>
        </w:rPr>
        <w:t xml:space="preserve">; </w:t>
      </w:r>
      <w:hyperlink r:id="rId34" w:anchor="art_115" w:history="1">
        <w:r>
          <w:rPr>
            <w:rStyle w:val="Hyperlink"/>
            <w:color w:val="0000EE"/>
            <w:u w:color="0000EE"/>
            <w:lang w:val="el" w:eastAsia="el"/>
          </w:rPr>
          <w:t>Τροποποίηση 4549/2018, Άρθρο 115</w:t>
        </w:r>
      </w:hyperlink>
      <w:r>
        <w:rPr>
          <w:lang w:val="el" w:eastAsia="el"/>
        </w:rPr>
        <w:t xml:space="preserve">; </w:t>
      </w:r>
      <w:hyperlink r:id="rId35" w:anchor="art_6" w:history="1">
        <w:r>
          <w:rPr>
            <w:rStyle w:val="Hyperlink"/>
            <w:color w:val="0000EE"/>
            <w:u w:color="0000EE"/>
            <w:lang w:val="el" w:eastAsia="el"/>
          </w:rPr>
          <w:t>Τροποποίηση 4646/2019, Άρθρο 6</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7" w:history="1">
        <w:r>
          <w:rPr>
            <w:rStyle w:val="Hyperlink"/>
            <w:color w:val="0000EE"/>
            <w:u w:color="0000EE"/>
            <w:lang w:val="el" w:eastAsia="el"/>
          </w:rPr>
          <w:t>Αφαίρεση 4758/2020, Άρθρο 57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76" w:history="1">
        <w:r>
          <w:rPr>
            <w:rStyle w:val="Hyperlink"/>
            <w:color w:val="0000EE"/>
            <w:u w:color="0000EE"/>
            <w:lang w:val="el" w:eastAsia="el"/>
          </w:rPr>
          <w:t>Προσθήκη 4646/2019, Άρθρο 76</w:t>
        </w:r>
      </w:hyperlink>
      <w:r>
        <w:rPr>
          <w:lang w:val="el" w:eastAsia="el"/>
        </w:rPr>
        <w:t xml:space="preserve">; </w:t>
      </w:r>
      <w:hyperlink r:id="rId38" w:anchor="art_4" w:history="1">
        <w:r>
          <w:rPr>
            <w:rStyle w:val="Hyperlink"/>
            <w:color w:val="0000EE"/>
            <w:u w:color="0000EE"/>
            <w:lang w:val="el" w:eastAsia="el"/>
          </w:rPr>
          <w:t>Τροποποίηση 4714/2020, Άρθρο 4</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 w:history="1">
        <w:r>
          <w:rPr>
            <w:rStyle w:val="Hyperlink"/>
            <w:color w:val="0000EE"/>
            <w:u w:color="0000EE"/>
            <w:lang w:val="el" w:eastAsia="el"/>
          </w:rPr>
          <w:t>Τροποποίηση 4254/2014, Άρθρο 1</w:t>
        </w:r>
      </w:hyperlink>
      <w:r>
        <w:rPr>
          <w:lang w:val="el" w:eastAsia="el"/>
        </w:rPr>
        <w:t xml:space="preserve">; </w:t>
      </w:r>
      <w:hyperlink r:id="rId40" w:anchor="art_8" w:history="1">
        <w:r>
          <w:rPr>
            <w:rStyle w:val="Hyperlink"/>
            <w:color w:val="0000EE"/>
            <w:u w:color="0000EE"/>
            <w:lang w:val="el" w:eastAsia="el"/>
          </w:rPr>
          <w:t>Τροποποίηση 4646/2019, Άρθρο 8</w:t>
        </w:r>
      </w:hyperlink>
      <w:r>
        <w:rPr>
          <w:lang w:val="el" w:eastAsia="el"/>
        </w:rPr>
        <w:t xml:space="preserve">; </w:t>
      </w:r>
      <w:hyperlink r:id="rId41" w:anchor="art_16" w:history="1">
        <w:r>
          <w:rPr>
            <w:rStyle w:val="Hyperlink"/>
            <w:color w:val="0000EE"/>
            <w:u w:color="0000EE"/>
            <w:lang w:val="el" w:eastAsia="el"/>
          </w:rPr>
          <w:t>Τροποποίηση 4690/2020, Άρθρο 16</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8" w:history="1">
        <w:r>
          <w:rPr>
            <w:rStyle w:val="Hyperlink"/>
            <w:color w:val="0000EE"/>
            <w:u w:color="0000EE"/>
            <w:lang w:val="el" w:eastAsia="el"/>
          </w:rPr>
          <w:t>Τροποποίηση 4646/2019, Άρθρο 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6" w:history="1">
        <w:r>
          <w:rPr>
            <w:rStyle w:val="Hyperlink"/>
            <w:color w:val="0000EE"/>
            <w:u w:color="0000EE"/>
            <w:lang w:val="el" w:eastAsia="el"/>
          </w:rPr>
          <w:t>Τροποποίηση 4690/2020, Άρθρο 16</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2" w:history="1">
        <w:r>
          <w:rPr>
            <w:rStyle w:val="Hyperlink"/>
            <w:color w:val="0000EE"/>
            <w:u w:color="0000EE"/>
            <w:lang w:val="el" w:eastAsia="el"/>
          </w:rPr>
          <w:t>Προσθήκη 4223/2013, Άρθρο 22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 w:history="1">
        <w:r>
          <w:rPr>
            <w:rStyle w:val="Hyperlink"/>
            <w:color w:val="0000EE"/>
            <w:u w:color="0000EE"/>
            <w:lang w:val="el" w:eastAsia="el"/>
          </w:rPr>
          <w:t>Τροποποίηση 4646/2019, Άρθρο 7</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12" w:history="1">
        <w:r>
          <w:rPr>
            <w:rStyle w:val="Hyperlink"/>
            <w:color w:val="0000EE"/>
            <w:u w:color="0000EE"/>
            <w:lang w:val="el" w:eastAsia="el"/>
          </w:rPr>
          <w:t>Τροποποίηση 4387/2016, Άρθρο 112</w:t>
        </w:r>
      </w:hyperlink>
      <w:r>
        <w:rPr>
          <w:lang w:val="el" w:eastAsia="el"/>
        </w:rPr>
        <w:t xml:space="preserve">; </w:t>
      </w:r>
      <w:hyperlink r:id="rId47" w:anchor="art_68" w:history="1">
        <w:r>
          <w:rPr>
            <w:rStyle w:val="Hyperlink"/>
            <w:color w:val="0000EE"/>
            <w:u w:color="0000EE"/>
            <w:lang w:val="el" w:eastAsia="el"/>
          </w:rPr>
          <w:t>Προσθήκη 4446/2016, Άρθρο 68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22" w:history="1">
        <w:r>
          <w:rPr>
            <w:rStyle w:val="Hyperlink"/>
            <w:color w:val="0000EE"/>
            <w:u w:color="0000EE"/>
            <w:lang w:val="el" w:eastAsia="el"/>
          </w:rPr>
          <w:t>Τροποποίηση 4223/2013, Άρθρο 22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68" w:history="1">
        <w:r>
          <w:rPr>
            <w:rStyle w:val="Hyperlink"/>
            <w:color w:val="0000EE"/>
            <w:u w:color="0000EE"/>
            <w:lang w:val="el" w:eastAsia="el"/>
          </w:rPr>
          <w:t>Προσθήκη 4446/2016, Άρθρο 68</w:t>
        </w:r>
      </w:hyperlink>
      <w:r>
        <w:rPr>
          <w:lang w:val="el" w:eastAsia="el"/>
        </w:rPr>
        <w:t xml:space="preserve">; </w:t>
      </w:r>
      <w:hyperlink r:id="rId50" w:anchor="art_69" w:history="1">
        <w:r>
          <w:rPr>
            <w:rStyle w:val="Hyperlink"/>
            <w:color w:val="0000EE"/>
            <w:u w:color="0000EE"/>
            <w:lang w:val="el" w:eastAsia="el"/>
          </w:rPr>
          <w:t>Αφαίρεση 4472/2017, Άρθρο 69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77" w:history="1">
        <w:r>
          <w:rPr>
            <w:rStyle w:val="Hyperlink"/>
            <w:color w:val="0000EE"/>
            <w:u w:color="0000EE"/>
            <w:lang w:val="el" w:eastAsia="el"/>
          </w:rPr>
          <w:t>Τροποποίηση 4646/2019, Άρθρο 77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45" w:history="1">
        <w:r>
          <w:rPr>
            <w:rStyle w:val="Hyperlink"/>
            <w:color w:val="0000EE"/>
            <w:u w:color="0000EE"/>
            <w:lang w:val="el" w:eastAsia="el"/>
          </w:rPr>
          <w:t>Τροποποίηση 4472/2017, Άρθρο 45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88" w:history="1">
        <w:r>
          <w:rPr>
            <w:rStyle w:val="Hyperlink"/>
            <w:color w:val="0000EE"/>
            <w:u w:color="0000EE"/>
            <w:lang w:val="el" w:eastAsia="el"/>
          </w:rPr>
          <w:t>Τροποποίηση 4316/2014, Άρθρο 88</w:t>
        </w:r>
      </w:hyperlink>
      <w:r>
        <w:rPr>
          <w:lang w:val="el" w:eastAsia="el"/>
        </w:rPr>
        <w:t xml:space="preserve">; </w:t>
      </w:r>
      <w:hyperlink r:id="rId54" w:anchor="art_22" w:history="1">
        <w:r>
          <w:rPr>
            <w:rStyle w:val="Hyperlink"/>
            <w:color w:val="0000EE"/>
            <w:u w:color="0000EE"/>
            <w:lang w:val="el" w:eastAsia="el"/>
          </w:rPr>
          <w:t>Προσθήκη 4223/2013, Άρθρο 22</w:t>
        </w:r>
      </w:hyperlink>
      <w:r>
        <w:rPr>
          <w:lang w:val="el" w:eastAsia="el"/>
        </w:rPr>
        <w:t xml:space="preserve">; </w:t>
      </w:r>
      <w:hyperlink r:id="rId55" w:anchor="art_22" w:history="1">
        <w:r>
          <w:rPr>
            <w:rStyle w:val="Hyperlink"/>
            <w:color w:val="0000EE"/>
            <w:u w:color="0000EE"/>
            <w:lang w:val="el" w:eastAsia="el"/>
          </w:rPr>
          <w:t>Προσθήκη 4223/2013, Άρθρο 22</w:t>
        </w:r>
      </w:hyperlink>
      <w:r>
        <w:rPr>
          <w:lang w:val="el" w:eastAsia="el"/>
        </w:rPr>
        <w:t xml:space="preserve">; </w:t>
      </w:r>
      <w:hyperlink r:id="rId56" w:anchor="art_22" w:history="1">
        <w:r>
          <w:rPr>
            <w:rStyle w:val="Hyperlink"/>
            <w:color w:val="0000EE"/>
            <w:u w:color="0000EE"/>
            <w:lang w:val="el" w:eastAsia="el"/>
          </w:rPr>
          <w:t>Τροποποίηση 4223/2013, Άρθρο 22</w:t>
        </w:r>
      </w:hyperlink>
      <w:r>
        <w:rPr>
          <w:lang w:val="el" w:eastAsia="el"/>
        </w:rPr>
        <w:t xml:space="preserve">; </w:t>
      </w:r>
      <w:hyperlink r:id="rId57" w:anchor="art_88" w:history="1">
        <w:r>
          <w:rPr>
            <w:rStyle w:val="Hyperlink"/>
            <w:color w:val="0000EE"/>
            <w:u w:color="0000EE"/>
            <w:lang w:val="el" w:eastAsia="el"/>
          </w:rPr>
          <w:t>Τροποποίηση 4316/2014, Άρθρο 88</w:t>
        </w:r>
      </w:hyperlink>
      <w:r>
        <w:rPr>
          <w:lang w:val="el" w:eastAsia="el"/>
        </w:rPr>
        <w:t xml:space="preserve">; </w:t>
      </w:r>
      <w:hyperlink r:id="rId58" w:anchor="art_88" w:history="1">
        <w:r>
          <w:rPr>
            <w:rStyle w:val="Hyperlink"/>
            <w:color w:val="0000EE"/>
            <w:u w:color="0000EE"/>
            <w:lang w:val="el" w:eastAsia="el"/>
          </w:rPr>
          <w:t>Τροποποίηση 4316/2014, Άρθρο 88</w:t>
        </w:r>
      </w:hyperlink>
      <w:r>
        <w:rPr>
          <w:lang w:val="el" w:eastAsia="el"/>
        </w:rPr>
        <w:t xml:space="preserve">; </w:t>
      </w:r>
      <w:hyperlink r:id="rId59" w:anchor="art_2" w:history="1">
        <w:r>
          <w:rPr>
            <w:rStyle w:val="Hyperlink"/>
            <w:color w:val="0000EE"/>
            <w:u w:color="0000EE"/>
            <w:lang w:val="el" w:eastAsia="el"/>
          </w:rPr>
          <w:t>Τροποποίηση 4328/2015, Άρθρο 2</w:t>
        </w:r>
      </w:hyperlink>
      <w:r>
        <w:rPr>
          <w:lang w:val="el" w:eastAsia="el"/>
        </w:rPr>
        <w:t xml:space="preserve">; </w:t>
      </w:r>
      <w:hyperlink r:id="rId60" w:anchor="art_112" w:history="1">
        <w:r>
          <w:rPr>
            <w:rStyle w:val="Hyperlink"/>
            <w:color w:val="0000EE"/>
            <w:u w:color="0000EE"/>
            <w:lang w:val="el" w:eastAsia="el"/>
          </w:rPr>
          <w:t>Τροποποίηση 4387/2016, Άρθρο 112</w:t>
        </w:r>
      </w:hyperlink>
      <w:r>
        <w:rPr>
          <w:lang w:val="el" w:eastAsia="el"/>
        </w:rPr>
        <w:t xml:space="preserve">; </w:t>
      </w:r>
      <w:hyperlink r:id="rId61" w:anchor="art_72" w:history="1">
        <w:r>
          <w:rPr>
            <w:rStyle w:val="Hyperlink"/>
            <w:color w:val="0000EE"/>
            <w:u w:color="0000EE"/>
            <w:lang w:val="el" w:eastAsia="el"/>
          </w:rPr>
          <w:t>Τροποποίηση 4430/2016, Άρθρο 72</w:t>
        </w:r>
      </w:hyperlink>
      <w:r>
        <w:rPr>
          <w:lang w:val="el" w:eastAsia="el"/>
        </w:rPr>
        <w:t xml:space="preserve">; </w:t>
      </w:r>
      <w:hyperlink r:id="rId62" w:anchor="art_77" w:history="1">
        <w:r>
          <w:rPr>
            <w:rStyle w:val="Hyperlink"/>
            <w:color w:val="0000EE"/>
            <w:u w:color="0000EE"/>
            <w:lang w:val="el" w:eastAsia="el"/>
          </w:rPr>
          <w:t>Τροποποίηση 4484/2017, Άρθρο 77</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15" w:history="1">
        <w:r>
          <w:rPr>
            <w:rStyle w:val="Hyperlink"/>
            <w:color w:val="0000EE"/>
            <w:u w:color="0000EE"/>
            <w:lang w:val="el" w:eastAsia="el"/>
          </w:rPr>
          <w:t>Τροποποίηση 4549/2018, Άρθρο 115</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15" w:history="1">
        <w:r>
          <w:rPr>
            <w:rStyle w:val="Hyperlink"/>
            <w:color w:val="0000EE"/>
            <w:u w:color="0000EE"/>
            <w:lang w:val="el" w:eastAsia="el"/>
          </w:rPr>
          <w:t>Τροποποίηση 4549/2018, Άρθρο 115</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15" w:history="1">
        <w:r>
          <w:rPr>
            <w:rStyle w:val="Hyperlink"/>
            <w:color w:val="0000EE"/>
            <w:u w:color="0000EE"/>
            <w:lang w:val="el" w:eastAsia="el"/>
          </w:rPr>
          <w:t>Προσθήκη 4549/2018, Άρθρο 115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0" w:history="1">
        <w:r>
          <w:rPr>
            <w:rStyle w:val="Hyperlink"/>
            <w:color w:val="0000EE"/>
            <w:u w:color="0000EE"/>
            <w:lang w:val="el" w:eastAsia="el"/>
          </w:rPr>
          <w:t>Προσθήκη 4646/2019, Άρθρο 10</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22" w:history="1">
        <w:r>
          <w:rPr>
            <w:rStyle w:val="Hyperlink"/>
            <w:color w:val="0000EE"/>
            <w:u w:color="0000EE"/>
            <w:lang w:val="el" w:eastAsia="el"/>
          </w:rPr>
          <w:t>Τροποποίηση 4223/2013, Άρθρο 22</w:t>
        </w:r>
      </w:hyperlink>
      <w:r>
        <w:rPr>
          <w:lang w:val="el" w:eastAsia="el"/>
        </w:rPr>
        <w:t xml:space="preserve">; </w:t>
      </w:r>
      <w:hyperlink r:id="rId68" w:anchor="art_11" w:history="1">
        <w:r>
          <w:rPr>
            <w:rStyle w:val="Hyperlink"/>
            <w:color w:val="0000EE"/>
            <w:u w:color="0000EE"/>
            <w:lang w:val="el" w:eastAsia="el"/>
          </w:rPr>
          <w:t>Τροποποίηση 4646/2019, Άρθρο 11</w:t>
        </w:r>
      </w:hyperlink>
      <w:r>
        <w:rPr>
          <w:lang w:val="el" w:eastAsia="el"/>
        </w:rPr>
        <w:t xml:space="preserve">; </w:t>
      </w:r>
      <w:hyperlink r:id="rId69" w:anchor="art_11" w:history="1">
        <w:r>
          <w:rPr>
            <w:rStyle w:val="Hyperlink"/>
            <w:color w:val="0000EE"/>
            <w:u w:color="0000EE"/>
            <w:lang w:val="el" w:eastAsia="el"/>
          </w:rPr>
          <w:t>Τροποποίηση 4646/2019, Άρθρο 11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22" w:history="1">
        <w:r>
          <w:rPr>
            <w:rStyle w:val="Hyperlink"/>
            <w:color w:val="0000EE"/>
            <w:u w:color="0000EE"/>
            <w:lang w:val="el" w:eastAsia="el"/>
          </w:rPr>
          <w:t>Προσθήκη 4223/2013, Άρθρο 22</w:t>
        </w:r>
      </w:hyperlink>
      <w:r>
        <w:rPr>
          <w:lang w:val="el" w:eastAsia="el"/>
        </w:rPr>
        <w:t xml:space="preserve">; </w:t>
      </w:r>
      <w:hyperlink r:id="rId71" w:anchor="art_24" w:history="1">
        <w:r>
          <w:rPr>
            <w:rStyle w:val="Hyperlink"/>
            <w:color w:val="0000EE"/>
            <w:u w:color="0000EE"/>
            <w:lang w:val="el" w:eastAsia="el"/>
          </w:rPr>
          <w:t>Τροποποίηση 4386/2016, Άρθρο 24</w:t>
        </w:r>
      </w:hyperlink>
      <w:r>
        <w:rPr>
          <w:lang w:val="el" w:eastAsia="el"/>
        </w:rPr>
        <w:t xml:space="preserve">; </w:t>
      </w:r>
      <w:hyperlink r:id="rId72" w:anchor="art_46" w:history="1">
        <w:r>
          <w:rPr>
            <w:rStyle w:val="Hyperlink"/>
            <w:color w:val="0000EE"/>
            <w:u w:color="0000EE"/>
            <w:lang w:val="el" w:eastAsia="el"/>
          </w:rPr>
          <w:t>Τροποποίηση 4712/2020, Άρθρο 46</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2" w:history="1">
        <w:r>
          <w:rPr>
            <w:rStyle w:val="Hyperlink"/>
            <w:color w:val="0000EE"/>
            <w:u w:color="0000EE"/>
            <w:lang w:val="el" w:eastAsia="el"/>
          </w:rPr>
          <w:t>Προσθήκη 4646/2019, Άρθρο 12</w:t>
        </w:r>
      </w:hyperlink>
      <w:r>
        <w:rPr>
          <w:lang w:val="el" w:eastAsia="el"/>
        </w:rPr>
        <w:t xml:space="preserve">; </w:t>
      </w:r>
      <w:hyperlink r:id="rId74" w:anchor="art_7" w:history="1">
        <w:r>
          <w:rPr>
            <w:rStyle w:val="Hyperlink"/>
            <w:color w:val="0000EE"/>
            <w:u w:color="0000EE"/>
            <w:lang w:val="el" w:eastAsia="el"/>
          </w:rPr>
          <w:t>Τροποποίηση 4710/2020, Άρθρο 7</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1" w:history="1">
        <w:r>
          <w:rPr>
            <w:rStyle w:val="Hyperlink"/>
            <w:color w:val="0000EE"/>
            <w:u w:color="0000EE"/>
            <w:lang w:val="el" w:eastAsia="el"/>
          </w:rPr>
          <w:t>Προσθήκη 4728/2020, Άρθρο 11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89" w:history="1">
        <w:r>
          <w:rPr>
            <w:rStyle w:val="Hyperlink"/>
            <w:color w:val="0000EE"/>
            <w:u w:color="0000EE"/>
            <w:lang w:val="el" w:eastAsia="el"/>
          </w:rPr>
          <w:t>Προσθήκη 4764/2020, Άρθρο 189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22" w:history="1">
        <w:r>
          <w:rPr>
            <w:rStyle w:val="Hyperlink"/>
            <w:color w:val="0000EE"/>
            <w:u w:color="0000EE"/>
            <w:lang w:val="el" w:eastAsia="el"/>
          </w:rPr>
          <w:t>Τροποποίηση 4223/2013, Άρθρο 22</w:t>
        </w:r>
      </w:hyperlink>
      <w:r>
        <w:rPr>
          <w:lang w:val="el" w:eastAsia="el"/>
        </w:rPr>
        <w:t xml:space="preserve">; </w:t>
      </w:r>
      <w:hyperlink r:id="rId78" w:anchor="art_21" w:history="1">
        <w:r>
          <w:rPr>
            <w:rStyle w:val="Hyperlink"/>
            <w:color w:val="0000EE"/>
            <w:u w:color="0000EE"/>
            <w:lang w:val="el" w:eastAsia="el"/>
          </w:rPr>
          <w:t>Τροποποίηση 4321/2015, Άρθρο 21</w:t>
        </w:r>
      </w:hyperlink>
      <w:r>
        <w:rPr>
          <w:lang w:val="el" w:eastAsia="el"/>
        </w:rPr>
        <w:t xml:space="preserve">; </w:t>
      </w:r>
      <w:hyperlink r:id="rId79" w:anchor="art_72" w:history="1">
        <w:r>
          <w:rPr>
            <w:rStyle w:val="Hyperlink"/>
            <w:color w:val="0000EE"/>
            <w:u w:color="0000EE"/>
            <w:lang w:val="el" w:eastAsia="el"/>
          </w:rPr>
          <w:t>Τροποποίηση 4446/2016, Άρθρο 72</w:t>
        </w:r>
      </w:hyperlink>
      <w:r>
        <w:rPr>
          <w:lang w:val="el" w:eastAsia="el"/>
        </w:rPr>
        <w:t xml:space="preserve">; </w:t>
      </w:r>
      <w:hyperlink r:id="rId80" w:anchor="art_115" w:history="1">
        <w:r>
          <w:rPr>
            <w:rStyle w:val="Hyperlink"/>
            <w:color w:val="0000EE"/>
            <w:u w:color="0000EE"/>
            <w:lang w:val="el" w:eastAsia="el"/>
          </w:rPr>
          <w:t>Τροποποίηση 4549/2018, Άρθρο 115</w:t>
        </w:r>
      </w:hyperlink>
      <w:r>
        <w:rPr>
          <w:lang w:val="el" w:eastAsia="el"/>
        </w:rPr>
        <w:t xml:space="preserve">; </w:t>
      </w:r>
      <w:hyperlink r:id="rId81" w:anchor="art_13" w:history="1">
        <w:r>
          <w:rPr>
            <w:rStyle w:val="Hyperlink"/>
            <w:color w:val="0000EE"/>
            <w:u w:color="0000EE"/>
            <w:lang w:val="el" w:eastAsia="el"/>
          </w:rPr>
          <w:t>Τροποποίηση 4646/2019, Άρθρο 13</w:t>
        </w:r>
      </w:hyperlink>
      <w:r>
        <w:rPr>
          <w:lang w:val="el" w:eastAsia="el"/>
        </w:rPr>
        <w:t xml:space="preserve">; </w:t>
      </w:r>
      <w:hyperlink r:id="rId82" w:anchor="art_13" w:history="1">
        <w:r>
          <w:rPr>
            <w:rStyle w:val="Hyperlink"/>
            <w:color w:val="0000EE"/>
            <w:u w:color="0000EE"/>
            <w:lang w:val="el" w:eastAsia="el"/>
          </w:rPr>
          <w:t>Τροποποίηση 4764/2020, Άρθρο 13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95" w:history="1">
        <w:r>
          <w:rPr>
            <w:rStyle w:val="Hyperlink"/>
            <w:color w:val="0000EE"/>
            <w:u w:color="0000EE"/>
            <w:lang w:val="el" w:eastAsia="el"/>
          </w:rPr>
          <w:t>Τροποποίηση 4605/2019, Άρθρο 95</w:t>
        </w:r>
      </w:hyperlink>
      <w:r>
        <w:rPr>
          <w:lang w:val="el" w:eastAsia="el"/>
        </w:rPr>
        <w:t xml:space="preserve">; </w:t>
      </w:r>
      <w:hyperlink r:id="rId84" w:anchor="art_59" w:history="1">
        <w:r>
          <w:rPr>
            <w:rStyle w:val="Hyperlink"/>
            <w:color w:val="0000EE"/>
            <w:u w:color="0000EE"/>
            <w:lang w:val="el" w:eastAsia="el"/>
          </w:rPr>
          <w:t>Τροποποίηση 4701/2020, Άρθρο 59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5" w:history="1">
        <w:r>
          <w:rPr>
            <w:rStyle w:val="Hyperlink"/>
            <w:color w:val="0000EE"/>
            <w:u w:color="0000EE"/>
            <w:lang w:val="el" w:eastAsia="el"/>
          </w:rPr>
          <w:t>Τροποποίηση 4646/2019, Άρθρο 25</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22" w:history="1">
        <w:r>
          <w:rPr>
            <w:rStyle w:val="Hyperlink"/>
            <w:color w:val="0000EE"/>
            <w:u w:color="0000EE"/>
            <w:lang w:val="el" w:eastAsia="el"/>
          </w:rPr>
          <w:t>Τροποποίηση 4223/2013, Άρθρο 22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4" w:history="1">
        <w:r>
          <w:rPr>
            <w:rStyle w:val="Hyperlink"/>
            <w:color w:val="0000EE"/>
            <w:u w:color="0000EE"/>
            <w:lang w:val="el" w:eastAsia="el"/>
          </w:rPr>
          <w:t>Τροποποίηση 4646/2019, Άρθρο 14</w:t>
        </w:r>
      </w:hyperlink>
      <w:r>
        <w:rPr>
          <w:lang w:val="el" w:eastAsia="el"/>
        </w:rPr>
        <w:t xml:space="preserve">; </w:t>
      </w:r>
      <w:hyperlink r:id="rId88" w:anchor="art_115" w:history="1">
        <w:r>
          <w:rPr>
            <w:rStyle w:val="Hyperlink"/>
            <w:color w:val="0000EE"/>
            <w:u w:color="0000EE"/>
            <w:lang w:val="el" w:eastAsia="el"/>
          </w:rPr>
          <w:t>Τροποποίηση 4549/2018, Άρθρο 115</w:t>
        </w:r>
      </w:hyperlink>
      <w:r>
        <w:rPr>
          <w:lang w:val="el" w:eastAsia="el"/>
        </w:rPr>
        <w:t xml:space="preserve">; </w:t>
      </w:r>
      <w:hyperlink r:id="rId89" w:anchor="art_22" w:history="1">
        <w:r>
          <w:rPr>
            <w:rStyle w:val="Hyperlink"/>
            <w:color w:val="0000EE"/>
            <w:u w:color="0000EE"/>
            <w:lang w:val="el" w:eastAsia="el"/>
          </w:rPr>
          <w:t>Τροποποίηση 4223/2013, Άρθρο 22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 w:history="1">
        <w:r>
          <w:rPr>
            <w:rStyle w:val="Hyperlink"/>
            <w:color w:val="0000EE"/>
            <w:u w:color="0000EE"/>
            <w:lang w:val="el" w:eastAsia="el"/>
          </w:rPr>
          <w:t>Αφαίρεση 4549/2018, Άρθρο 1</w:t>
        </w:r>
      </w:hyperlink>
      <w:r>
        <w:rPr>
          <w:lang w:val="el" w:eastAsia="el"/>
        </w:rPr>
        <w:t xml:space="preserve">; </w:t>
      </w:r>
      <w:hyperlink r:id="rId91" w:anchor="art_1" w:history="1">
        <w:r>
          <w:rPr>
            <w:rStyle w:val="Hyperlink"/>
            <w:color w:val="0000EE"/>
            <w:u w:color="0000EE"/>
            <w:lang w:val="el" w:eastAsia="el"/>
          </w:rPr>
          <w:t>Τροποποίηση 4254/2014, Άρθρο 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22" w:history="1">
        <w:r>
          <w:rPr>
            <w:rStyle w:val="Hyperlink"/>
            <w:color w:val="0000EE"/>
            <w:u w:color="0000EE"/>
            <w:lang w:val="el" w:eastAsia="el"/>
          </w:rPr>
          <w:t>Τροποποίηση 4223/2013, Άρθρο 22</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8" w:history="1">
        <w:r>
          <w:rPr>
            <w:rStyle w:val="Hyperlink"/>
            <w:color w:val="0000EE"/>
            <w:u w:color="0000EE"/>
            <w:lang w:val="el" w:eastAsia="el"/>
          </w:rPr>
          <w:t>Τροποποίηση 4710/2020, Άρθρο 8</w:t>
        </w:r>
      </w:hyperlink>
      <w:r>
        <w:rPr>
          <w:lang w:val="el" w:eastAsia="el"/>
        </w:rPr>
        <w:t xml:space="preserve">; </w:t>
      </w:r>
      <w:hyperlink r:id="rId94" w:anchor="art_22" w:history="1">
        <w:r>
          <w:rPr>
            <w:rStyle w:val="Hyperlink"/>
            <w:color w:val="0000EE"/>
            <w:u w:color="0000EE"/>
            <w:lang w:val="el" w:eastAsia="el"/>
          </w:rPr>
          <w:t>Τροποποίηση 4223/2013, Άρθρο 22</w:t>
        </w:r>
      </w:hyperlink>
    </w:p>
  </w:footnote>
  <w:footnote w:id="5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5" w:anchor="art_22" w:history="1">
        <w:r>
          <w:rPr>
            <w:rStyle w:val="Hyperlink"/>
            <w:b w:val="0"/>
            <w:bCs w:val="0"/>
            <w:i w:val="0"/>
            <w:iCs w:val="0"/>
            <w:smallCaps w:val="0"/>
            <w:color w:val="0000EE"/>
            <w:u w:color="0000EE"/>
            <w:lang w:val="el" w:eastAsia="el"/>
          </w:rPr>
          <w:t>Τροποποίηση 4223/2013, Άρθρο 22</w:t>
        </w:r>
      </w:hyperlink>
    </w:p>
  </w:footnote>
  <w:footnote w:id="5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6" w:anchor="art_14" w:history="1">
        <w:r>
          <w:rPr>
            <w:rStyle w:val="Hyperlink"/>
            <w:b w:val="0"/>
            <w:bCs w:val="0"/>
            <w:i w:val="0"/>
            <w:iCs w:val="0"/>
            <w:smallCaps w:val="0"/>
            <w:color w:val="0000EE"/>
            <w:u w:color="0000EE"/>
            <w:lang w:val="el" w:eastAsia="el"/>
          </w:rPr>
          <w:t>Τροποποίηση 4646/2019, Άρθρο 14</w:t>
        </w:r>
      </w:hyperlink>
    </w:p>
  </w:footnote>
  <w:footnote w:id="5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7" w:anchor="art_8" w:history="1">
        <w:r>
          <w:rPr>
            <w:rStyle w:val="Hyperlink"/>
            <w:b w:val="0"/>
            <w:bCs w:val="0"/>
            <w:i w:val="0"/>
            <w:iCs w:val="0"/>
            <w:smallCaps w:val="0"/>
            <w:color w:val="0000EE"/>
            <w:u w:color="0000EE"/>
            <w:lang w:val="el" w:eastAsia="el"/>
          </w:rPr>
          <w:t>Προσθήκη 4710/2020, Άρθρο 8</w:t>
        </w:r>
      </w:hyperlink>
    </w:p>
  </w:footnote>
  <w:footnote w:id="5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8" w:anchor="art_8" w:history="1">
        <w:r>
          <w:rPr>
            <w:rStyle w:val="Hyperlink"/>
            <w:b w:val="0"/>
            <w:bCs w:val="0"/>
            <w:i w:val="0"/>
            <w:iCs w:val="0"/>
            <w:smallCaps w:val="0"/>
            <w:color w:val="0000EE"/>
            <w:u w:color="0000EE"/>
            <w:lang w:val="el" w:eastAsia="el"/>
          </w:rPr>
          <w:t>Προσθήκη 4710/2020, Άρθρο 8</w:t>
        </w:r>
      </w:hyperlink>
    </w:p>
  </w:footnote>
  <w:footnote w:id="5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9" w:anchor="art_14" w:history="1">
        <w:r>
          <w:rPr>
            <w:rStyle w:val="Hyperlink"/>
            <w:b w:val="0"/>
            <w:bCs w:val="0"/>
            <w:i w:val="0"/>
            <w:iCs w:val="0"/>
            <w:smallCaps w:val="0"/>
            <w:color w:val="0000EE"/>
            <w:u w:color="0000EE"/>
            <w:lang w:val="el" w:eastAsia="el"/>
          </w:rPr>
          <w:t>Τροποποίηση 4646/2019, Άρθρο 14</w:t>
        </w:r>
      </w:hyperlink>
    </w:p>
  </w:footnote>
  <w:footnote w:id="5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1" w:anchor="art_14" w:history="1">
        <w:r>
          <w:rPr>
            <w:rStyle w:val="Hyperlink"/>
            <w:b w:val="0"/>
            <w:bCs w:val="0"/>
            <w:i w:val="0"/>
            <w:iCs w:val="0"/>
            <w:smallCaps w:val="0"/>
            <w:color w:val="0000EE"/>
            <w:u w:color="0000EE"/>
            <w:lang w:val="el" w:eastAsia="el"/>
          </w:rPr>
          <w:t>Τροποποίηση 4646/2019, Άρθρο 14</w:t>
        </w:r>
      </w:hyperlink>
    </w:p>
  </w:footnote>
  <w:footnote w:id="5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2" w:anchor="art_14" w:history="1">
        <w:r>
          <w:rPr>
            <w:rStyle w:val="Hyperlink"/>
            <w:b w:val="0"/>
            <w:bCs w:val="0"/>
            <w:i w:val="0"/>
            <w:iCs w:val="0"/>
            <w:smallCaps w:val="0"/>
            <w:color w:val="0000EE"/>
            <w:u w:color="0000EE"/>
            <w:lang w:val="el" w:eastAsia="el"/>
          </w:rPr>
          <w:t>Τροποποίηση 4646/2019, Άρθρο 14</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3" w:anchor="art_115" w:history="1">
        <w:r>
          <w:rPr>
            <w:rStyle w:val="Hyperlink"/>
            <w:b w:val="0"/>
            <w:bCs w:val="0"/>
            <w:i w:val="0"/>
            <w:iCs w:val="0"/>
            <w:smallCaps w:val="0"/>
            <w:color w:val="0000EE"/>
            <w:u w:color="0000EE"/>
            <w:lang w:val="el" w:eastAsia="el"/>
          </w:rPr>
          <w:t>Τροποποίηση 4549/2018, Άρθρο 115</w:t>
        </w:r>
      </w:hyperlink>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4" w:anchor="art_14" w:history="1">
        <w:r>
          <w:rPr>
            <w:rStyle w:val="Hyperlink"/>
            <w:b w:val="0"/>
            <w:bCs w:val="0"/>
            <w:i w:val="0"/>
            <w:iCs w:val="0"/>
            <w:smallCaps w:val="0"/>
            <w:color w:val="0000EE"/>
            <w:u w:color="0000EE"/>
            <w:lang w:val="el" w:eastAsia="el"/>
          </w:rPr>
          <w:t>Τροποποίηση 4646/2019, Άρθρο 14</w:t>
        </w:r>
      </w:hyperlink>
    </w:p>
  </w:footnote>
  <w:footnote w:id="6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5" w:anchor="art_14" w:history="1">
        <w:r>
          <w:rPr>
            <w:rStyle w:val="Hyperlink"/>
            <w:b w:val="0"/>
            <w:bCs w:val="0"/>
            <w:i w:val="0"/>
            <w:iCs w:val="0"/>
            <w:smallCaps w:val="0"/>
            <w:color w:val="0000EE"/>
            <w:u w:color="0000EE"/>
            <w:lang w:val="el" w:eastAsia="el"/>
          </w:rPr>
          <w:t>Τροποποίηση 4646/2019, Άρθρο 14</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6" w:anchor="art_14" w:history="1">
        <w:r>
          <w:rPr>
            <w:rStyle w:val="Hyperlink"/>
            <w:b w:val="0"/>
            <w:bCs w:val="0"/>
            <w:i w:val="0"/>
            <w:iCs w:val="0"/>
            <w:smallCaps w:val="0"/>
            <w:color w:val="0000EE"/>
            <w:u w:color="0000EE"/>
            <w:lang w:val="el" w:eastAsia="el"/>
          </w:rPr>
          <w:t>Τροποποίηση 4646/2019, Άρθρο 14</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14" w:history="1">
        <w:r>
          <w:rPr>
            <w:rStyle w:val="Hyperlink"/>
            <w:b w:val="0"/>
            <w:bCs w:val="0"/>
            <w:i w:val="0"/>
            <w:iCs w:val="0"/>
            <w:smallCaps w:val="0"/>
            <w:color w:val="0000EE"/>
            <w:u w:color="0000EE"/>
            <w:lang w:val="el" w:eastAsia="el"/>
          </w:rPr>
          <w:t>Προσθήκη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8"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9" w:anchor="art_14" w:history="1">
        <w:r>
          <w:rPr>
            <w:rStyle w:val="Hyperlink"/>
            <w:b w:val="0"/>
            <w:bCs w:val="0"/>
            <w:i w:val="0"/>
            <w:iCs w:val="0"/>
            <w:smallCaps w:val="0"/>
            <w:color w:val="0000EE"/>
            <w:u w:color="0000EE"/>
            <w:lang w:val="el" w:eastAsia="el"/>
          </w:rPr>
          <w:t>Προσθήκη 4646/2019, Άρθρο 14</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0"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11" w:anchor="art_115" w:history="1">
        <w:r>
          <w:rPr>
            <w:rStyle w:val="Hyperlink"/>
            <w:b w:val="0"/>
            <w:bCs w:val="0"/>
            <w:i w:val="0"/>
            <w:iCs w:val="0"/>
            <w:smallCaps w:val="0"/>
            <w:color w:val="0000EE"/>
            <w:u w:color="0000EE"/>
            <w:lang w:val="el" w:eastAsia="el"/>
          </w:rPr>
          <w:t>Αφαίρεση 4549/2018, Άρθρο 115</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3" w:anchor="art_14" w:history="1">
        <w:r>
          <w:rPr>
            <w:rStyle w:val="Hyperlink"/>
            <w:b w:val="0"/>
            <w:bCs w:val="0"/>
            <w:i w:val="0"/>
            <w:iCs w:val="0"/>
            <w:smallCaps w:val="0"/>
            <w:color w:val="0000EE"/>
            <w:u w:color="0000EE"/>
            <w:lang w:val="el" w:eastAsia="el"/>
          </w:rPr>
          <w:t>Τροποποίηση 4646/2019, Άρθρο 14</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4" w:anchor="art_14" w:history="1">
        <w:r>
          <w:rPr>
            <w:rStyle w:val="Hyperlink"/>
            <w:b w:val="0"/>
            <w:bCs w:val="0"/>
            <w:i w:val="0"/>
            <w:iCs w:val="0"/>
            <w:smallCaps w:val="0"/>
            <w:color w:val="0000EE"/>
            <w:u w:color="0000EE"/>
            <w:lang w:val="el" w:eastAsia="el"/>
          </w:rPr>
          <w:t>Προσθήκη 4646/2019, Άρθρο 14</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5"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6" w:anchor="art_14" w:history="1">
        <w:r>
          <w:rPr>
            <w:rStyle w:val="Hyperlink"/>
            <w:b w:val="0"/>
            <w:bCs w:val="0"/>
            <w:i w:val="0"/>
            <w:iCs w:val="0"/>
            <w:smallCaps w:val="0"/>
            <w:color w:val="0000EE"/>
            <w:u w:color="0000EE"/>
            <w:lang w:val="el" w:eastAsia="el"/>
          </w:rPr>
          <w:t>Προσθήκη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7" w:anchor="art_14" w:history="1">
        <w:r>
          <w:rPr>
            <w:rStyle w:val="Hyperlink"/>
            <w:b w:val="0"/>
            <w:bCs w:val="0"/>
            <w:i w:val="0"/>
            <w:iCs w:val="0"/>
            <w:smallCaps w:val="0"/>
            <w:color w:val="0000EE"/>
            <w:u w:color="0000EE"/>
            <w:lang w:val="el" w:eastAsia="el"/>
          </w:rPr>
          <w:t>Προσθήκη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8"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9" w:anchor="art_14" w:history="1">
        <w:r>
          <w:rPr>
            <w:rStyle w:val="Hyperlink"/>
            <w:b w:val="0"/>
            <w:bCs w:val="0"/>
            <w:i w:val="0"/>
            <w:iCs w:val="0"/>
            <w:smallCaps w:val="0"/>
            <w:color w:val="0000EE"/>
            <w:u w:color="0000EE"/>
            <w:lang w:val="el" w:eastAsia="el"/>
          </w:rPr>
          <w:t>Προσθήκη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0" w:anchor="art_14" w:history="1">
        <w:r>
          <w:rPr>
            <w:rStyle w:val="Hyperlink"/>
            <w:b w:val="0"/>
            <w:bCs w:val="0"/>
            <w:i w:val="0"/>
            <w:iCs w:val="0"/>
            <w:smallCaps w:val="0"/>
            <w:color w:val="0000EE"/>
            <w:u w:color="0000EE"/>
            <w:lang w:val="el" w:eastAsia="el"/>
          </w:rPr>
          <w:t>Προσθήκη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1"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2" w:anchor="art_14" w:history="1">
        <w:r>
          <w:rPr>
            <w:rStyle w:val="Hyperlink"/>
            <w:b w:val="0"/>
            <w:bCs w:val="0"/>
            <w:i w:val="0"/>
            <w:iCs w:val="0"/>
            <w:smallCaps w:val="0"/>
            <w:color w:val="0000EE"/>
            <w:u w:color="0000EE"/>
            <w:lang w:val="el" w:eastAsia="el"/>
          </w:rPr>
          <w:t>Προσθήκη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3" w:anchor="art_14" w:history="1">
        <w:r>
          <w:rPr>
            <w:rStyle w:val="Hyperlink"/>
            <w:b w:val="0"/>
            <w:bCs w:val="0"/>
            <w:i w:val="0"/>
            <w:iCs w:val="0"/>
            <w:smallCaps w:val="0"/>
            <w:color w:val="0000EE"/>
            <w:u w:color="0000EE"/>
            <w:lang w:val="el" w:eastAsia="el"/>
          </w:rPr>
          <w:t>Προσθήκη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4"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5" w:anchor="art_14" w:history="1">
        <w:r>
          <w:rPr>
            <w:rStyle w:val="Hyperlink"/>
            <w:b w:val="0"/>
            <w:bCs w:val="0"/>
            <w:i w:val="0"/>
            <w:iCs w:val="0"/>
            <w:smallCaps w:val="0"/>
            <w:color w:val="0000EE"/>
            <w:u w:color="0000EE"/>
            <w:lang w:val="el" w:eastAsia="el"/>
          </w:rPr>
          <w:t>Προσθήκη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6" w:anchor="art_14" w:history="1">
        <w:r>
          <w:rPr>
            <w:rStyle w:val="Hyperlink"/>
            <w:b w:val="0"/>
            <w:bCs w:val="0"/>
            <w:i w:val="0"/>
            <w:iCs w:val="0"/>
            <w:smallCaps w:val="0"/>
            <w:color w:val="0000EE"/>
            <w:u w:color="0000EE"/>
            <w:lang w:val="el" w:eastAsia="el"/>
          </w:rPr>
          <w:t>Προσθήκη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7"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8" w:anchor="art_14" w:history="1">
        <w:r>
          <w:rPr>
            <w:rStyle w:val="Hyperlink"/>
            <w:b w:val="0"/>
            <w:bCs w:val="0"/>
            <w:i w:val="0"/>
            <w:iCs w:val="0"/>
            <w:smallCaps w:val="0"/>
            <w:color w:val="0000EE"/>
            <w:u w:color="0000EE"/>
            <w:lang w:val="el" w:eastAsia="el"/>
          </w:rPr>
          <w:t>Προσθήκη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9" w:anchor="art_14" w:history="1">
        <w:r>
          <w:rPr>
            <w:rStyle w:val="Hyperlink"/>
            <w:b w:val="0"/>
            <w:bCs w:val="0"/>
            <w:i w:val="0"/>
            <w:iCs w:val="0"/>
            <w:smallCaps w:val="0"/>
            <w:color w:val="0000EE"/>
            <w:u w:color="0000EE"/>
            <w:lang w:val="el" w:eastAsia="el"/>
          </w:rPr>
          <w:t>Τροποποίηση 4646/2019, Άρθρο 14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0" w:anchor="art_14" w:history="1">
        <w:r>
          <w:rPr>
            <w:rStyle w:val="Hyperlink"/>
            <w:b w:val="0"/>
            <w:bCs w:val="0"/>
            <w:i w:val="0"/>
            <w:iCs w:val="0"/>
            <w:smallCaps w:val="0"/>
            <w:color w:val="0000EE"/>
            <w:u w:color="0000EE"/>
            <w:lang w:val="el" w:eastAsia="el"/>
          </w:rPr>
          <w:t>Τροποποίηση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1" w:anchor="art_14" w:history="1">
        <w:r>
          <w:rPr>
            <w:rStyle w:val="Hyperlink"/>
            <w:b w:val="0"/>
            <w:bCs w:val="0"/>
            <w:i w:val="0"/>
            <w:iCs w:val="0"/>
            <w:smallCaps w:val="0"/>
            <w:color w:val="0000EE"/>
            <w:u w:color="0000EE"/>
            <w:lang w:val="el" w:eastAsia="el"/>
          </w:rPr>
          <w:t>Τροποποίηση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2" w:anchor="art_24" w:history="1">
        <w:r>
          <w:rPr>
            <w:rStyle w:val="Hyperlink"/>
            <w:b w:val="0"/>
            <w:bCs w:val="0"/>
            <w:i w:val="0"/>
            <w:iCs w:val="0"/>
            <w:smallCaps w:val="0"/>
            <w:color w:val="0000EE"/>
            <w:u w:color="0000EE"/>
            <w:lang w:val="el" w:eastAsia="el"/>
          </w:rPr>
          <w:t>Προσθήκη 4386/2016, Άρθρο 24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3" w:anchor="art_14" w:history="1">
        <w:r>
          <w:rPr>
            <w:rStyle w:val="Hyperlink"/>
            <w:b w:val="0"/>
            <w:bCs w:val="0"/>
            <w:i w:val="0"/>
            <w:iCs w:val="0"/>
            <w:smallCaps w:val="0"/>
            <w:color w:val="0000EE"/>
            <w:u w:color="0000EE"/>
            <w:lang w:val="el" w:eastAsia="el"/>
          </w:rPr>
          <w:t>Τροποποίηση 4646/2019, Άρθρο 14</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8" w:history="1">
        <w:r>
          <w:rPr>
            <w:rStyle w:val="Hyperlink"/>
            <w:color w:val="0000EE"/>
            <w:u w:color="0000EE"/>
            <w:lang w:val="el" w:eastAsia="el"/>
          </w:rPr>
          <w:t>Τροποποίηση 4710/2020, Άρθρο 8</w:t>
        </w:r>
      </w:hyperlink>
      <w:r>
        <w:rPr>
          <w:lang w:val="el" w:eastAsia="el"/>
        </w:rPr>
        <w:t xml:space="preserve">; </w:t>
      </w:r>
      <w:hyperlink r:id="rId135" w:anchor="art_78" w:history="1">
        <w:r>
          <w:rPr>
            <w:rStyle w:val="Hyperlink"/>
            <w:color w:val="0000EE"/>
            <w:u w:color="0000EE"/>
            <w:lang w:val="el" w:eastAsia="el"/>
          </w:rPr>
          <w:t>Προσθήκη 4646/2019, Άρθρο 78</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22" w:history="1">
        <w:r>
          <w:rPr>
            <w:rStyle w:val="Hyperlink"/>
            <w:color w:val="0000EE"/>
            <w:u w:color="0000EE"/>
            <w:lang w:val="el" w:eastAsia="el"/>
          </w:rPr>
          <w:t>Τροποποίηση 4223/2013, Άρθρο 22</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2" w:history="1">
        <w:r>
          <w:rPr>
            <w:rStyle w:val="Hyperlink"/>
            <w:color w:val="0000EE"/>
            <w:u w:color="0000EE"/>
            <w:lang w:val="el" w:eastAsia="el"/>
          </w:rPr>
          <w:t>Τροποποίηση 4223/2013, Άρθρο 22</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2" w:history="1">
        <w:r>
          <w:rPr>
            <w:rStyle w:val="Hyperlink"/>
            <w:color w:val="0000EE"/>
            <w:u w:color="0000EE"/>
            <w:lang w:val="el" w:eastAsia="el"/>
          </w:rPr>
          <w:t>Τροποποίηση 4223/2013, Άρθρο 22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2" w:history="1">
        <w:r>
          <w:rPr>
            <w:rStyle w:val="Hyperlink"/>
            <w:color w:val="0000EE"/>
            <w:u w:color="0000EE"/>
            <w:lang w:val="el" w:eastAsia="el"/>
          </w:rPr>
          <w:t>Τροποποίηση 4223/2013, Άρθρο 22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2" w:history="1">
        <w:r>
          <w:rPr>
            <w:rStyle w:val="Hyperlink"/>
            <w:color w:val="0000EE"/>
            <w:u w:color="0000EE"/>
            <w:lang w:val="el" w:eastAsia="el"/>
          </w:rPr>
          <w:t>Προσθήκη 4223/2013, Άρθρο 22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17" w:history="1">
        <w:r>
          <w:rPr>
            <w:rStyle w:val="Hyperlink"/>
            <w:color w:val="0000EE"/>
            <w:u w:color="0000EE"/>
            <w:lang w:val="el" w:eastAsia="el"/>
          </w:rPr>
          <w:t>Προσθήκη 4549/2018, Άρθρο 117</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17" w:history="1">
        <w:r>
          <w:rPr>
            <w:rStyle w:val="Hyperlink"/>
            <w:color w:val="0000EE"/>
            <w:u w:color="0000EE"/>
            <w:lang w:val="el" w:eastAsia="el"/>
          </w:rPr>
          <w:t>Προσθήκη 4549/2018, Άρθρο 117</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17" w:history="1">
        <w:r>
          <w:rPr>
            <w:rStyle w:val="Hyperlink"/>
            <w:color w:val="0000EE"/>
            <w:u w:color="0000EE"/>
            <w:lang w:val="el" w:eastAsia="el"/>
          </w:rPr>
          <w:t>Προσθήκη 4549/2018, Άρθρο 117</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2" w:history="1">
        <w:r>
          <w:rPr>
            <w:rStyle w:val="Hyperlink"/>
            <w:color w:val="0000EE"/>
            <w:u w:color="0000EE"/>
            <w:lang w:val="el" w:eastAsia="el"/>
          </w:rPr>
          <w:t>Τροποποίηση 4315/2014, Άρθρο 2</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22" w:history="1">
        <w:r>
          <w:rPr>
            <w:rStyle w:val="Hyperlink"/>
            <w:color w:val="0000EE"/>
            <w:u w:color="0000EE"/>
            <w:lang w:val="el" w:eastAsia="el"/>
          </w:rPr>
          <w:t>Τροποποίηση 4223/2013, Άρθρο 22</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5" w:history="1">
        <w:r>
          <w:rPr>
            <w:rStyle w:val="Hyperlink"/>
            <w:color w:val="0000EE"/>
            <w:u w:color="0000EE"/>
            <w:lang w:val="el" w:eastAsia="el"/>
          </w:rPr>
          <w:t>Τροποποίηση 4646/2019, Άρθρο 15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234" w:history="1">
        <w:r>
          <w:rPr>
            <w:rStyle w:val="Hyperlink"/>
            <w:color w:val="0000EE"/>
            <w:u w:color="0000EE"/>
            <w:lang w:val="el" w:eastAsia="el"/>
          </w:rPr>
          <w:t>Προσθήκη 4610/2019, Άρθρο 234</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22" w:history="1">
        <w:r>
          <w:rPr>
            <w:rStyle w:val="Hyperlink"/>
            <w:color w:val="0000EE"/>
            <w:u w:color="0000EE"/>
            <w:lang w:val="el" w:eastAsia="el"/>
          </w:rPr>
          <w:t>Τροποποίηση 4223/2013, Άρθρο 22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78" w:history="1">
        <w:r>
          <w:rPr>
            <w:rStyle w:val="Hyperlink"/>
            <w:color w:val="0000EE"/>
            <w:u w:color="0000EE"/>
            <w:lang w:val="el" w:eastAsia="el"/>
          </w:rPr>
          <w:t>Προσθήκη 4307/2014, Άρθρο 78</w:t>
        </w:r>
      </w:hyperlink>
      <w:r>
        <w:rPr>
          <w:lang w:val="el" w:eastAsia="el"/>
        </w:rPr>
        <w:t xml:space="preserve">; </w:t>
      </w:r>
      <w:hyperlink r:id="rId150" w:anchor="art_43" w:history="1">
        <w:r>
          <w:rPr>
            <w:rStyle w:val="Hyperlink"/>
            <w:color w:val="0000EE"/>
            <w:u w:color="0000EE"/>
            <w:lang w:val="el" w:eastAsia="el"/>
          </w:rPr>
          <w:t>Τροποποίηση 4465/2017, Άρθρο 43</w:t>
        </w:r>
      </w:hyperlink>
      <w:r>
        <w:rPr>
          <w:lang w:val="el" w:eastAsia="el"/>
        </w:rPr>
        <w:t xml:space="preserve">; </w:t>
      </w:r>
      <w:hyperlink r:id="rId151" w:anchor="art_27" w:history="1">
        <w:r>
          <w:rPr>
            <w:rStyle w:val="Hyperlink"/>
            <w:color w:val="0000EE"/>
            <w:u w:color="0000EE"/>
            <w:lang w:val="el" w:eastAsia="el"/>
          </w:rPr>
          <w:t>Τροποποίηση 4701/2020, Άρθρο 27</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24" w:history="1">
        <w:r>
          <w:rPr>
            <w:rStyle w:val="Hyperlink"/>
            <w:color w:val="0000EE"/>
            <w:u w:color="0000EE"/>
            <w:lang w:val="el" w:eastAsia="el"/>
          </w:rPr>
          <w:t>Τροποποίηση 4446/2016, Άρθρο 124</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4" w:history="1">
        <w:r>
          <w:rPr>
            <w:rStyle w:val="Hyperlink"/>
            <w:b/>
            <w:bCs/>
            <w:color w:val="0000EE"/>
            <w:u w:color="0000EE"/>
            <w:lang w:val="el" w:eastAsia="el"/>
          </w:rPr>
          <w:t>Προσθήκη 4340/2015, Άρθρο 4</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3" w:history="1">
        <w:r>
          <w:rPr>
            <w:rStyle w:val="Hyperlink"/>
            <w:b/>
            <w:bCs/>
            <w:color w:val="0000EE"/>
            <w:u w:color="0000EE"/>
            <w:lang w:val="el" w:eastAsia="el"/>
          </w:rPr>
          <w:t>Τροποποίηση 4722/2020, Άρθρο 13</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14" w:history="1">
        <w:r>
          <w:rPr>
            <w:rStyle w:val="Hyperlink"/>
            <w:b/>
            <w:bCs/>
            <w:color w:val="0000EE"/>
            <w:u w:color="0000EE"/>
            <w:lang w:val="el" w:eastAsia="el"/>
          </w:rPr>
          <w:t>Τροποποίηση 4549/2018, Άρθρο 114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82" w:history="1">
        <w:r>
          <w:rPr>
            <w:rStyle w:val="Hyperlink"/>
            <w:b/>
            <w:bCs/>
            <w:color w:val="0000EE"/>
            <w:u w:color="0000EE"/>
            <w:lang w:val="el" w:eastAsia="el"/>
          </w:rPr>
          <w:t>Προσθήκη 4472/2017, Άρθρο 82</w:t>
        </w:r>
      </w:hyperlink>
      <w:r>
        <w:rPr>
          <w:b/>
          <w:bCs/>
          <w:lang w:val="el" w:eastAsia="el"/>
        </w:rPr>
        <w:t xml:space="preserve">; </w:t>
      </w:r>
      <w:hyperlink r:id="rId157" w:anchor="art_80" w:history="1">
        <w:r>
          <w:rPr>
            <w:rStyle w:val="Hyperlink"/>
            <w:b/>
            <w:bCs/>
            <w:color w:val="0000EE"/>
            <w:u w:color="0000EE"/>
            <w:lang w:val="el" w:eastAsia="el"/>
          </w:rPr>
          <w:t>Τροποποίηση 4484/2017, Άρθρο 80</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2" w:history="1">
        <w:r>
          <w:rPr>
            <w:rStyle w:val="Hyperlink"/>
            <w:b/>
            <w:bCs/>
            <w:color w:val="0000EE"/>
            <w:u w:color="0000EE"/>
            <w:lang w:val="el" w:eastAsia="el"/>
          </w:rPr>
          <w:t>Τροποποίηση 4223/2013, Άρθρο 22</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60"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61" w:anchor="art_112" w:history="1">
        <w:r>
          <w:rPr>
            <w:rStyle w:val="Hyperlink"/>
            <w:b/>
            <w:bCs/>
            <w:color w:val="0000EE"/>
            <w:u w:color="0000EE"/>
            <w:lang w:val="el" w:eastAsia="el"/>
          </w:rPr>
          <w:t>Τροποποίηση 4387/2016, Άρθρο 112</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44" w:history="1">
        <w:r>
          <w:rPr>
            <w:rStyle w:val="Hyperlink"/>
            <w:b/>
            <w:bCs/>
            <w:color w:val="0000EE"/>
            <w:u w:color="0000EE"/>
            <w:lang w:val="el" w:eastAsia="el"/>
          </w:rPr>
          <w:t>Τροποποίηση 4387/2016, Άρθρο 44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64" w:anchor="art_34" w:history="1">
        <w:r>
          <w:rPr>
            <w:rStyle w:val="Hyperlink"/>
            <w:b/>
            <w:bCs/>
            <w:color w:val="0000EE"/>
            <w:u w:color="0000EE"/>
            <w:lang w:val="el" w:eastAsia="el"/>
          </w:rPr>
          <w:t>Τροποποίηση 4474/2017, Άρθρο 34</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3" w:history="1">
        <w:r>
          <w:rPr>
            <w:rStyle w:val="Hyperlink"/>
            <w:b/>
            <w:bCs/>
            <w:color w:val="0000EE"/>
            <w:u w:color="0000EE"/>
            <w:lang w:val="el" w:eastAsia="el"/>
          </w:rPr>
          <w:t>Τροποποίηση 4254/2014, Άρθρο 3</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15" w:history="1">
        <w:r>
          <w:rPr>
            <w:rStyle w:val="Hyperlink"/>
            <w:b/>
            <w:bCs/>
            <w:color w:val="0000EE"/>
            <w:u w:color="0000EE"/>
            <w:lang w:val="el" w:eastAsia="el"/>
          </w:rPr>
          <w:t>Τροποποίηση 4549/2018, Άρθρο 115</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 w:history="1">
        <w:r>
          <w:rPr>
            <w:rStyle w:val="Hyperlink"/>
            <w:b/>
            <w:bCs/>
            <w:color w:val="0000EE"/>
            <w:u w:color="0000EE"/>
            <w:lang w:val="el" w:eastAsia="el"/>
          </w:rPr>
          <w:t>Τροποποίηση 4254/2014, Άρθρο 1</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169" w:anchor="art_40" w:history="1">
        <w:r>
          <w:rPr>
            <w:rStyle w:val="Hyperlink"/>
            <w:b/>
            <w:bCs/>
            <w:color w:val="0000EE"/>
            <w:u w:color="0000EE"/>
            <w:lang w:val="el" w:eastAsia="el"/>
          </w:rPr>
          <w:t>Προσθήκη 4758/2020, Άρθρο 40</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1"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2" w:anchor="art_1" w:history="1">
        <w:r>
          <w:rPr>
            <w:rStyle w:val="Hyperlink"/>
            <w:b/>
            <w:bCs/>
            <w:color w:val="0000EE"/>
            <w:u w:color="0000EE"/>
            <w:lang w:val="el" w:eastAsia="el"/>
          </w:rPr>
          <w:t>Τροποποίηση 4330/2015, Άρθρο 1</w:t>
        </w:r>
      </w:hyperlink>
      <w:r>
        <w:rPr>
          <w:b/>
          <w:bCs/>
          <w:lang w:val="el" w:eastAsia="el"/>
        </w:rPr>
        <w:t xml:space="preserve">; </w:t>
      </w:r>
      <w:hyperlink r:id="rId173" w:anchor="art_1" w:history="1">
        <w:r>
          <w:rPr>
            <w:rStyle w:val="Hyperlink"/>
            <w:b/>
            <w:bCs/>
            <w:color w:val="0000EE"/>
            <w:u w:color="0000EE"/>
            <w:lang w:val="el" w:eastAsia="el"/>
          </w:rPr>
          <w:t>Αφαίρεση 4330/2015,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22" w:history="1">
        <w:r>
          <w:rPr>
            <w:rStyle w:val="Hyperlink"/>
            <w:b/>
            <w:bCs/>
            <w:color w:val="0000EE"/>
            <w:u w:color="0000EE"/>
            <w:lang w:val="el" w:eastAsia="el"/>
          </w:rPr>
          <w:t>Προσθήκη 4223/2013, Άρθρο 22</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76"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77" w:anchor="art_2" w:history="1">
        <w:r>
          <w:rPr>
            <w:rStyle w:val="Hyperlink"/>
            <w:b/>
            <w:bCs/>
            <w:color w:val="0000EE"/>
            <w:u w:color="0000EE"/>
            <w:lang w:val="el" w:eastAsia="el"/>
          </w:rPr>
          <w:t>Τροποποίηση 4646/2019, Άρθρο 2</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22" w:history="1">
        <w:r>
          <w:rPr>
            <w:rStyle w:val="Hyperlink"/>
            <w:b/>
            <w:bCs/>
            <w:color w:val="0000EE"/>
            <w:u w:color="0000EE"/>
            <w:lang w:val="el" w:eastAsia="el"/>
          </w:rPr>
          <w:t>Τροποποίηση 4223/2013, Άρθρο 22</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2" w:history="1">
        <w:r>
          <w:rPr>
            <w:rStyle w:val="Hyperlink"/>
            <w:b/>
            <w:bCs/>
            <w:color w:val="0000EE"/>
            <w:u w:color="0000EE"/>
            <w:lang w:val="el" w:eastAsia="el"/>
          </w:rPr>
          <w:t>Τροποποίηση 4223/2013, Άρθρο 22</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22" w:history="1">
        <w:r>
          <w:rPr>
            <w:rStyle w:val="Hyperlink"/>
            <w:b/>
            <w:bCs/>
            <w:color w:val="0000EE"/>
            <w:u w:color="0000EE"/>
            <w:lang w:val="el" w:eastAsia="el"/>
          </w:rPr>
          <w:t>Τροποποίηση 4223/2013, Άρθρο 22</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1" w:history="1">
        <w:r>
          <w:rPr>
            <w:rStyle w:val="Hyperlink"/>
            <w:b/>
            <w:bCs/>
            <w:color w:val="0000EE"/>
            <w:u w:color="0000EE"/>
            <w:lang w:val="el" w:eastAsia="el"/>
          </w:rPr>
          <w:t>Προσθήκη 4646/2019, Άρθρο 21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 w:history="1">
        <w:r>
          <w:rPr>
            <w:rStyle w:val="Hyperlink"/>
            <w:b/>
            <w:bCs/>
            <w:color w:val="0000EE"/>
            <w:u w:color="0000EE"/>
            <w:lang w:val="el" w:eastAsia="el"/>
          </w:rPr>
          <w:t>Τροποποίηση 4328/2015, Άρθρο 2</w:t>
        </w:r>
      </w:hyperlink>
      <w:r>
        <w:rPr>
          <w:b/>
          <w:bCs/>
          <w:lang w:val="el" w:eastAsia="el"/>
        </w:rPr>
        <w:t xml:space="preserve">; </w:t>
      </w:r>
      <w:hyperlink r:id="rId183" w:anchor="art_1" w:history="1">
        <w:r>
          <w:rPr>
            <w:rStyle w:val="Hyperlink"/>
            <w:b/>
            <w:bCs/>
            <w:color w:val="0000EE"/>
            <w:u w:color="0000EE"/>
            <w:lang w:val="el" w:eastAsia="el"/>
          </w:rPr>
          <w:t>Τροποποίηση 4330/2015, Άρθρο 1</w:t>
        </w:r>
      </w:hyperlink>
      <w:r>
        <w:rPr>
          <w:b/>
          <w:bCs/>
          <w:lang w:val="el" w:eastAsia="el"/>
        </w:rPr>
        <w:t xml:space="preserve">; </w:t>
      </w:r>
      <w:hyperlink r:id="rId184" w:anchor="art_2" w:history="1">
        <w:r>
          <w:rPr>
            <w:rStyle w:val="Hyperlink"/>
            <w:b/>
            <w:bCs/>
            <w:color w:val="0000EE"/>
            <w:u w:color="0000EE"/>
            <w:lang w:val="el" w:eastAsia="el"/>
          </w:rPr>
          <w:t>Τροποποίηση 4337/2015, Άρθρο 2</w:t>
        </w:r>
      </w:hyperlink>
      <w:r>
        <w:rPr>
          <w:b/>
          <w:bCs/>
          <w:lang w:val="el" w:eastAsia="el"/>
        </w:rPr>
        <w:t xml:space="preserve">; </w:t>
      </w:r>
      <w:hyperlink r:id="rId185" w:anchor="art_11" w:history="1">
        <w:r>
          <w:rPr>
            <w:rStyle w:val="Hyperlink"/>
            <w:b/>
            <w:bCs/>
            <w:color w:val="0000EE"/>
            <w:u w:color="0000EE"/>
            <w:lang w:val="el" w:eastAsia="el"/>
          </w:rPr>
          <w:t>Τροποποίηση 4346/2015, Άρθρο 11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15" w:history="1">
        <w:r>
          <w:rPr>
            <w:rStyle w:val="Hyperlink"/>
            <w:b/>
            <w:bCs/>
            <w:color w:val="0000EE"/>
            <w:u w:color="0000EE"/>
            <w:lang w:val="el" w:eastAsia="el"/>
          </w:rPr>
          <w:t>Τροποποίηση 4549/2018, Άρθρο 115</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5" w:history="1">
        <w:r>
          <w:rPr>
            <w:rStyle w:val="Hyperlink"/>
            <w:b/>
            <w:bCs/>
            <w:color w:val="0000EE"/>
            <w:u w:color="0000EE"/>
            <w:lang w:val="el" w:eastAsia="el"/>
          </w:rPr>
          <w:t>Τροποποίηση 4714/2020, Άρθρο 5</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83" w:history="1">
        <w:r>
          <w:rPr>
            <w:rStyle w:val="Hyperlink"/>
            <w:b/>
            <w:bCs/>
            <w:color w:val="0000EE"/>
            <w:u w:color="0000EE"/>
            <w:lang w:val="el" w:eastAsia="el"/>
          </w:rPr>
          <w:t>Προσθήκη 4472/2017, Άρθρο 83</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6" w:history="1">
        <w:r>
          <w:rPr>
            <w:rStyle w:val="Hyperlink"/>
            <w:b/>
            <w:bCs/>
            <w:color w:val="0000EE"/>
            <w:u w:color="0000EE"/>
            <w:lang w:val="el" w:eastAsia="el"/>
          </w:rPr>
          <w:t>Προσθήκη 4646/2019, Άρθρο 16</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12" w:history="1">
        <w:r>
          <w:rPr>
            <w:rStyle w:val="Hyperlink"/>
            <w:b/>
            <w:bCs/>
            <w:color w:val="0000EE"/>
            <w:u w:color="0000EE"/>
            <w:lang w:val="el" w:eastAsia="el"/>
          </w:rPr>
          <w:t>Τροποποίηση 4387/2016, Άρθρο 112</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192" w:anchor="art_24" w:history="1">
        <w:r>
          <w:rPr>
            <w:rStyle w:val="Hyperlink"/>
            <w:b/>
            <w:bCs/>
            <w:color w:val="0000EE"/>
            <w:u w:color="0000EE"/>
            <w:lang w:val="el" w:eastAsia="el"/>
          </w:rPr>
          <w:t>Τροποποίηση 4646/2019, Άρθρο 24</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7" w:history="1">
        <w:r>
          <w:rPr>
            <w:rStyle w:val="Hyperlink"/>
            <w:b/>
            <w:bCs/>
            <w:color w:val="0000EE"/>
            <w:u w:color="0000EE"/>
            <w:lang w:val="el" w:eastAsia="el"/>
          </w:rPr>
          <w:t>Τροποποίηση 4646/2019, Άρθρο 7</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 w:history="1">
        <w:r>
          <w:rPr>
            <w:rStyle w:val="Hyperlink"/>
            <w:b/>
            <w:bCs/>
            <w:color w:val="0000EE"/>
            <w:u w:color="0000EE"/>
            <w:lang w:val="el" w:eastAsia="el"/>
          </w:rPr>
          <w:t>Τροποποίηση 4254/2014,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22" w:history="1">
        <w:r>
          <w:rPr>
            <w:rStyle w:val="Hyperlink"/>
            <w:b/>
            <w:bCs/>
            <w:color w:val="0000EE"/>
            <w:u w:color="0000EE"/>
            <w:lang w:val="el" w:eastAsia="el"/>
          </w:rPr>
          <w:t>Τροποποίηση 4223/2013, Άρθρο 22</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22" w:history="1">
        <w:r>
          <w:rPr>
            <w:rStyle w:val="Hyperlink"/>
            <w:b/>
            <w:bCs/>
            <w:color w:val="0000EE"/>
            <w:u w:color="0000EE"/>
            <w:lang w:val="el" w:eastAsia="el"/>
          </w:rPr>
          <w:t>Τροποποίηση 4223/2013, Άρθρο 22</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Τροποποίηση 4254/2014,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 w:history="1">
        <w:r>
          <w:rPr>
            <w:rStyle w:val="Hyperlink"/>
            <w:b/>
            <w:bCs/>
            <w:color w:val="0000EE"/>
            <w:u w:color="0000EE"/>
            <w:lang w:val="el" w:eastAsia="el"/>
          </w:rPr>
          <w:t>Τροποποίηση 4254/2014,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Τροποποίηση 4254/2014,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Τροποποίηση 4254/2014,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Τροποποίηση 4254/2014,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Τροποποίηση 4254/2014,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4254/2014,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4254/2014,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22" w:history="1">
        <w:r>
          <w:rPr>
            <w:rStyle w:val="Hyperlink"/>
            <w:b/>
            <w:bCs/>
            <w:color w:val="0000EE"/>
            <w:u w:color="0000EE"/>
            <w:lang w:val="el" w:eastAsia="el"/>
          </w:rPr>
          <w:t>Προσθήκη 4223/2013, Άρθρο 22</w:t>
        </w:r>
      </w:hyperlink>
      <w:r>
        <w:rPr>
          <w:b/>
          <w:bCs/>
          <w:lang w:val="el" w:eastAsia="el"/>
        </w:rPr>
        <w:t xml:space="preserve">; </w:t>
      </w:r>
      <w:hyperlink r:id="rId20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7" w:anchor="art_22" w:history="1">
        <w:r>
          <w:rPr>
            <w:rStyle w:val="Hyperlink"/>
            <w:b/>
            <w:bCs/>
            <w:color w:val="0000EE"/>
            <w:u w:color="0000EE"/>
            <w:lang w:val="el" w:eastAsia="el"/>
          </w:rPr>
          <w:t>Προσθήκη 4223/2013, Άρθρο 22</w:t>
        </w:r>
      </w:hyperlink>
      <w:r>
        <w:rPr>
          <w:b/>
          <w:bCs/>
          <w:lang w:val="el" w:eastAsia="el"/>
        </w:rPr>
        <w:t xml:space="preserve">; </w:t>
      </w:r>
      <w:hyperlink r:id="rId20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0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0"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1" w:anchor="art_22" w:history="1">
        <w:r>
          <w:rPr>
            <w:rStyle w:val="Hyperlink"/>
            <w:b/>
            <w:bCs/>
            <w:color w:val="0000EE"/>
            <w:u w:color="0000EE"/>
            <w:lang w:val="el" w:eastAsia="el"/>
          </w:rPr>
          <w:t>Προσθήκη 4223/2013, Άρθρο 22</w:t>
        </w:r>
      </w:hyperlink>
      <w:r>
        <w:rPr>
          <w:b/>
          <w:bCs/>
          <w:lang w:val="el" w:eastAsia="el"/>
        </w:rPr>
        <w:t xml:space="preserve">; </w:t>
      </w:r>
      <w:hyperlink r:id="rId21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9" w:anchor="art_88" w:history="1">
        <w:r>
          <w:rPr>
            <w:rStyle w:val="Hyperlink"/>
            <w:b/>
            <w:bCs/>
            <w:color w:val="0000EE"/>
            <w:u w:color="0000EE"/>
            <w:lang w:val="el" w:eastAsia="el"/>
          </w:rPr>
          <w:t>Τροποποίηση 4316/2014, Άρθρο 88</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15" w:history="1">
        <w:r>
          <w:rPr>
            <w:rStyle w:val="Hyperlink"/>
            <w:b/>
            <w:bCs/>
            <w:color w:val="0000EE"/>
            <w:u w:color="0000EE"/>
            <w:lang w:val="el" w:eastAsia="el"/>
          </w:rPr>
          <w:t>Τροποποίηση 4549/2018, Άρθρο 115</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7" w:history="1">
        <w:r>
          <w:rPr>
            <w:rStyle w:val="Hyperlink"/>
            <w:b/>
            <w:bCs/>
            <w:color w:val="0000EE"/>
            <w:u w:color="0000EE"/>
            <w:lang w:val="el" w:eastAsia="el"/>
          </w:rPr>
          <w:t>Προσθήκη 4646/2019, Άρθρο 17</w:t>
        </w:r>
      </w:hyperlink>
      <w:r>
        <w:rPr>
          <w:b/>
          <w:bCs/>
          <w:lang w:val="el" w:eastAsia="el"/>
        </w:rPr>
        <w:t xml:space="preserve">; </w:t>
      </w:r>
      <w:hyperlink r:id="rId222" w:anchor="art_3" w:history="1">
        <w:r>
          <w:rPr>
            <w:rStyle w:val="Hyperlink"/>
            <w:b/>
            <w:bCs/>
            <w:color w:val="0000EE"/>
            <w:u w:color="0000EE"/>
            <w:lang w:val="el" w:eastAsia="el"/>
          </w:rPr>
          <w:t>Τροποποίηση 4714/2020, Άρθρο 3</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12" w:history="1">
        <w:r>
          <w:rPr>
            <w:rStyle w:val="Hyperlink"/>
            <w:b/>
            <w:bCs/>
            <w:color w:val="0000EE"/>
            <w:u w:color="0000EE"/>
            <w:lang w:val="el" w:eastAsia="el"/>
          </w:rPr>
          <w:t>Προσθήκη 4387/2016, Άρθρο 112</w:t>
        </w:r>
      </w:hyperlink>
      <w:r>
        <w:rPr>
          <w:b/>
          <w:bCs/>
          <w:lang w:val="el" w:eastAsia="el"/>
        </w:rPr>
        <w:t xml:space="preserve">; </w:t>
      </w:r>
      <w:hyperlink r:id="rId224" w:anchor="art_1" w:history="1">
        <w:r>
          <w:rPr>
            <w:rStyle w:val="Hyperlink"/>
            <w:b/>
            <w:bCs/>
            <w:color w:val="0000EE"/>
            <w:u w:color="0000EE"/>
            <w:lang w:val="el" w:eastAsia="el"/>
          </w:rPr>
          <w:t>Τροποποίηση 4646/2019,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26"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27"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28"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29" w:anchor="art_57" w:history="1">
        <w:r>
          <w:rPr>
            <w:rStyle w:val="Hyperlink"/>
            <w:b/>
            <w:bCs/>
            <w:color w:val="0000EE"/>
            <w:u w:color="0000EE"/>
            <w:lang w:val="el" w:eastAsia="el"/>
          </w:rPr>
          <w:t>Τροποποίηση 4758/2020, Άρθρο 57</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1" w:anchor="art_57" w:history="1">
        <w:r>
          <w:rPr>
            <w:rStyle w:val="Hyperlink"/>
            <w:b/>
            <w:bCs/>
            <w:color w:val="0000EE"/>
            <w:u w:color="0000EE"/>
            <w:lang w:val="el" w:eastAsia="el"/>
          </w:rPr>
          <w:t>Τροποποίηση 4758/2020, Άρθρο 57</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23" w:history="1">
        <w:r>
          <w:rPr>
            <w:rStyle w:val="Hyperlink"/>
            <w:b/>
            <w:bCs/>
            <w:color w:val="0000EE"/>
            <w:u w:color="0000EE"/>
            <w:lang w:val="el" w:eastAsia="el"/>
          </w:rPr>
          <w:t>Προσθήκη 4223/2013, Άρθρο 23</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 w:history="1">
        <w:r>
          <w:rPr>
            <w:rStyle w:val="Hyperlink"/>
            <w:b/>
            <w:bCs/>
            <w:color w:val="0000EE"/>
            <w:u w:color="0000EE"/>
            <w:lang w:val="el" w:eastAsia="el"/>
          </w:rPr>
          <w:t>Τροποποίηση 4254/2014, Άρθρο 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35" w:anchor="art_99" w:history="1">
        <w:r>
          <w:rPr>
            <w:rStyle w:val="Hyperlink"/>
            <w:b/>
            <w:bCs/>
            <w:color w:val="0000EE"/>
            <w:u w:color="0000EE"/>
            <w:lang w:val="el" w:eastAsia="el"/>
          </w:rPr>
          <w:t>Τροποποίηση 4446/2016, Άρθρο 99</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3" w:history="1">
        <w:r>
          <w:rPr>
            <w:rStyle w:val="Hyperlink"/>
            <w:b/>
            <w:bCs/>
            <w:color w:val="0000EE"/>
            <w:u w:color="0000EE"/>
            <w:lang w:val="el" w:eastAsia="el"/>
          </w:rPr>
          <w:t>Προσθήκη 4223/2013, Άρθρο 23</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23" w:history="1">
        <w:r>
          <w:rPr>
            <w:rStyle w:val="Hyperlink"/>
            <w:b/>
            <w:bCs/>
            <w:color w:val="0000EE"/>
            <w:u w:color="0000EE"/>
            <w:lang w:val="el" w:eastAsia="el"/>
          </w:rPr>
          <w:t>Προσθήκη 4223/2013, Άρθρο 23</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1" w:history="1">
        <w:r>
          <w:rPr>
            <w:rStyle w:val="Hyperlink"/>
            <w:b/>
            <w:bCs/>
            <w:color w:val="0000EE"/>
            <w:u w:color="0000EE"/>
            <w:lang w:val="el" w:eastAsia="el"/>
          </w:rPr>
          <w:t>Προσθήκη 4254/2014, Άρθρο 1</w:t>
        </w:r>
      </w:hyperlink>
      <w:r>
        <w:rPr>
          <w:b/>
          <w:bCs/>
          <w:lang w:val="el" w:eastAsia="el"/>
        </w:rPr>
        <w:t xml:space="preserve">; </w:t>
      </w:r>
      <w:hyperlink r:id="rId239" w:anchor="art_21" w:history="1">
        <w:r>
          <w:rPr>
            <w:rStyle w:val="Hyperlink"/>
            <w:b/>
            <w:bCs/>
            <w:color w:val="0000EE"/>
            <w:u w:color="0000EE"/>
            <w:lang w:val="el" w:eastAsia="el"/>
          </w:rPr>
          <w:t>Τροποποίηση 4646/2019, Άρθρο 21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 w:history="1">
        <w:r>
          <w:rPr>
            <w:rStyle w:val="Hyperlink"/>
            <w:b/>
            <w:bCs/>
            <w:color w:val="0000EE"/>
            <w:u w:color="0000EE"/>
            <w:lang w:val="el" w:eastAsia="el"/>
          </w:rPr>
          <w:t>Προσθήκη 4254/2014,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64" w:history="1">
        <w:r>
          <w:rPr>
            <w:rStyle w:val="Hyperlink"/>
            <w:b/>
            <w:bCs/>
            <w:color w:val="0000EE"/>
            <w:u w:color="0000EE"/>
            <w:lang w:val="el" w:eastAsia="el"/>
          </w:rPr>
          <w:t>Προσθήκη 4483/2017, Άρθρο 64</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9" w:history="1">
        <w:r>
          <w:rPr>
            <w:rStyle w:val="Hyperlink"/>
            <w:b/>
            <w:bCs/>
            <w:color w:val="0000EE"/>
            <w:u w:color="0000EE"/>
            <w:lang w:val="el" w:eastAsia="el"/>
          </w:rPr>
          <w:t>Προσθήκη 4646/2019, Άρθρο 19</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4" w:anchor="art_8" w:history="1">
        <w:r>
          <w:rPr>
            <w:rStyle w:val="Hyperlink"/>
            <w:b/>
            <w:bCs/>
            <w:color w:val="0000EE"/>
            <w:u w:color="0000EE"/>
            <w:lang w:val="el" w:eastAsia="el"/>
          </w:rPr>
          <w:t>Προσθήκη 4378/2016, Άρθρο 8</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23" w:history="1">
        <w:r>
          <w:rPr>
            <w:rStyle w:val="Hyperlink"/>
            <w:b/>
            <w:bCs/>
            <w:color w:val="0000EE"/>
            <w:u w:color="0000EE"/>
            <w:lang w:val="el" w:eastAsia="el"/>
          </w:rPr>
          <w:t>Τροποποίηση 4223/2013, Άρθρο 23</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23" w:history="1">
        <w:r>
          <w:rPr>
            <w:rStyle w:val="Hyperlink"/>
            <w:b/>
            <w:bCs/>
            <w:color w:val="0000EE"/>
            <w:u w:color="0000EE"/>
            <w:lang w:val="el" w:eastAsia="el"/>
          </w:rPr>
          <w:t>Τροποποίηση 4223/2013, Άρθρο 23</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20" w:history="1">
        <w:r>
          <w:rPr>
            <w:rStyle w:val="Hyperlink"/>
            <w:b/>
            <w:bCs/>
            <w:color w:val="0000EE"/>
            <w:u w:color="0000EE"/>
            <w:lang w:val="el" w:eastAsia="el"/>
          </w:rPr>
          <w:t>Προσθήκη 4646/2019, Άρθρο 20</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4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0"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1" w:anchor="art_11" w:history="1">
        <w:r>
          <w:rPr>
            <w:rStyle w:val="Hyperlink"/>
            <w:b/>
            <w:bCs/>
            <w:color w:val="0000EE"/>
            <w:u w:color="0000EE"/>
            <w:lang w:val="el" w:eastAsia="el"/>
          </w:rPr>
          <w:t>Τροποποίηση 4607/2019, Άρθρο 11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3" w:history="1">
        <w:r>
          <w:rPr>
            <w:rStyle w:val="Hyperlink"/>
            <w:b/>
            <w:bCs/>
            <w:color w:val="0000EE"/>
            <w:u w:color="0000EE"/>
            <w:lang w:val="el" w:eastAsia="el"/>
          </w:rPr>
          <w:t>Τροποποίηση 4223/2013, Άρθρο 23</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23" w:history="1">
        <w:r>
          <w:rPr>
            <w:rStyle w:val="Hyperlink"/>
            <w:b/>
            <w:bCs/>
            <w:color w:val="0000EE"/>
            <w:u w:color="0000EE"/>
            <w:lang w:val="el" w:eastAsia="el"/>
          </w:rPr>
          <w:t>Τροποποίηση 4223/2013, Άρθρο 23</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23" w:history="1">
        <w:r>
          <w:rPr>
            <w:rStyle w:val="Hyperlink"/>
            <w:b/>
            <w:bCs/>
            <w:color w:val="0000EE"/>
            <w:u w:color="0000EE"/>
            <w:lang w:val="el" w:eastAsia="el"/>
          </w:rPr>
          <w:t>Τροποποίηση 4223/2013, Άρθρο 23</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3" w:history="1">
        <w:r>
          <w:rPr>
            <w:rStyle w:val="Hyperlink"/>
            <w:b/>
            <w:bCs/>
            <w:color w:val="0000EE"/>
            <w:u w:color="0000EE"/>
            <w:lang w:val="el" w:eastAsia="el"/>
          </w:rPr>
          <w:t>Τροποποίηση 4223/2013, Άρθρο 23</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7"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58" w:anchor="art_32" w:history="1">
        <w:r>
          <w:rPr>
            <w:rStyle w:val="Hyperlink"/>
            <w:b/>
            <w:bCs/>
            <w:color w:val="0000EE"/>
            <w:u w:color="0000EE"/>
            <w:lang w:val="el" w:eastAsia="el"/>
          </w:rPr>
          <w:t>Τροποποίηση 4465/2017, Άρθρο 32</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32" w:history="1">
        <w:r>
          <w:rPr>
            <w:rStyle w:val="Hyperlink"/>
            <w:b/>
            <w:bCs/>
            <w:color w:val="0000EE"/>
            <w:u w:color="0000EE"/>
            <w:lang w:val="el" w:eastAsia="el"/>
          </w:rPr>
          <w:t>Τροποποίηση 4465/2017, Άρθρο 32</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3" w:history="1">
        <w:r>
          <w:rPr>
            <w:rStyle w:val="Hyperlink"/>
            <w:b/>
            <w:bCs/>
            <w:color w:val="0000EE"/>
            <w:u w:color="0000EE"/>
            <w:lang w:val="el" w:eastAsia="el"/>
          </w:rPr>
          <w:t>Τροποποίηση 4223/2013, Άρθρο 23</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2" w:anchor="art_32" w:history="1">
        <w:r>
          <w:rPr>
            <w:rStyle w:val="Hyperlink"/>
            <w:b/>
            <w:bCs/>
            <w:color w:val="0000EE"/>
            <w:u w:color="0000EE"/>
            <w:lang w:val="el" w:eastAsia="el"/>
          </w:rPr>
          <w:t>Αφαίρεση 4465/2017, Άρθρο 32</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3" w:history="1">
        <w:r>
          <w:rPr>
            <w:rStyle w:val="Hyperlink"/>
            <w:b/>
            <w:bCs/>
            <w:color w:val="0000EE"/>
            <w:u w:color="0000EE"/>
            <w:lang w:val="el" w:eastAsia="el"/>
          </w:rPr>
          <w:t>Τροποποίηση 4223/2013, Άρθρο 23</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3" w:history="1">
        <w:r>
          <w:rPr>
            <w:rStyle w:val="Hyperlink"/>
            <w:b/>
            <w:bCs/>
            <w:color w:val="0000EE"/>
            <w:u w:color="0000EE"/>
            <w:lang w:val="el" w:eastAsia="el"/>
          </w:rPr>
          <w:t>Τροποποίηση 4223/2013, Άρθρο 23</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23" w:history="1">
        <w:r>
          <w:rPr>
            <w:rStyle w:val="Hyperlink"/>
            <w:b/>
            <w:bCs/>
            <w:color w:val="0000EE"/>
            <w:u w:color="0000EE"/>
            <w:lang w:val="el" w:eastAsia="el"/>
          </w:rPr>
          <w:t>Τροποποίηση 4223/2013, Άρθρο 23</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60" w:history="1">
        <w:r>
          <w:rPr>
            <w:rStyle w:val="Hyperlink"/>
            <w:b/>
            <w:bCs/>
            <w:color w:val="0000EE"/>
            <w:u w:color="0000EE"/>
            <w:lang w:val="el" w:eastAsia="el"/>
          </w:rPr>
          <w:t>Προσθήκη 4438/2016, Άρθρο 60</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3" w:history="1">
        <w:r>
          <w:rPr>
            <w:rStyle w:val="Hyperlink"/>
            <w:b/>
            <w:bCs/>
            <w:color w:val="0000EE"/>
            <w:u w:color="0000EE"/>
            <w:lang w:val="el" w:eastAsia="el"/>
          </w:rPr>
          <w:t>Τροποποίηση 4223/2013, Άρθρο 23</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3" w:history="1">
        <w:r>
          <w:rPr>
            <w:rStyle w:val="Hyperlink"/>
            <w:b/>
            <w:bCs/>
            <w:color w:val="0000EE"/>
            <w:u w:color="0000EE"/>
            <w:lang w:val="el" w:eastAsia="el"/>
          </w:rPr>
          <w:t>Τροποποίηση 4223/2013, Άρθρο 23</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3" w:history="1">
        <w:r>
          <w:rPr>
            <w:rStyle w:val="Hyperlink"/>
            <w:b/>
            <w:bCs/>
            <w:color w:val="0000EE"/>
            <w:u w:color="0000EE"/>
            <w:lang w:val="el" w:eastAsia="el"/>
          </w:rPr>
          <w:t>Τροποποίηση 4223/2013, Άρθρο 23</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60" w:history="1">
        <w:r>
          <w:rPr>
            <w:rStyle w:val="Hyperlink"/>
            <w:b/>
            <w:bCs/>
            <w:color w:val="0000EE"/>
            <w:u w:color="0000EE"/>
            <w:lang w:val="el" w:eastAsia="el"/>
          </w:rPr>
          <w:t>Τροποποίηση 4438/2016, Άρθρο 60</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3" w:history="1">
        <w:r>
          <w:rPr>
            <w:rStyle w:val="Hyperlink"/>
            <w:b/>
            <w:bCs/>
            <w:color w:val="0000EE"/>
            <w:u w:color="0000EE"/>
            <w:lang w:val="el" w:eastAsia="el"/>
          </w:rPr>
          <w:t>Τροποποίηση 4223/2013, Άρθρο 23</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3" w:history="1">
        <w:r>
          <w:rPr>
            <w:rStyle w:val="Hyperlink"/>
            <w:b/>
            <w:bCs/>
            <w:color w:val="0000EE"/>
            <w:u w:color="0000EE"/>
            <w:lang w:val="el" w:eastAsia="el"/>
          </w:rPr>
          <w:t>Τροποποίηση 4223/2013, Άρθρο 23</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23" w:history="1">
        <w:r>
          <w:rPr>
            <w:rStyle w:val="Hyperlink"/>
            <w:b/>
            <w:bCs/>
            <w:color w:val="0000EE"/>
            <w:u w:color="0000EE"/>
            <w:lang w:val="el" w:eastAsia="el"/>
          </w:rPr>
          <w:t>Τροποποίηση 4223/2013, Άρθρο 23</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3" w:history="1">
        <w:r>
          <w:rPr>
            <w:rStyle w:val="Hyperlink"/>
            <w:b/>
            <w:bCs/>
            <w:color w:val="0000EE"/>
            <w:u w:color="0000EE"/>
            <w:lang w:val="el" w:eastAsia="el"/>
          </w:rPr>
          <w:t>Τροποποίηση 4223/2013, Άρθρο 23</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60" w:history="1">
        <w:r>
          <w:rPr>
            <w:rStyle w:val="Hyperlink"/>
            <w:b/>
            <w:bCs/>
            <w:color w:val="0000EE"/>
            <w:u w:color="0000EE"/>
            <w:lang w:val="el" w:eastAsia="el"/>
          </w:rPr>
          <w:t>Προσθήκη 4438/2016, Άρθρο 60</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76"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77" w:anchor="art_22" w:history="1">
        <w:r>
          <w:rPr>
            <w:rStyle w:val="Hyperlink"/>
            <w:b/>
            <w:bCs/>
            <w:color w:val="0000EE"/>
            <w:u w:color="0000EE"/>
            <w:lang w:val="el" w:eastAsia="el"/>
          </w:rPr>
          <w:t>Τροποποίηση 4646/2019, Άρθρο 22</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22" w:history="1">
        <w:r>
          <w:rPr>
            <w:rStyle w:val="Hyperlink"/>
            <w:b/>
            <w:bCs/>
            <w:color w:val="0000EE"/>
            <w:u w:color="0000EE"/>
            <w:lang w:val="el" w:eastAsia="el"/>
          </w:rPr>
          <w:t>Τροποποίηση 4646/2019, Άρθρο 22</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23" w:history="1">
        <w:r>
          <w:rPr>
            <w:rStyle w:val="Hyperlink"/>
            <w:b/>
            <w:bCs/>
            <w:color w:val="0000EE"/>
            <w:u w:color="0000EE"/>
            <w:lang w:val="el" w:eastAsia="el"/>
          </w:rPr>
          <w:t>Προσθήκη 4223/2013, Άρθρο 23</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23" w:history="1">
        <w:r>
          <w:rPr>
            <w:rStyle w:val="Hyperlink"/>
            <w:b/>
            <w:bCs/>
            <w:color w:val="0000EE"/>
            <w:u w:color="0000EE"/>
            <w:lang w:val="el" w:eastAsia="el"/>
          </w:rPr>
          <w:t>Προσθήκη 4223/2013, Άρθρο 23</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24" w:history="1">
        <w:r>
          <w:rPr>
            <w:rStyle w:val="Hyperlink"/>
            <w:b/>
            <w:bCs/>
            <w:color w:val="0000EE"/>
            <w:u w:color="0000EE"/>
            <w:lang w:val="el" w:eastAsia="el"/>
          </w:rPr>
          <w:t>Τροποποίηση 4223/2013, Άρθρο 24</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82" w:anchor="art_99" w:history="1">
        <w:r>
          <w:rPr>
            <w:rStyle w:val="Hyperlink"/>
            <w:b/>
            <w:bCs/>
            <w:color w:val="0000EE"/>
            <w:u w:color="0000EE"/>
            <w:lang w:val="el" w:eastAsia="el"/>
          </w:rPr>
          <w:t>Αφαίρεση 4446/2016, Άρθρο 99</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1" w:history="1">
        <w:r>
          <w:rPr>
            <w:rStyle w:val="Hyperlink"/>
            <w:b/>
            <w:bCs/>
            <w:color w:val="0000EE"/>
            <w:u w:color="0000EE"/>
            <w:lang w:val="el" w:eastAsia="el"/>
          </w:rPr>
          <w:t>Τροποποίηση 4254/2014, Άρθρο 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16" w:history="1">
        <w:r>
          <w:rPr>
            <w:rStyle w:val="Hyperlink"/>
            <w:b/>
            <w:bCs/>
            <w:color w:val="0000EE"/>
            <w:u w:color="0000EE"/>
            <w:lang w:val="el" w:eastAsia="el"/>
          </w:rPr>
          <w:t>Τροποποίηση 4690/2020, Άρθρο 16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69" w:history="1">
        <w:r>
          <w:rPr>
            <w:rStyle w:val="Hyperlink"/>
            <w:b/>
            <w:bCs/>
            <w:color w:val="0000EE"/>
            <w:u w:color="0000EE"/>
            <w:lang w:val="el" w:eastAsia="el"/>
          </w:rPr>
          <w:t>Αφαίρεση 4472/2017, Άρθρο 69</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87"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288" w:anchor="art_52" w:history="1">
        <w:r>
          <w:rPr>
            <w:rStyle w:val="Hyperlink"/>
            <w:b/>
            <w:bCs/>
            <w:color w:val="0000EE"/>
            <w:u w:color="0000EE"/>
            <w:lang w:val="el" w:eastAsia="el"/>
          </w:rPr>
          <w:t>Τροποποίηση 4607/2019, Άρθρο 52</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76" w:history="1">
        <w:r>
          <w:rPr>
            <w:rStyle w:val="Hyperlink"/>
            <w:b/>
            <w:bCs/>
            <w:color w:val="0000EE"/>
            <w:u w:color="0000EE"/>
            <w:lang w:val="el" w:eastAsia="el"/>
          </w:rPr>
          <w:t>Προσθήκη 4646/2019, Άρθρο 76</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24" w:history="1">
        <w:r>
          <w:rPr>
            <w:rStyle w:val="Hyperlink"/>
            <w:b/>
            <w:bCs/>
            <w:color w:val="0000EE"/>
            <w:u w:color="0000EE"/>
            <w:lang w:val="el" w:eastAsia="el"/>
          </w:rPr>
          <w:t>Προσθήκη 4223/2013, Άρθρο 24</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99" w:history="1">
        <w:r>
          <w:rPr>
            <w:rStyle w:val="Hyperlink"/>
            <w:b/>
            <w:bCs/>
            <w:color w:val="0000EE"/>
            <w:u w:color="0000EE"/>
            <w:lang w:val="el" w:eastAsia="el"/>
          </w:rPr>
          <w:t>Προσθήκη 4446/2016, Άρθρο 99</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22" w:history="1">
        <w:r>
          <w:rPr>
            <w:rStyle w:val="Hyperlink"/>
            <w:b/>
            <w:bCs/>
            <w:color w:val="0000EE"/>
            <w:u w:color="0000EE"/>
            <w:lang w:val="el" w:eastAsia="el"/>
          </w:rPr>
          <w:t>Τροποποίηση 4283/2014, Άρθρο 22</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99" w:history="1">
        <w:r>
          <w:rPr>
            <w:rStyle w:val="Hyperlink"/>
            <w:b/>
            <w:bCs/>
            <w:color w:val="0000EE"/>
            <w:u w:color="0000EE"/>
            <w:lang w:val="el" w:eastAsia="el"/>
          </w:rPr>
          <w:t>Αφαίρεση 4446/2016, Άρθρο 99</w:t>
        </w:r>
      </w:hyperlink>
      <w:r>
        <w:rPr>
          <w:b/>
          <w:bCs/>
          <w:lang w:val="el" w:eastAsia="el"/>
        </w:rPr>
        <w:t xml:space="preserve">; </w:t>
      </w:r>
      <w:hyperlink r:id="rId294" w:anchor="art_21" w:history="1">
        <w:r>
          <w:rPr>
            <w:rStyle w:val="Hyperlink"/>
            <w:b/>
            <w:bCs/>
            <w:color w:val="0000EE"/>
            <w:u w:color="0000EE"/>
            <w:lang w:val="el" w:eastAsia="el"/>
          </w:rPr>
          <w:t>Τροποποίηση 4646/2019, Άρθρο 21</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21" w:history="1">
        <w:r>
          <w:rPr>
            <w:rStyle w:val="Hyperlink"/>
            <w:b/>
            <w:bCs/>
            <w:color w:val="0000EE"/>
            <w:u w:color="0000EE"/>
            <w:lang w:val="el" w:eastAsia="el"/>
          </w:rPr>
          <w:t>Τροποποίηση 4646/2019, Άρθρο 21</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1" w:history="1">
        <w:r>
          <w:rPr>
            <w:rStyle w:val="Hyperlink"/>
            <w:b/>
            <w:bCs/>
            <w:color w:val="0000EE"/>
            <w:u w:color="0000EE"/>
            <w:lang w:val="el" w:eastAsia="el"/>
          </w:rPr>
          <w:t>Τροποποίηση 4254/2014, Άρθρο 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29" w:history="1">
        <w:r>
          <w:rPr>
            <w:rStyle w:val="Hyperlink"/>
            <w:b/>
            <w:bCs/>
            <w:color w:val="0000EE"/>
            <w:u w:color="0000EE"/>
            <w:lang w:val="el" w:eastAsia="el"/>
          </w:rPr>
          <w:t>Τροποποίηση 4474/2017, Άρθρο 29</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299" w:anchor="art_29" w:history="1">
        <w:r>
          <w:rPr>
            <w:rStyle w:val="Hyperlink"/>
            <w:b/>
            <w:bCs/>
            <w:color w:val="0000EE"/>
            <w:u w:color="0000EE"/>
            <w:lang w:val="el" w:eastAsia="el"/>
          </w:rPr>
          <w:t>Τροποποίηση 4474/2017, Άρθρο 29</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24" w:history="1">
        <w:r>
          <w:rPr>
            <w:rStyle w:val="Hyperlink"/>
            <w:b/>
            <w:bCs/>
            <w:color w:val="0000EE"/>
            <w:u w:color="0000EE"/>
            <w:lang w:val="el" w:eastAsia="el"/>
          </w:rPr>
          <w:t>Προσθήκη 4223/2013, Άρθρο 24</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1" w:history="1">
        <w:r>
          <w:rPr>
            <w:rStyle w:val="Hyperlink"/>
            <w:b/>
            <w:bCs/>
            <w:color w:val="0000EE"/>
            <w:u w:color="0000EE"/>
            <w:lang w:val="el" w:eastAsia="el"/>
          </w:rPr>
          <w:t>Προσθήκη 4254/2014, Άρθρο 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115" w:history="1">
        <w:r>
          <w:rPr>
            <w:rStyle w:val="Hyperlink"/>
            <w:b/>
            <w:bCs/>
            <w:color w:val="0000EE"/>
            <w:u w:color="0000EE"/>
            <w:lang w:val="el" w:eastAsia="el"/>
          </w:rPr>
          <w:t>Τροποποίηση 4549/2018, Άρθρο 115</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24" w:history="1">
        <w:r>
          <w:rPr>
            <w:rStyle w:val="Hyperlink"/>
            <w:b/>
            <w:bCs/>
            <w:color w:val="0000EE"/>
            <w:u w:color="0000EE"/>
            <w:lang w:val="el" w:eastAsia="el"/>
          </w:rPr>
          <w:t>Τροποποίηση 4223/2013, Άρθρο 24</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05"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06" w:anchor="art_23" w:history="1">
        <w:r>
          <w:rPr>
            <w:rStyle w:val="Hyperlink"/>
            <w:b/>
            <w:bCs/>
            <w:color w:val="0000EE"/>
            <w:u w:color="0000EE"/>
            <w:lang w:val="el" w:eastAsia="el"/>
          </w:rPr>
          <w:t>Τροποποίηση 4646/2019, Άρθρο 23</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1" w:history="1">
        <w:r>
          <w:rPr>
            <w:rStyle w:val="Hyperlink"/>
            <w:b/>
            <w:bCs/>
            <w:color w:val="0000EE"/>
            <w:u w:color="0000EE"/>
            <w:lang w:val="el" w:eastAsia="el"/>
          </w:rPr>
          <w:t>Τροποποίηση 4254/2014, Άρθρο 1</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1" w:history="1">
        <w:r>
          <w:rPr>
            <w:rStyle w:val="Hyperlink"/>
            <w:b/>
            <w:bCs/>
            <w:color w:val="0000EE"/>
            <w:u w:color="0000EE"/>
            <w:lang w:val="el" w:eastAsia="el"/>
          </w:rPr>
          <w:t>Τροποποίηση 4254/2014, Άρθρο 1</w:t>
        </w:r>
      </w:hyperlink>
      <w:r>
        <w:rPr>
          <w:b/>
          <w:bCs/>
          <w:lang w:val="el" w:eastAsia="el"/>
        </w:rPr>
        <w:t xml:space="preserve">; </w:t>
      </w:r>
      <w:hyperlink r:id="rId309"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10" w:anchor="art_54" w:history="1">
        <w:r>
          <w:rPr>
            <w:rStyle w:val="Hyperlink"/>
            <w:b/>
            <w:bCs/>
            <w:color w:val="0000EE"/>
            <w:u w:color="0000EE"/>
            <w:lang w:val="el" w:eastAsia="el"/>
          </w:rPr>
          <w:t>Τροποποίηση 4410/2016, Άρθρο 54</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12" w:anchor="art_8" w:history="1">
        <w:r>
          <w:rPr>
            <w:rStyle w:val="Hyperlink"/>
            <w:b/>
            <w:bCs/>
            <w:color w:val="0000EE"/>
            <w:u w:color="0000EE"/>
            <w:lang w:val="el" w:eastAsia="el"/>
          </w:rPr>
          <w:t>Τροποποίηση 4646/2019, Άρθρο 8</w:t>
        </w:r>
      </w:hyperlink>
      <w:r>
        <w:rPr>
          <w:b/>
          <w:bCs/>
          <w:lang w:val="el" w:eastAsia="el"/>
        </w:rPr>
        <w:t xml:space="preserve">; </w:t>
      </w:r>
      <w:hyperlink r:id="rId313" w:anchor="art_24" w:history="1">
        <w:r>
          <w:rPr>
            <w:rStyle w:val="Hyperlink"/>
            <w:b/>
            <w:bCs/>
            <w:color w:val="0000EE"/>
            <w:u w:color="0000EE"/>
            <w:lang w:val="el" w:eastAsia="el"/>
          </w:rPr>
          <w:t>Τροποποίηση 4646/2019, Άρθρο 24</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24" w:history="1">
        <w:r>
          <w:rPr>
            <w:rStyle w:val="Hyperlink"/>
            <w:b/>
            <w:bCs/>
            <w:color w:val="0000EE"/>
            <w:u w:color="0000EE"/>
            <w:lang w:val="el" w:eastAsia="el"/>
          </w:rPr>
          <w:t>Τροποποίηση 4223/2013, Άρθρο 24</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24" w:history="1">
        <w:r>
          <w:rPr>
            <w:rStyle w:val="Hyperlink"/>
            <w:b/>
            <w:bCs/>
            <w:color w:val="0000EE"/>
            <w:u w:color="0000EE"/>
            <w:lang w:val="el" w:eastAsia="el"/>
          </w:rPr>
          <w:t>Προσθήκη 4223/2013, Άρθρο 24</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24" w:history="1">
        <w:r>
          <w:rPr>
            <w:rStyle w:val="Hyperlink"/>
            <w:b/>
            <w:bCs/>
            <w:color w:val="0000EE"/>
            <w:u w:color="0000EE"/>
            <w:lang w:val="el" w:eastAsia="el"/>
          </w:rPr>
          <w:t>Προσθήκη 4223/2013, Άρθρο 24</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21" w:history="1">
        <w:r>
          <w:rPr>
            <w:rStyle w:val="Hyperlink"/>
            <w:b/>
            <w:bCs/>
            <w:color w:val="0000EE"/>
            <w:u w:color="0000EE"/>
            <w:lang w:val="el" w:eastAsia="el"/>
          </w:rPr>
          <w:t>Τροποποίηση 4646/2019, Άρθρο 21</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115" w:history="1">
        <w:r>
          <w:rPr>
            <w:rStyle w:val="Hyperlink"/>
            <w:b/>
            <w:bCs/>
            <w:color w:val="0000EE"/>
            <w:u w:color="0000EE"/>
            <w:lang w:val="el" w:eastAsia="el"/>
          </w:rPr>
          <w:t>Προσθήκη 4549/2018, Άρθρο 115</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1" w:history="1">
        <w:r>
          <w:rPr>
            <w:rStyle w:val="Hyperlink"/>
            <w:b/>
            <w:bCs/>
            <w:color w:val="0000EE"/>
            <w:u w:color="0000EE"/>
            <w:lang w:val="el" w:eastAsia="el"/>
          </w:rPr>
          <w:t>Τροποποίηση 4254/2014, Άρθρο 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115" w:history="1">
        <w:r>
          <w:rPr>
            <w:rStyle w:val="Hyperlink"/>
            <w:b/>
            <w:bCs/>
            <w:color w:val="0000EE"/>
            <w:u w:color="0000EE"/>
            <w:lang w:val="el" w:eastAsia="el"/>
          </w:rPr>
          <w:t>Τροποποίηση 4549/2018, Άρθρο 115</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2" w:anchor="art_12" w:history="1">
        <w:r>
          <w:rPr>
            <w:rStyle w:val="Hyperlink"/>
            <w:b/>
            <w:bCs/>
            <w:color w:val="0000EE"/>
            <w:u w:color="0000EE"/>
            <w:lang w:val="el" w:eastAsia="el"/>
          </w:rPr>
          <w:t>Τροποποίηση 4607/2019, Άρθρο 12</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58" w:history="1">
        <w:r>
          <w:rPr>
            <w:rStyle w:val="Hyperlink"/>
            <w:b/>
            <w:bCs/>
            <w:color w:val="0000EE"/>
            <w:u w:color="0000EE"/>
            <w:lang w:val="el" w:eastAsia="el"/>
          </w:rPr>
          <w:t>Προσθήκη 4714/2020, Άρθρο 58</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59" w:history="1">
        <w:r>
          <w:rPr>
            <w:rStyle w:val="Hyperlink"/>
            <w:b/>
            <w:bCs/>
            <w:color w:val="0000EE"/>
            <w:u w:color="0000EE"/>
            <w:lang w:val="el" w:eastAsia="el"/>
          </w:rPr>
          <w:t>Προσθήκη 4714/2020, Άρθρο 59</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26" w:anchor="art_2" w:history="1">
        <w:r>
          <w:rPr>
            <w:rStyle w:val="Hyperlink"/>
            <w:b/>
            <w:bCs/>
            <w:color w:val="0000EE"/>
            <w:u w:color="0000EE"/>
            <w:lang w:val="el" w:eastAsia="el"/>
          </w:rPr>
          <w:t>Τροποποίηση 4328/2015, Άρθρο 2</w:t>
        </w:r>
      </w:hyperlink>
      <w:r>
        <w:rPr>
          <w:b/>
          <w:bCs/>
          <w:lang w:val="el" w:eastAsia="el"/>
        </w:rPr>
        <w:t xml:space="preserve">; </w:t>
      </w:r>
      <w:hyperlink r:id="rId327"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28" w:anchor="art_2" w:history="1">
        <w:r>
          <w:rPr>
            <w:rStyle w:val="Hyperlink"/>
            <w:b/>
            <w:bCs/>
            <w:color w:val="0000EE"/>
            <w:u w:color="0000EE"/>
            <w:lang w:val="el" w:eastAsia="el"/>
          </w:rPr>
          <w:t>Τροποποίηση 4336/2015, Άρθρο 2</w:t>
        </w:r>
      </w:hyperlink>
      <w:r>
        <w:rPr>
          <w:b/>
          <w:bCs/>
          <w:lang w:val="el" w:eastAsia="el"/>
        </w:rPr>
        <w:t xml:space="preserve">; </w:t>
      </w:r>
      <w:hyperlink r:id="rId329" w:anchor="art_8" w:history="1">
        <w:r>
          <w:rPr>
            <w:rStyle w:val="Hyperlink"/>
            <w:b/>
            <w:bCs/>
            <w:color w:val="0000EE"/>
            <w:u w:color="0000EE"/>
            <w:lang w:val="el" w:eastAsia="el"/>
          </w:rPr>
          <w:t>Τροποποίηση 4374/2016, Άρθρο 8</w:t>
        </w:r>
      </w:hyperlink>
      <w:r>
        <w:rPr>
          <w:b/>
          <w:bCs/>
          <w:lang w:val="el" w:eastAsia="el"/>
        </w:rPr>
        <w:t xml:space="preserve">; </w:t>
      </w:r>
      <w:hyperlink r:id="rId330" w:anchor="art_8" w:history="1">
        <w:r>
          <w:rPr>
            <w:rStyle w:val="Hyperlink"/>
            <w:b/>
            <w:bCs/>
            <w:color w:val="0000EE"/>
            <w:u w:color="0000EE"/>
            <w:lang w:val="el" w:eastAsia="el"/>
          </w:rPr>
          <w:t>Τροποποίηση 4374/2016, Άρθρο 8</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31" w:anchor="art_2" w:history="1">
        <w:r>
          <w:rPr>
            <w:rStyle w:val="Hyperlink"/>
            <w:b/>
            <w:bCs/>
            <w:color w:val="0000EE"/>
            <w:u w:color="0000EE"/>
            <w:lang w:val="el" w:eastAsia="el"/>
          </w:rPr>
          <w:t>Τροποποίηση 4646/2019, Άρθρο 2</w:t>
        </w:r>
      </w:hyperlink>
      <w:r>
        <w:rPr>
          <w:b/>
          <w:bCs/>
          <w:lang w:val="el" w:eastAsia="el"/>
        </w:rPr>
        <w:t xml:space="preserve">; </w:t>
      </w:r>
      <w:hyperlink r:id="rId332" w:anchor="art_21" w:history="1">
        <w:r>
          <w:rPr>
            <w:rStyle w:val="Hyperlink"/>
            <w:b/>
            <w:bCs/>
            <w:color w:val="0000EE"/>
            <w:u w:color="0000EE"/>
            <w:lang w:val="el" w:eastAsia="el"/>
          </w:rPr>
          <w:t>Τροποποίηση 4646/2019, Άρθρο 21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25" w:history="1">
        <w:r>
          <w:rPr>
            <w:rStyle w:val="Hyperlink"/>
            <w:b/>
            <w:bCs/>
            <w:color w:val="0000EE"/>
            <w:u w:color="0000EE"/>
            <w:lang w:val="el" w:eastAsia="el"/>
          </w:rPr>
          <w:t>Τροποποίηση 4223/2013, Άρθρο 25</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35" w:anchor="art_16" w:history="1">
        <w:r>
          <w:rPr>
            <w:rStyle w:val="Hyperlink"/>
            <w:b/>
            <w:bCs/>
            <w:color w:val="0000EE"/>
            <w:u w:color="0000EE"/>
            <w:lang w:val="el" w:eastAsia="el"/>
          </w:rPr>
          <w:t>Τροποποίηση 4467/2017, Άρθρο 16</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59" w:history="1">
        <w:r>
          <w:rPr>
            <w:rStyle w:val="Hyperlink"/>
            <w:b/>
            <w:bCs/>
            <w:color w:val="0000EE"/>
            <w:u w:color="0000EE"/>
            <w:lang w:val="el" w:eastAsia="el"/>
          </w:rPr>
          <w:t>Τροποποίηση 4583/2018, Άρθρο 59</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25" w:history="1">
        <w:r>
          <w:rPr>
            <w:rStyle w:val="Hyperlink"/>
            <w:b/>
            <w:bCs/>
            <w:color w:val="0000EE"/>
            <w:u w:color="0000EE"/>
            <w:lang w:val="el" w:eastAsia="el"/>
          </w:rPr>
          <w:t>Προσθήκη 4223/2013, Άρθρο 25</w:t>
        </w:r>
      </w:hyperlink>
      <w:r>
        <w:rPr>
          <w:b/>
          <w:bCs/>
          <w:lang w:val="el" w:eastAsia="el"/>
        </w:rPr>
        <w:t xml:space="preserve">; </w:t>
      </w:r>
      <w:hyperlink r:id="rId338"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3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40" w:anchor="art_115" w:history="1">
        <w:r>
          <w:rPr>
            <w:rStyle w:val="Hyperlink"/>
            <w:b/>
            <w:bCs/>
            <w:color w:val="0000EE"/>
            <w:u w:color="0000EE"/>
            <w:lang w:val="el" w:eastAsia="el"/>
          </w:rPr>
          <w:t>Τροποποίηση 4549/2018, Άρθρο 115</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59" w:history="1">
        <w:r>
          <w:rPr>
            <w:rStyle w:val="Hyperlink"/>
            <w:b/>
            <w:bCs/>
            <w:color w:val="0000EE"/>
            <w:u w:color="0000EE"/>
            <w:lang w:val="el" w:eastAsia="el"/>
          </w:rPr>
          <w:t>Τροποποίηση 4583/2018, Άρθρο 59</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1" w:history="1">
        <w:r>
          <w:rPr>
            <w:rStyle w:val="Hyperlink"/>
            <w:b/>
            <w:bCs/>
            <w:color w:val="0000EE"/>
            <w:u w:color="0000EE"/>
            <w:lang w:val="el" w:eastAsia="el"/>
          </w:rPr>
          <w:t>Προσθήκη 4254/2014, Άρθρο 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44" w:anchor="art_2" w:history="1">
        <w:r>
          <w:rPr>
            <w:rStyle w:val="Hyperlink"/>
            <w:b/>
            <w:bCs/>
            <w:color w:val="0000EE"/>
            <w:u w:color="0000EE"/>
            <w:lang w:val="el" w:eastAsia="el"/>
          </w:rPr>
          <w:t>Τροποποίηση 4328/2015, Άρθρο 2</w:t>
        </w:r>
      </w:hyperlink>
      <w:r>
        <w:rPr>
          <w:b/>
          <w:bCs/>
          <w:lang w:val="el" w:eastAsia="el"/>
        </w:rPr>
        <w:t xml:space="preserve">; </w:t>
      </w:r>
      <w:hyperlink r:id="rId345" w:anchor="art_2" w:history="1">
        <w:r>
          <w:rPr>
            <w:rStyle w:val="Hyperlink"/>
            <w:b/>
            <w:bCs/>
            <w:color w:val="0000EE"/>
            <w:u w:color="0000EE"/>
            <w:lang w:val="el" w:eastAsia="el"/>
          </w:rPr>
          <w:t>Τροποποίηση 4328/2015, Άρθρο 2</w:t>
        </w:r>
      </w:hyperlink>
      <w:r>
        <w:rPr>
          <w:b/>
          <w:bCs/>
          <w:lang w:val="el" w:eastAsia="el"/>
        </w:rPr>
        <w:t xml:space="preserve">; </w:t>
      </w:r>
      <w:hyperlink r:id="rId346" w:anchor="art_2" w:history="1">
        <w:r>
          <w:rPr>
            <w:rStyle w:val="Hyperlink"/>
            <w:b/>
            <w:bCs/>
            <w:color w:val="0000EE"/>
            <w:u w:color="0000EE"/>
            <w:lang w:val="el" w:eastAsia="el"/>
          </w:rPr>
          <w:t>Τροποποίηση 4336/2015, Άρθρο 2</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25" w:history="1">
        <w:r>
          <w:rPr>
            <w:rStyle w:val="Hyperlink"/>
            <w:b/>
            <w:bCs/>
            <w:color w:val="0000EE"/>
            <w:u w:color="0000EE"/>
            <w:lang w:val="el" w:eastAsia="el"/>
          </w:rPr>
          <w:t>Τροποποίηση 4223/2013, Άρθρο 25</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142" w:history="1">
        <w:r>
          <w:rPr>
            <w:rStyle w:val="Hyperlink"/>
            <w:b/>
            <w:bCs/>
            <w:color w:val="0000EE"/>
            <w:u w:color="0000EE"/>
            <w:lang w:val="el" w:eastAsia="el"/>
          </w:rPr>
          <w:t>Τροποποίηση 4537/2018, Άρθρο 142</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25" w:history="1">
        <w:r>
          <w:rPr>
            <w:rStyle w:val="Hyperlink"/>
            <w:b/>
            <w:bCs/>
            <w:color w:val="0000EE"/>
            <w:u w:color="0000EE"/>
            <w:lang w:val="el" w:eastAsia="el"/>
          </w:rPr>
          <w:t>Προσθήκη 4223/2013, Άρθρο 25</w:t>
        </w:r>
      </w:hyperlink>
      <w:r>
        <w:rPr>
          <w:b/>
          <w:bCs/>
          <w:lang w:val="el" w:eastAsia="el"/>
        </w:rPr>
        <w:t xml:space="preserve">; </w:t>
      </w:r>
      <w:hyperlink r:id="rId350"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51"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52" w:anchor="art_115" w:history="1">
        <w:r>
          <w:rPr>
            <w:rStyle w:val="Hyperlink"/>
            <w:b/>
            <w:bCs/>
            <w:color w:val="0000EE"/>
            <w:u w:color="0000EE"/>
            <w:lang w:val="el" w:eastAsia="el"/>
          </w:rPr>
          <w:t>Τροποποίηση 4549/2018, Άρθρο 115</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189" w:history="1">
        <w:r>
          <w:rPr>
            <w:rStyle w:val="Hyperlink"/>
            <w:b/>
            <w:bCs/>
            <w:color w:val="0000EE"/>
            <w:u w:color="0000EE"/>
            <w:lang w:val="el" w:eastAsia="el"/>
          </w:rPr>
          <w:t>Προσθήκη 4764/2020, Άρθρο 189</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1" w:history="1">
        <w:r>
          <w:rPr>
            <w:rStyle w:val="Hyperlink"/>
            <w:b/>
            <w:bCs/>
            <w:color w:val="0000EE"/>
            <w:u w:color="0000EE"/>
            <w:lang w:val="el" w:eastAsia="el"/>
          </w:rPr>
          <w:t>Τροποποίηση 4254/2014, Άρθρο 1</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55" w:anchor="art_115" w:history="1">
        <w:r>
          <w:rPr>
            <w:rStyle w:val="Hyperlink"/>
            <w:b/>
            <w:bCs/>
            <w:color w:val="0000EE"/>
            <w:u w:color="0000EE"/>
            <w:lang w:val="el" w:eastAsia="el"/>
          </w:rPr>
          <w:t>Τροποποίηση 4549/2018, Άρθρο 115</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25" w:history="1">
        <w:r>
          <w:rPr>
            <w:rStyle w:val="Hyperlink"/>
            <w:b/>
            <w:bCs/>
            <w:color w:val="0000EE"/>
            <w:u w:color="0000EE"/>
            <w:lang w:val="el" w:eastAsia="el"/>
          </w:rPr>
          <w:t>Τροποποίηση 4223/2013, Άρθρο 25</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25" w:history="1">
        <w:r>
          <w:rPr>
            <w:rStyle w:val="Hyperlink"/>
            <w:b/>
            <w:bCs/>
            <w:color w:val="0000EE"/>
            <w:u w:color="0000EE"/>
            <w:lang w:val="el" w:eastAsia="el"/>
          </w:rPr>
          <w:t>Τροποποίηση 4223/2013, Άρθρο 25</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49" w:history="1">
        <w:r>
          <w:rPr>
            <w:rStyle w:val="Hyperlink"/>
            <w:b/>
            <w:bCs/>
            <w:color w:val="0000EE"/>
            <w:u w:color="0000EE"/>
            <w:lang w:val="el" w:eastAsia="el"/>
          </w:rPr>
          <w:t>Προσθήκη 4712/2020, Άρθρο 49</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60" w:anchor="art_1" w:history="1">
        <w:r>
          <w:rPr>
            <w:rStyle w:val="Hyperlink"/>
            <w:b/>
            <w:bCs/>
            <w:color w:val="0000EE"/>
            <w:u w:color="0000EE"/>
            <w:lang w:val="el" w:eastAsia="el"/>
          </w:rPr>
          <w:t>Τροποποίηση 4331/2015, Άρθρο 1</w:t>
        </w:r>
      </w:hyperlink>
      <w:r>
        <w:rPr>
          <w:b/>
          <w:bCs/>
          <w:lang w:val="el" w:eastAsia="el"/>
        </w:rPr>
        <w:t xml:space="preserve">; </w:t>
      </w:r>
      <w:hyperlink r:id="rId361" w:anchor="art_2" w:history="1">
        <w:r>
          <w:rPr>
            <w:rStyle w:val="Hyperlink"/>
            <w:b/>
            <w:bCs/>
            <w:color w:val="0000EE"/>
            <w:u w:color="0000EE"/>
            <w:lang w:val="el" w:eastAsia="el"/>
          </w:rPr>
          <w:t>Αφαίρεση 4336/2015, Άρθρο 2</w:t>
        </w:r>
      </w:hyperlink>
      <w:r>
        <w:rPr>
          <w:b/>
          <w:bCs/>
          <w:lang w:val="el" w:eastAsia="el"/>
        </w:rPr>
        <w:t xml:space="preserve">; </w:t>
      </w:r>
      <w:hyperlink r:id="rId362" w:anchor="art_26" w:history="1">
        <w:r>
          <w:rPr>
            <w:rStyle w:val="Hyperlink"/>
            <w:b/>
            <w:bCs/>
            <w:color w:val="0000EE"/>
            <w:u w:color="0000EE"/>
            <w:lang w:val="el" w:eastAsia="el"/>
          </w:rPr>
          <w:t>Τροποποίηση 4646/2019, Άρθρο 26</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2" w:history="1">
        <w:r>
          <w:rPr>
            <w:rStyle w:val="Hyperlink"/>
            <w:b/>
            <w:bCs/>
            <w:color w:val="0000EE"/>
            <w:u w:color="0000EE"/>
            <w:lang w:val="el" w:eastAsia="el"/>
          </w:rPr>
          <w:t>Τροποποίηση 4336/2015, Άρθρο 2</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27" w:history="1">
        <w:r>
          <w:rPr>
            <w:rStyle w:val="Hyperlink"/>
            <w:b/>
            <w:bCs/>
            <w:color w:val="0000EE"/>
            <w:u w:color="0000EE"/>
            <w:lang w:val="el" w:eastAsia="el"/>
          </w:rPr>
          <w:t>Τροποποίηση 4646/2019, Άρθρο 27</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27" w:history="1">
        <w:r>
          <w:rPr>
            <w:rStyle w:val="Hyperlink"/>
            <w:b/>
            <w:bCs/>
            <w:color w:val="0000EE"/>
            <w:u w:color="0000EE"/>
            <w:lang w:val="el" w:eastAsia="el"/>
          </w:rPr>
          <w:t>Τροποποίηση 4646/2019, Άρθρο 27</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1" w:history="1">
        <w:r>
          <w:rPr>
            <w:rStyle w:val="Hyperlink"/>
            <w:b/>
            <w:bCs/>
            <w:color w:val="0000EE"/>
            <w:u w:color="0000EE"/>
            <w:lang w:val="el" w:eastAsia="el"/>
          </w:rPr>
          <w:t>Τροποποίηση 4254/2014, Άρθρο 1</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25" w:history="1">
        <w:r>
          <w:rPr>
            <w:rStyle w:val="Hyperlink"/>
            <w:b/>
            <w:bCs/>
            <w:color w:val="0000EE"/>
            <w:u w:color="0000EE"/>
            <w:lang w:val="el" w:eastAsia="el"/>
          </w:rPr>
          <w:t>Αφαίρεση 4223/2013, Άρθρο 25</w:t>
        </w:r>
      </w:hyperlink>
      <w:r>
        <w:rPr>
          <w:b/>
          <w:bCs/>
          <w:lang w:val="el" w:eastAsia="el"/>
        </w:rPr>
        <w:t xml:space="preserve">; </w:t>
      </w:r>
      <w:hyperlink r:id="rId368" w:anchor="art_25" w:history="1">
        <w:r>
          <w:rPr>
            <w:rStyle w:val="Hyperlink"/>
            <w:b/>
            <w:bCs/>
            <w:color w:val="0000EE"/>
            <w:u w:color="0000EE"/>
            <w:lang w:val="el" w:eastAsia="el"/>
          </w:rPr>
          <w:t>Τροποποίηση 4223/2013, Άρθρο 25</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353" w:history="1">
        <w:r>
          <w:rPr>
            <w:rStyle w:val="Hyperlink"/>
            <w:b/>
            <w:bCs/>
            <w:color w:val="0000EE"/>
            <w:u w:color="0000EE"/>
            <w:lang w:val="el" w:eastAsia="el"/>
          </w:rPr>
          <w:t>Προσθήκη 4512/2018, Άρθρο 353</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353" w:history="1">
        <w:r>
          <w:rPr>
            <w:rStyle w:val="Hyperlink"/>
            <w:b/>
            <w:bCs/>
            <w:color w:val="0000EE"/>
            <w:u w:color="0000EE"/>
            <w:lang w:val="el" w:eastAsia="el"/>
          </w:rPr>
          <w:t>Προσθήκη 4512/2018, Άρθρο 353</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27" w:history="1">
        <w:r>
          <w:rPr>
            <w:rStyle w:val="Hyperlink"/>
            <w:b/>
            <w:bCs/>
            <w:color w:val="0000EE"/>
            <w:u w:color="0000EE"/>
            <w:lang w:val="el" w:eastAsia="el"/>
          </w:rPr>
          <w:t>Τροποποίηση 4646/2019, Άρθρο 27</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27" w:history="1">
        <w:r>
          <w:rPr>
            <w:rStyle w:val="Hyperlink"/>
            <w:b/>
            <w:bCs/>
            <w:color w:val="0000EE"/>
            <w:u w:color="0000EE"/>
            <w:lang w:val="el" w:eastAsia="el"/>
          </w:rPr>
          <w:t>Τροποποίηση 4646/2019, Άρθρο 27</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27" w:history="1">
        <w:r>
          <w:rPr>
            <w:rStyle w:val="Hyperlink"/>
            <w:b/>
            <w:bCs/>
            <w:color w:val="0000EE"/>
            <w:u w:color="0000EE"/>
            <w:lang w:val="el" w:eastAsia="el"/>
          </w:rPr>
          <w:t>Τροποποίηση 4646/2019, Άρθρο 27</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353" w:history="1">
        <w:r>
          <w:rPr>
            <w:rStyle w:val="Hyperlink"/>
            <w:b/>
            <w:bCs/>
            <w:color w:val="0000EE"/>
            <w:u w:color="0000EE"/>
            <w:lang w:val="el" w:eastAsia="el"/>
          </w:rPr>
          <w:t>Προσθήκη 4512/2018, Άρθρο 353</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27" w:history="1">
        <w:r>
          <w:rPr>
            <w:rStyle w:val="Hyperlink"/>
            <w:b/>
            <w:bCs/>
            <w:color w:val="0000EE"/>
            <w:u w:color="0000EE"/>
            <w:lang w:val="el" w:eastAsia="el"/>
          </w:rPr>
          <w:t>Τροποποίηση 4646/2019, Άρθρο 27</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27" w:history="1">
        <w:r>
          <w:rPr>
            <w:rStyle w:val="Hyperlink"/>
            <w:b/>
            <w:bCs/>
            <w:color w:val="0000EE"/>
            <w:u w:color="0000EE"/>
            <w:lang w:val="el" w:eastAsia="el"/>
          </w:rPr>
          <w:t>Τροποποίηση 4646/2019, Άρθρο 27</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67" w:history="1">
        <w:r>
          <w:rPr>
            <w:rStyle w:val="Hyperlink"/>
            <w:b/>
            <w:bCs/>
            <w:color w:val="0000EE"/>
            <w:u w:color="0000EE"/>
            <w:lang w:val="el" w:eastAsia="el"/>
          </w:rPr>
          <w:t>Αφαίρεση 4646/2019, Άρθρο 67</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116" w:history="1">
        <w:r>
          <w:rPr>
            <w:rStyle w:val="Hyperlink"/>
            <w:b/>
            <w:bCs/>
            <w:color w:val="0000EE"/>
            <w:u w:color="0000EE"/>
            <w:lang w:val="el" w:eastAsia="el"/>
          </w:rPr>
          <w:t>Προσθήκη 4549/2018, Άρθρο 116</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116" w:history="1">
        <w:r>
          <w:rPr>
            <w:rStyle w:val="Hyperlink"/>
            <w:b/>
            <w:bCs/>
            <w:color w:val="0000EE"/>
            <w:u w:color="0000EE"/>
            <w:lang w:val="el" w:eastAsia="el"/>
          </w:rPr>
          <w:t>Προσθήκη 4549/2018, Άρθρο 116</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12" w:history="1">
        <w:r>
          <w:rPr>
            <w:rStyle w:val="Hyperlink"/>
            <w:b/>
            <w:bCs/>
            <w:color w:val="0000EE"/>
            <w:u w:color="0000EE"/>
            <w:lang w:val="el" w:eastAsia="el"/>
          </w:rPr>
          <w:t>Τροποποίηση 4704/2020, Άρθρο 12</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12" w:history="1">
        <w:r>
          <w:rPr>
            <w:rStyle w:val="Hyperlink"/>
            <w:b/>
            <w:bCs/>
            <w:color w:val="0000EE"/>
            <w:u w:color="0000EE"/>
            <w:lang w:val="el" w:eastAsia="el"/>
          </w:rPr>
          <w:t>Τροποποίηση 4704/2020, Άρθρο 12</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12" w:history="1">
        <w:r>
          <w:rPr>
            <w:rStyle w:val="Hyperlink"/>
            <w:b/>
            <w:bCs/>
            <w:color w:val="0000EE"/>
            <w:u w:color="0000EE"/>
            <w:lang w:val="el" w:eastAsia="el"/>
          </w:rPr>
          <w:t>Τροποποίηση 4704/2020, Άρθρο 12</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48" w:history="1">
        <w:r>
          <w:rPr>
            <w:rStyle w:val="Hyperlink"/>
            <w:b/>
            <w:bCs/>
            <w:color w:val="0000EE"/>
            <w:u w:color="0000EE"/>
            <w:lang w:val="el" w:eastAsia="el"/>
          </w:rPr>
          <w:t>Προσθήκη 4701/2020, Άρθρο 48</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25" w:history="1">
        <w:r>
          <w:rPr>
            <w:rStyle w:val="Hyperlink"/>
            <w:b/>
            <w:bCs/>
            <w:color w:val="0000EE"/>
            <w:u w:color="0000EE"/>
            <w:lang w:val="el" w:eastAsia="el"/>
          </w:rPr>
          <w:t>Προσθήκη 4778/2021, Άρθρο 25</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1" w:history="1">
        <w:r>
          <w:rPr>
            <w:rStyle w:val="Hyperlink"/>
            <w:b/>
            <w:bCs/>
            <w:color w:val="0000EE"/>
            <w:u w:color="0000EE"/>
            <w:lang w:val="el" w:eastAsia="el"/>
          </w:rPr>
          <w:t>Τροποποίηση 4254/2014, Άρθρο 1</w:t>
        </w:r>
      </w:hyperlink>
      <w:r>
        <w:rPr>
          <w:b/>
          <w:bCs/>
          <w:lang w:val="el" w:eastAsia="el"/>
        </w:rPr>
        <w:t xml:space="preserve">; </w:t>
      </w:r>
      <w:hyperlink r:id="rId386"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387" w:anchor="art_2" w:history="1">
        <w:r>
          <w:rPr>
            <w:rStyle w:val="Hyperlink"/>
            <w:b/>
            <w:bCs/>
            <w:color w:val="0000EE"/>
            <w:u w:color="0000EE"/>
            <w:lang w:val="el" w:eastAsia="el"/>
          </w:rPr>
          <w:t>Τροποποίηση 4328/2015, Άρθρο 2</w:t>
        </w:r>
      </w:hyperlink>
      <w:r>
        <w:rPr>
          <w:b/>
          <w:bCs/>
          <w:lang w:val="el" w:eastAsia="el"/>
        </w:rPr>
        <w:t xml:space="preserve">; </w:t>
      </w:r>
      <w:hyperlink r:id="rId388" w:anchor="art_1" w:history="1">
        <w:r>
          <w:rPr>
            <w:rStyle w:val="Hyperlink"/>
            <w:b/>
            <w:bCs/>
            <w:color w:val="0000EE"/>
            <w:u w:color="0000EE"/>
            <w:lang w:val="el" w:eastAsia="el"/>
          </w:rPr>
          <w:t>Τροποποίηση 4330/2015, Άρθρο 1</w:t>
        </w:r>
      </w:hyperlink>
      <w:r>
        <w:rPr>
          <w:b/>
          <w:bCs/>
          <w:lang w:val="el" w:eastAsia="el"/>
        </w:rPr>
        <w:t xml:space="preserve">; </w:t>
      </w:r>
      <w:hyperlink r:id="rId389" w:anchor="art_1" w:history="1">
        <w:r>
          <w:rPr>
            <w:rStyle w:val="Hyperlink"/>
            <w:b/>
            <w:bCs/>
            <w:color w:val="0000EE"/>
            <w:u w:color="0000EE"/>
            <w:lang w:val="el" w:eastAsia="el"/>
          </w:rPr>
          <w:t>Τροποποίηση 4331/2015, Άρθρο 1</w:t>
        </w:r>
      </w:hyperlink>
      <w:r>
        <w:rPr>
          <w:b/>
          <w:bCs/>
          <w:lang w:val="el" w:eastAsia="el"/>
        </w:rPr>
        <w:t xml:space="preserve">; </w:t>
      </w:r>
      <w:hyperlink r:id="rId390" w:anchor="art_2" w:history="1">
        <w:r>
          <w:rPr>
            <w:rStyle w:val="Hyperlink"/>
            <w:b/>
            <w:bCs/>
            <w:color w:val="0000EE"/>
            <w:u w:color="0000EE"/>
            <w:lang w:val="el" w:eastAsia="el"/>
          </w:rPr>
          <w:t>Τροποποίηση 4336/2015, Άρθρο 2</w:t>
        </w:r>
      </w:hyperlink>
      <w:r>
        <w:rPr>
          <w:b/>
          <w:bCs/>
          <w:lang w:val="el" w:eastAsia="el"/>
        </w:rPr>
        <w:t xml:space="preserve">; </w:t>
      </w:r>
      <w:hyperlink r:id="rId391" w:anchor="art_2" w:history="1">
        <w:r>
          <w:rPr>
            <w:rStyle w:val="Hyperlink"/>
            <w:b/>
            <w:bCs/>
            <w:color w:val="0000EE"/>
            <w:u w:color="0000EE"/>
            <w:lang w:val="el" w:eastAsia="el"/>
          </w:rPr>
          <w:t>Αφαίρεση 4336/2015, Άρθρο 2</w:t>
        </w:r>
      </w:hyperlink>
      <w:r>
        <w:rPr>
          <w:b/>
          <w:bCs/>
          <w:lang w:val="el" w:eastAsia="el"/>
        </w:rPr>
        <w:t xml:space="preserve">; </w:t>
      </w:r>
      <w:hyperlink r:id="rId392" w:anchor="art_" w:history="1">
        <w:r>
          <w:rPr>
            <w:rStyle w:val="Hyperlink"/>
            <w:b/>
            <w:bCs/>
            <w:color w:val="0000EE"/>
            <w:u w:color="0000EE"/>
            <w:lang w:val="el" w:eastAsia="el"/>
          </w:rPr>
          <w:t>Τροποποίηση 4374/2016art_</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26" w:history="1">
        <w:r>
          <w:rPr>
            <w:rStyle w:val="Hyperlink"/>
            <w:b/>
            <w:bCs/>
            <w:color w:val="0000EE"/>
            <w:u w:color="0000EE"/>
            <w:lang w:val="el" w:eastAsia="el"/>
          </w:rPr>
          <w:t>Τροποποίηση 4223/2013, Άρθρο 26</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26" w:history="1">
        <w:r>
          <w:rPr>
            <w:rStyle w:val="Hyperlink"/>
            <w:b/>
            <w:bCs/>
            <w:color w:val="0000EE"/>
            <w:u w:color="0000EE"/>
            <w:lang w:val="el" w:eastAsia="el"/>
          </w:rPr>
          <w:t>Τροποποίηση 4223/2013, Άρθρο 26</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26" w:history="1">
        <w:r>
          <w:rPr>
            <w:rStyle w:val="Hyperlink"/>
            <w:b/>
            <w:bCs/>
            <w:color w:val="0000EE"/>
            <w:u w:color="0000EE"/>
            <w:lang w:val="el" w:eastAsia="el"/>
          </w:rPr>
          <w:t>Προσθήκη 4223/2013, Άρθρο 26</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79" w:history="1">
        <w:r>
          <w:rPr>
            <w:rStyle w:val="Hyperlink"/>
            <w:b/>
            <w:bCs/>
            <w:color w:val="0000EE"/>
            <w:u w:color="0000EE"/>
            <w:lang w:val="el" w:eastAsia="el"/>
          </w:rPr>
          <w:t>Τροποποίηση 4174/2013, Άρθρο 79</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26" w:history="1">
        <w:r>
          <w:rPr>
            <w:rStyle w:val="Hyperlink"/>
            <w:b/>
            <w:bCs/>
            <w:color w:val="0000EE"/>
            <w:u w:color="0000EE"/>
            <w:lang w:val="el" w:eastAsia="el"/>
          </w:rPr>
          <w:t>Τροποποίηση 4223/2013, Άρθρο 26</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26" w:history="1">
        <w:r>
          <w:rPr>
            <w:rStyle w:val="Hyperlink"/>
            <w:b/>
            <w:bCs/>
            <w:color w:val="0000EE"/>
            <w:u w:color="0000EE"/>
            <w:lang w:val="el" w:eastAsia="el"/>
          </w:rPr>
          <w:t>Τροποποίηση 4223/2013, Άρθρο 26</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79" w:history="1">
        <w:r>
          <w:rPr>
            <w:rStyle w:val="Hyperlink"/>
            <w:b/>
            <w:bCs/>
            <w:color w:val="0000EE"/>
            <w:u w:color="0000EE"/>
            <w:lang w:val="el" w:eastAsia="el"/>
          </w:rPr>
          <w:t>Τροποποίηση 4174/2013, Άρθρο 79</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26" w:history="1">
        <w:r>
          <w:rPr>
            <w:rStyle w:val="Hyperlink"/>
            <w:b/>
            <w:bCs/>
            <w:color w:val="0000EE"/>
            <w:u w:color="0000EE"/>
            <w:lang w:val="el" w:eastAsia="el"/>
          </w:rPr>
          <w:t>Προσθήκη 4223/2013, Άρθρο 26</w:t>
        </w:r>
      </w:hyperlink>
      <w:r>
        <w:rPr>
          <w:b/>
          <w:bCs/>
          <w:lang w:val="el" w:eastAsia="el"/>
        </w:rPr>
        <w:t xml:space="preserve">; </w:t>
      </w:r>
      <w:hyperlink r:id="rId401" w:anchor="art_57" w:history="1">
        <w:r>
          <w:rPr>
            <w:rStyle w:val="Hyperlink"/>
            <w:b/>
            <w:bCs/>
            <w:color w:val="0000EE"/>
            <w:u w:color="0000EE"/>
            <w:lang w:val="el" w:eastAsia="el"/>
          </w:rPr>
          <w:t>Τροποποίηση 4587/2018, Άρθρο 57</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26" w:history="1">
        <w:r>
          <w:rPr>
            <w:rStyle w:val="Hyperlink"/>
            <w:b/>
            <w:bCs/>
            <w:color w:val="0000EE"/>
            <w:u w:color="0000EE"/>
            <w:lang w:val="el" w:eastAsia="el"/>
          </w:rPr>
          <w:t>Προσθήκη 4223/2013, Άρθρο 26</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26" w:history="1">
        <w:r>
          <w:rPr>
            <w:rStyle w:val="Hyperlink"/>
            <w:b/>
            <w:bCs/>
            <w:color w:val="0000EE"/>
            <w:u w:color="0000EE"/>
            <w:lang w:val="el" w:eastAsia="el"/>
          </w:rPr>
          <w:t>Προσθήκη 4223/2013, Άρθρο 26</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26" w:history="1">
        <w:r>
          <w:rPr>
            <w:rStyle w:val="Hyperlink"/>
            <w:b/>
            <w:bCs/>
            <w:color w:val="0000EE"/>
            <w:u w:color="0000EE"/>
            <w:lang w:val="el" w:eastAsia="el"/>
          </w:rPr>
          <w:t>Προσθήκη 4223/2013, Άρθρο 26</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26" w:history="1">
        <w:r>
          <w:rPr>
            <w:rStyle w:val="Hyperlink"/>
            <w:b/>
            <w:bCs/>
            <w:color w:val="0000EE"/>
            <w:u w:color="0000EE"/>
            <w:lang w:val="el" w:eastAsia="el"/>
          </w:rPr>
          <w:t>Προσθήκη 4223/2013, Άρθρο 26</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26" w:history="1">
        <w:r>
          <w:rPr>
            <w:rStyle w:val="Hyperlink"/>
            <w:b/>
            <w:bCs/>
            <w:color w:val="0000EE"/>
            <w:u w:color="0000EE"/>
            <w:lang w:val="el" w:eastAsia="el"/>
          </w:rPr>
          <w:t>Προσθήκη 4223/2013, Άρθρο 26</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26" w:history="1">
        <w:r>
          <w:rPr>
            <w:rStyle w:val="Hyperlink"/>
            <w:b/>
            <w:bCs/>
            <w:color w:val="0000EE"/>
            <w:u w:color="0000EE"/>
            <w:lang w:val="el" w:eastAsia="el"/>
          </w:rPr>
          <w:t>Προσθήκη 4223/2013, Άρθρο 26</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26" w:history="1">
        <w:r>
          <w:rPr>
            <w:rStyle w:val="Hyperlink"/>
            <w:b/>
            <w:bCs/>
            <w:color w:val="0000EE"/>
            <w:u w:color="0000EE"/>
            <w:lang w:val="el" w:eastAsia="el"/>
          </w:rPr>
          <w:t>Προσθήκη 4223/2013, Άρθρο 26</w:t>
        </w:r>
      </w:hyperlink>
      <w:r>
        <w:rPr>
          <w:b/>
          <w:bCs/>
          <w:lang w:val="el" w:eastAsia="el"/>
        </w:rPr>
        <w:t xml:space="preserve">; </w:t>
      </w:r>
      <w:hyperlink r:id="rId409" w:anchor="art_1" w:history="1">
        <w:r>
          <w:rPr>
            <w:rStyle w:val="Hyperlink"/>
            <w:b/>
            <w:bCs/>
            <w:color w:val="0000EE"/>
            <w:u w:color="0000EE"/>
            <w:lang w:val="el" w:eastAsia="el"/>
          </w:rPr>
          <w:t>Προσθήκη 4254/2014, Άρθρο 1</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11"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12" w:anchor="art_28" w:history="1">
        <w:r>
          <w:rPr>
            <w:rStyle w:val="Hyperlink"/>
            <w:b/>
            <w:bCs/>
            <w:color w:val="0000EE"/>
            <w:u w:color="0000EE"/>
            <w:lang w:val="el" w:eastAsia="el"/>
          </w:rPr>
          <w:t>Τροποποίηση 4646/2019, Άρθρο 28</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8" w:history="1">
        <w:r>
          <w:rPr>
            <w:rStyle w:val="Hyperlink"/>
            <w:b/>
            <w:bCs/>
            <w:color w:val="0000EE"/>
            <w:u w:color="0000EE"/>
            <w:lang w:val="el" w:eastAsia="el"/>
          </w:rPr>
          <w:t>Προσθήκη 4378/2016, Άρθρο 8</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16" w:history="1">
        <w:r>
          <w:rPr>
            <w:rStyle w:val="Hyperlink"/>
            <w:b/>
            <w:bCs/>
            <w:color w:val="0000EE"/>
            <w:u w:color="0000EE"/>
            <w:lang w:val="el" w:eastAsia="el"/>
          </w:rPr>
          <w:t>Προσθήκη 4484/2017, Άρθρο 16</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13" w:history="1">
        <w:r>
          <w:rPr>
            <w:rStyle w:val="Hyperlink"/>
            <w:b/>
            <w:bCs/>
            <w:color w:val="0000EE"/>
            <w:u w:color="0000EE"/>
            <w:lang w:val="el" w:eastAsia="el"/>
          </w:rPr>
          <w:t>Προσθήκη 4690/2020, Άρθρο 13</w:t>
        </w:r>
      </w:hyperlink>
      <w:r>
        <w:rPr>
          <w:b/>
          <w:bCs/>
          <w:lang w:val="el" w:eastAsia="el"/>
        </w:rPr>
        <w:t xml:space="preserve">; </w:t>
      </w:r>
      <w:hyperlink r:id="rId417" w:anchor="art_5" w:history="1">
        <w:r>
          <w:rPr>
            <w:rStyle w:val="Hyperlink"/>
            <w:b/>
            <w:bCs/>
            <w:color w:val="0000EE"/>
            <w:u w:color="0000EE"/>
            <w:lang w:val="el" w:eastAsia="el"/>
          </w:rPr>
          <w:t>Τροποποίηση 4722/2020, Άρθρο 5</w:t>
        </w:r>
      </w:hyperlink>
      <w:r>
        <w:rPr>
          <w:b/>
          <w:bCs/>
          <w:lang w:val="el" w:eastAsia="el"/>
        </w:rPr>
        <w:t xml:space="preserve">; </w:t>
      </w:r>
      <w:hyperlink r:id="rId418" w:anchor="art_27" w:history="1">
        <w:r>
          <w:rPr>
            <w:rStyle w:val="Hyperlink"/>
            <w:b/>
            <w:bCs/>
            <w:color w:val="0000EE"/>
            <w:u w:color="0000EE"/>
            <w:lang w:val="el" w:eastAsia="el"/>
          </w:rPr>
          <w:t>Τροποποίηση 4772/2021, Άρθρο 27</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16" w:history="1">
        <w:r>
          <w:rPr>
            <w:rStyle w:val="Hyperlink"/>
            <w:b/>
            <w:bCs/>
            <w:color w:val="0000EE"/>
            <w:u w:color="0000EE"/>
            <w:lang w:val="el" w:eastAsia="el"/>
          </w:rPr>
          <w:t>Προσθήκη 4690/2020, Άρθρο 16</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82" w:history="1">
        <w:r>
          <w:rPr>
            <w:rStyle w:val="Hyperlink"/>
            <w:b/>
            <w:bCs/>
            <w:color w:val="0000EE"/>
            <w:u w:color="0000EE"/>
            <w:lang w:val="el" w:eastAsia="el"/>
          </w:rPr>
          <w:t>Προσθήκη 4706/2020, Άρθρο 82</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11" w:history="1">
        <w:r>
          <w:rPr>
            <w:rStyle w:val="Hyperlink"/>
            <w:b/>
            <w:bCs/>
            <w:color w:val="0000EE"/>
            <w:u w:color="0000EE"/>
            <w:lang w:val="el" w:eastAsia="el"/>
          </w:rPr>
          <w:t>Προσθήκη 4710/2020, Άρθρο 11</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11" w:history="1">
        <w:r>
          <w:rPr>
            <w:rStyle w:val="Hyperlink"/>
            <w:b/>
            <w:bCs/>
            <w:color w:val="0000EE"/>
            <w:u w:color="0000EE"/>
            <w:lang w:val="el" w:eastAsia="el"/>
          </w:rPr>
          <w:t>Προσθήκη 4710/2020, Άρθρο 11</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11" w:history="1">
        <w:r>
          <w:rPr>
            <w:rStyle w:val="Hyperlink"/>
            <w:b/>
            <w:bCs/>
            <w:color w:val="0000EE"/>
            <w:u w:color="0000EE"/>
            <w:lang w:val="el" w:eastAsia="el"/>
          </w:rPr>
          <w:t>Προσθήκη 4710/2020, Άρθρο 11</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11" w:history="1">
        <w:r>
          <w:rPr>
            <w:rStyle w:val="Hyperlink"/>
            <w:b/>
            <w:bCs/>
            <w:color w:val="0000EE"/>
            <w:u w:color="0000EE"/>
            <w:lang w:val="el" w:eastAsia="el"/>
          </w:rPr>
          <w:t>Προσθήκη 4710/2020, Άρθρο 11</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1" w:history="1">
        <w:r>
          <w:rPr>
            <w:rStyle w:val="Hyperlink"/>
            <w:b/>
            <w:bCs/>
            <w:color w:val="0000EE"/>
            <w:u w:color="0000EE"/>
            <w:lang w:val="el" w:eastAsia="el"/>
          </w:rPr>
          <w:t>Προσθήκη 4710/2020, Άρθρο 11</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26" w:anchor="art_14" w:history="1">
        <w:r>
          <w:rPr>
            <w:rStyle w:val="Hyperlink"/>
            <w:b/>
            <w:bCs/>
            <w:color w:val="0000EE"/>
            <w:u w:color="0000EE"/>
            <w:lang w:val="el" w:eastAsia="el"/>
          </w:rPr>
          <w:t>Τροποποίηση 4722/2020, Άρθρο 14</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60" w:history="1">
        <w:r>
          <w:rPr>
            <w:rStyle w:val="Hyperlink"/>
            <w:b/>
            <w:bCs/>
            <w:color w:val="0000EE"/>
            <w:u w:color="0000EE"/>
            <w:lang w:val="el" w:eastAsia="el"/>
          </w:rPr>
          <w:t>Προσθήκη 4714/2020, Άρθρο 60</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60" w:history="1">
        <w:r>
          <w:rPr>
            <w:rStyle w:val="Hyperlink"/>
            <w:b/>
            <w:bCs/>
            <w:color w:val="0000EE"/>
            <w:u w:color="0000EE"/>
            <w:lang w:val="el" w:eastAsia="el"/>
          </w:rPr>
          <w:t>Προσθήκη 4714/2020, Άρθρο 60</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97" w:history="1">
        <w:r>
          <w:rPr>
            <w:rStyle w:val="Hyperlink"/>
            <w:b/>
            <w:bCs/>
            <w:color w:val="0000EE"/>
            <w:u w:color="0000EE"/>
            <w:lang w:val="el" w:eastAsia="el"/>
          </w:rPr>
          <w:t>Προσθήκη 4714/2020, Άρθρο 97</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40" w:history="1">
        <w:r>
          <w:rPr>
            <w:rStyle w:val="Hyperlink"/>
            <w:b/>
            <w:bCs/>
            <w:color w:val="0000EE"/>
            <w:u w:color="0000EE"/>
            <w:lang w:val="el" w:eastAsia="el"/>
          </w:rPr>
          <w:t>Προσθήκη 4758/2020, Άρθρο 40</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37" w:history="1">
        <w:r>
          <w:rPr>
            <w:rStyle w:val="Hyperlink"/>
            <w:b/>
            <w:bCs/>
            <w:color w:val="0000EE"/>
            <w:u w:color="0000EE"/>
            <w:lang w:val="el" w:eastAsia="el"/>
          </w:rPr>
          <w:t>Προσθήκη 4772/2021, Άρθρο 37</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189" w:history="1">
        <w:r>
          <w:rPr>
            <w:rStyle w:val="Hyperlink"/>
            <w:b/>
            <w:bCs/>
            <w:color w:val="0000EE"/>
            <w:u w:color="0000EE"/>
            <w:lang w:val="el" w:eastAsia="el"/>
          </w:rPr>
          <w:t>Τροποποίηση 4555/2018, Άρθρο 189</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12" w:history="1">
        <w:r>
          <w:rPr>
            <w:rStyle w:val="Hyperlink"/>
            <w:b/>
            <w:bCs/>
            <w:color w:val="0000EE"/>
            <w:u w:color="0000EE"/>
            <w:lang w:val="el" w:eastAsia="el"/>
          </w:rPr>
          <w:t>Τροποποίηση 4623/2019, Άρθρο 12</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12" w:history="1">
        <w:r>
          <w:rPr>
            <w:rStyle w:val="Hyperlink"/>
            <w:b/>
            <w:bCs/>
            <w:color w:val="0000EE"/>
            <w:u w:color="0000EE"/>
            <w:lang w:val="el" w:eastAsia="el"/>
          </w:rPr>
          <w:t>Τροποποίηση 4623/2019, Άρθρο 12</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190" w:history="1">
        <w:r>
          <w:rPr>
            <w:rStyle w:val="Hyperlink"/>
            <w:b/>
            <w:bCs/>
            <w:color w:val="0000EE"/>
            <w:u w:color="0000EE"/>
            <w:lang w:val="el" w:eastAsia="el"/>
          </w:rPr>
          <w:t>Τροποποίηση 4555/2018, Άρθρο 190</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12" w:history="1">
        <w:r>
          <w:rPr>
            <w:rStyle w:val="Hyperlink"/>
            <w:b/>
            <w:bCs/>
            <w:color w:val="0000EE"/>
            <w:u w:color="0000EE"/>
            <w:lang w:val="el" w:eastAsia="el"/>
          </w:rPr>
          <w:t>Τροποποίηση 4623/2019, Άρθρο 12</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12" w:history="1">
        <w:r>
          <w:rPr>
            <w:rStyle w:val="Hyperlink"/>
            <w:b/>
            <w:bCs/>
            <w:color w:val="0000EE"/>
            <w:u w:color="0000EE"/>
            <w:lang w:val="el" w:eastAsia="el"/>
          </w:rPr>
          <w:t>Τροποποίηση 4623/2019, Άρθρο 12</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11" w:history="1">
        <w:r>
          <w:rPr>
            <w:rStyle w:val="Hyperlink"/>
            <w:b/>
            <w:bCs/>
            <w:color w:val="0000EE"/>
            <w:u w:color="0000EE"/>
            <w:lang w:val="el" w:eastAsia="el"/>
          </w:rPr>
          <w:t>Προσθήκη 4210/2013, Άρθρο 11</w:t>
        </w:r>
      </w:hyperlink>
      <w:r>
        <w:rPr>
          <w:b/>
          <w:bCs/>
          <w:lang w:val="el" w:eastAsia="el"/>
        </w:rPr>
        <w:t xml:space="preserve">; </w:t>
      </w:r>
      <w:hyperlink r:id="rId439" w:anchor="art_11" w:history="1">
        <w:r>
          <w:rPr>
            <w:rStyle w:val="Hyperlink"/>
            <w:b/>
            <w:bCs/>
            <w:color w:val="0000EE"/>
            <w:u w:color="0000EE"/>
            <w:lang w:val="el" w:eastAsia="el"/>
          </w:rPr>
          <w:t>Προσθήκη 4210/2013, Άρθρο 11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11" w:history="1">
        <w:r>
          <w:rPr>
            <w:rStyle w:val="Hyperlink"/>
            <w:b/>
            <w:bCs/>
            <w:color w:val="0000EE"/>
            <w:u w:color="0000EE"/>
            <w:lang w:val="el" w:eastAsia="el"/>
          </w:rPr>
          <w:t>Προσθήκη 4210/2013, Άρθρο 11</w:t>
        </w:r>
      </w:hyperlink>
      <w:r>
        <w:rPr>
          <w:b/>
          <w:bCs/>
          <w:lang w:val="el" w:eastAsia="el"/>
        </w:rPr>
        <w:t xml:space="preserve">; </w:t>
      </w:r>
      <w:hyperlink r:id="rId441" w:anchor="art_11" w:history="1">
        <w:r>
          <w:rPr>
            <w:rStyle w:val="Hyperlink"/>
            <w:b/>
            <w:bCs/>
            <w:color w:val="0000EE"/>
            <w:u w:color="0000EE"/>
            <w:lang w:val="el" w:eastAsia="el"/>
          </w:rPr>
          <w:t>Τροποποίηση 4210/2013, Άρθρο 11</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126" w:history="1">
        <w:r>
          <w:rPr>
            <w:rStyle w:val="Hyperlink"/>
            <w:b/>
            <w:bCs/>
            <w:color w:val="0000EE"/>
            <w:u w:color="0000EE"/>
            <w:lang w:val="el" w:eastAsia="el"/>
          </w:rPr>
          <w:t>Τροποποίηση 4199/2013, Άρθρο 126</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11" w:history="1">
        <w:r>
          <w:rPr>
            <w:rStyle w:val="Hyperlink"/>
            <w:b/>
            <w:bCs/>
            <w:color w:val="0000EE"/>
            <w:u w:color="0000EE"/>
            <w:lang w:val="el" w:eastAsia="el"/>
          </w:rPr>
          <w:t>Προσθήκη 4210/2013, Άρθρο 11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79" w:history="1">
        <w:r>
          <w:rPr>
            <w:rStyle w:val="Hyperlink"/>
            <w:b/>
            <w:bCs/>
            <w:color w:val="0000EE"/>
            <w:u w:color="0000EE"/>
            <w:lang w:val="el" w:eastAsia="el"/>
          </w:rPr>
          <w:t>Τροποποίηση 4174/2013, Άρθρο 79</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10" w:history="1">
        <w:r>
          <w:rPr>
            <w:rStyle w:val="Hyperlink"/>
            <w:b/>
            <w:bCs/>
            <w:color w:val="0000EE"/>
            <w:u w:color="0000EE"/>
            <w:lang w:val="el" w:eastAsia="el"/>
          </w:rPr>
          <w:t>Τροποποίηση 4283/2014, Άρθρο 10</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80" w:history="1">
        <w:r>
          <w:rPr>
            <w:rStyle w:val="Hyperlink"/>
            <w:b/>
            <w:bCs/>
            <w:color w:val="0000EE"/>
            <w:u w:color="0000EE"/>
            <w:lang w:val="el" w:eastAsia="el"/>
          </w:rPr>
          <w:t>Τροποποίηση 4310/2014, Άρθρο 80</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79" w:history="1">
        <w:r>
          <w:rPr>
            <w:rStyle w:val="Hyperlink"/>
            <w:b/>
            <w:bCs/>
            <w:color w:val="0000EE"/>
            <w:u w:color="0000EE"/>
            <w:lang w:val="el" w:eastAsia="el"/>
          </w:rPr>
          <w:t>Τροποποίηση 4174/2013, Άρθρο 79</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52" w:history="1">
        <w:r>
          <w:rPr>
            <w:rStyle w:val="Hyperlink"/>
            <w:b/>
            <w:bCs/>
            <w:color w:val="0000EE"/>
            <w:u w:color="0000EE"/>
            <w:lang w:val="el" w:eastAsia="el"/>
          </w:rPr>
          <w:t>Τροποποίηση 4603/2019, Άρθρο 52</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53" w:history="1">
        <w:r>
          <w:rPr>
            <w:rStyle w:val="Hyperlink"/>
            <w:b/>
            <w:bCs/>
            <w:color w:val="0000EE"/>
            <w:u w:color="0000EE"/>
            <w:lang w:val="el" w:eastAsia="el"/>
          </w:rPr>
          <w:t>Τροποποίηση 4603/2019, Άρθρο 53</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22" w:history="1">
        <w:r>
          <w:rPr>
            <w:rStyle w:val="Hyperlink"/>
            <w:b/>
            <w:bCs/>
            <w:color w:val="0000EE"/>
            <w:u w:color="0000EE"/>
            <w:lang w:val="el" w:eastAsia="el"/>
          </w:rPr>
          <w:t>Προσθήκη 4305/2014, Άρθρο 22</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452" w:anchor="art_29" w:history="1">
        <w:r>
          <w:rPr>
            <w:rStyle w:val="Hyperlink"/>
            <w:b/>
            <w:bCs/>
            <w:color w:val="0000EE"/>
            <w:u w:color="0000EE"/>
            <w:lang w:val="el" w:eastAsia="el"/>
          </w:rPr>
          <w:t>Προσθήκη 4210/2013, Άρθρο 29</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53" w:history="1">
        <w:r>
          <w:rPr>
            <w:rStyle w:val="Hyperlink"/>
            <w:b/>
            <w:bCs/>
            <w:color w:val="0000EE"/>
            <w:u w:color="0000EE"/>
            <w:lang w:val="el" w:eastAsia="el"/>
          </w:rPr>
          <w:t>αdd4186/2013, Άρθρο 53</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28" w:history="1">
        <w:r>
          <w:rPr>
            <w:rStyle w:val="Hyperlink"/>
            <w:b/>
            <w:bCs/>
            <w:color w:val="0000EE"/>
            <w:u w:color="0000EE"/>
            <w:lang w:val="el" w:eastAsia="el"/>
          </w:rPr>
          <w:t>αdd4210/2013, Άρθρο 28</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22" w:history="1">
        <w:r>
          <w:rPr>
            <w:rStyle w:val="Hyperlink"/>
            <w:b/>
            <w:bCs/>
            <w:color w:val="0000EE"/>
            <w:u w:color="0000EE"/>
            <w:lang w:val="el" w:eastAsia="el"/>
          </w:rPr>
          <w:t>αdd4305/2014, Άρθρο 22</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51" w:history="1">
        <w:r>
          <w:rPr>
            <w:rStyle w:val="Hyperlink"/>
            <w:b/>
            <w:bCs/>
            <w:color w:val="0000EE"/>
            <w:u w:color="0000EE"/>
            <w:lang w:val="el" w:eastAsia="el"/>
          </w:rPr>
          <w:t>Προσθήκη 4250/2014, Άρθρο 51</w:t>
        </w:r>
      </w:hyperlink>
      <w:r>
        <w:rPr>
          <w:b/>
          <w:bCs/>
          <w:lang w:val="el" w:eastAsia="el"/>
        </w:rPr>
        <w:t xml:space="preserve">; </w:t>
      </w:r>
      <w:hyperlink r:id="rId457" w:anchor="art_22" w:history="1">
        <w:r>
          <w:rPr>
            <w:rStyle w:val="Hyperlink"/>
            <w:b/>
            <w:bCs/>
            <w:color w:val="0000EE"/>
            <w:u w:color="0000EE"/>
            <w:lang w:val="el" w:eastAsia="el"/>
          </w:rPr>
          <w:t>Τροποποίηση 4305/2014, Άρθρο 22</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459" w:anchor="art_56" w:history="1">
        <w:r>
          <w:rPr>
            <w:rStyle w:val="Hyperlink"/>
            <w:b/>
            <w:bCs/>
            <w:color w:val="0000EE"/>
            <w:u w:color="0000EE"/>
            <w:lang w:val="el" w:eastAsia="el"/>
          </w:rPr>
          <w:t>Τροποποίηση 4315/2014, Άρθρο 56</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7" w:history="1">
        <w:r>
          <w:rPr>
            <w:rStyle w:val="Hyperlink"/>
            <w:b/>
            <w:bCs/>
            <w:color w:val="0000EE"/>
            <w:u w:color="0000EE"/>
            <w:lang w:val="el" w:eastAsia="el"/>
          </w:rPr>
          <w:t>Τροποποίηση 4244/2014, Άρθρο 7</w:t>
        </w:r>
      </w:hyperlink>
      <w:r>
        <w:rPr>
          <w:b/>
          <w:bCs/>
          <w:lang w:val="el" w:eastAsia="el"/>
        </w:rPr>
        <w:t xml:space="preserve">; </w:t>
      </w:r>
      <w:hyperlink r:id="rId461" w:anchor="art_51" w:history="1">
        <w:r>
          <w:rPr>
            <w:rStyle w:val="Hyperlink"/>
            <w:b/>
            <w:bCs/>
            <w:color w:val="0000EE"/>
            <w:u w:color="0000EE"/>
            <w:lang w:val="el" w:eastAsia="el"/>
          </w:rPr>
          <w:t>Τροποποίηση 4250/2014, Άρθρο 51</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11" w:history="1">
        <w:r>
          <w:rPr>
            <w:rStyle w:val="Hyperlink"/>
            <w:b/>
            <w:bCs/>
            <w:color w:val="0000EE"/>
            <w:u w:color="0000EE"/>
            <w:lang w:val="el" w:eastAsia="el"/>
          </w:rPr>
          <w:t>Προσθήκη 4210/2013, Άρθρο 11</w:t>
        </w:r>
      </w:hyperlink>
      <w:r>
        <w:rPr>
          <w:b/>
          <w:bCs/>
          <w:lang w:val="el" w:eastAsia="el"/>
        </w:rPr>
        <w:t xml:space="preserve">; </w:t>
      </w:r>
      <w:hyperlink r:id="rId463" w:anchor="art_11" w:history="1">
        <w:r>
          <w:rPr>
            <w:rStyle w:val="Hyperlink"/>
            <w:b/>
            <w:bCs/>
            <w:color w:val="0000EE"/>
            <w:u w:color="0000EE"/>
            <w:lang w:val="el" w:eastAsia="el"/>
          </w:rPr>
          <w:t>Τροποποίηση 4210/2013, Άρθρο 11</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465"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34" w:history="1">
        <w:r>
          <w:rPr>
            <w:rStyle w:val="Hyperlink"/>
            <w:b/>
            <w:bCs/>
            <w:color w:val="0000EE"/>
            <w:u w:color="0000EE"/>
            <w:lang w:val="el" w:eastAsia="el"/>
          </w:rPr>
          <w:t>Τροποποίηση 4447/2016, Άρθρο 34</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97" w:history="1">
        <w:r>
          <w:rPr>
            <w:rStyle w:val="Hyperlink"/>
            <w:b/>
            <w:bCs/>
            <w:color w:val="0000EE"/>
            <w:u w:color="0000EE"/>
            <w:lang w:val="el" w:eastAsia="el"/>
          </w:rPr>
          <w:t>Τροποποίηση 4486/2017, Άρθρο 97</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2" w:history="1">
        <w:r>
          <w:rPr>
            <w:rStyle w:val="Hyperlink"/>
            <w:b/>
            <w:bCs/>
            <w:color w:val="0000EE"/>
            <w:u w:color="0000EE"/>
            <w:lang w:val="el" w:eastAsia="el"/>
          </w:rPr>
          <w:t>Τροποποίηση 4208/2013, Άρθρο 2</w:t>
        </w:r>
      </w:hyperlink>
      <w:r>
        <w:rPr>
          <w:b/>
          <w:bCs/>
          <w:lang w:val="el" w:eastAsia="el"/>
        </w:rPr>
        <w:t xml:space="preserve">; </w:t>
      </w:r>
      <w:hyperlink r:id="rId469" w:anchor="art_2" w:history="1">
        <w:r>
          <w:rPr>
            <w:rStyle w:val="Hyperlink"/>
            <w:b/>
            <w:bCs/>
            <w:color w:val="0000EE"/>
            <w:u w:color="0000EE"/>
            <w:lang w:val="el" w:eastAsia="el"/>
          </w:rPr>
          <w:t>Προσθήκη 4208/2013, Άρθρο 2</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51" w:history="1">
        <w:r>
          <w:rPr>
            <w:rStyle w:val="Hyperlink"/>
            <w:b/>
            <w:bCs/>
            <w:color w:val="0000EE"/>
            <w:u w:color="0000EE"/>
            <w:lang w:val="el" w:eastAsia="el"/>
          </w:rPr>
          <w:t>Τροποποίηση 4690/2020, Άρθρο 51</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77" w:history="1">
        <w:r>
          <w:rPr>
            <w:rStyle w:val="Hyperlink"/>
            <w:b/>
            <w:bCs/>
            <w:color w:val="0000EE"/>
            <w:u w:color="0000EE"/>
            <w:lang w:val="el" w:eastAsia="el"/>
          </w:rPr>
          <w:t>Προσθήκη 4509/2017, Άρθρο 77</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2" w:history="1">
        <w:r>
          <w:rPr>
            <w:rStyle w:val="Hyperlink"/>
            <w:b/>
            <w:bCs/>
            <w:color w:val="0000EE"/>
            <w:u w:color="0000EE"/>
            <w:lang w:val="el" w:eastAsia="el"/>
          </w:rPr>
          <w:t>Προσθήκη 4564/2018, Άρθρο 2</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473"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474" w:anchor="art_110" w:history="1">
        <w:r>
          <w:rPr>
            <w:rStyle w:val="Hyperlink"/>
            <w:b/>
            <w:bCs/>
            <w:color w:val="0000EE"/>
            <w:u w:color="0000EE"/>
            <w:lang w:val="el" w:eastAsia="el"/>
          </w:rPr>
          <w:t>Τροποποίηση 4764/2020, Άρθρο 110</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383962')" TargetMode="External" /><Relationship Id="rId11" Type="http://schemas.openxmlformats.org/officeDocument/2006/relationships/hyperlink" Target="javascript:open_links('609108,711')" TargetMode="External" /><Relationship Id="rId12" Type="http://schemas.openxmlformats.org/officeDocument/2006/relationships/hyperlink" Target="javascript:open_links('609108,173521')" TargetMode="External" /><Relationship Id="rId13" Type="http://schemas.openxmlformats.org/officeDocument/2006/relationships/hyperlink" Target="javascript:open_links('609108,438816')" TargetMode="External" /><Relationship Id="rId14" Type="http://schemas.openxmlformats.org/officeDocument/2006/relationships/hyperlink" Target="javascript:open_article_links(77131,'14')" TargetMode="External" /><Relationship Id="rId15" Type="http://schemas.openxmlformats.org/officeDocument/2006/relationships/hyperlink" Target="javascript:open_links('609108,77131')"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21488,'3')" TargetMode="External" /><Relationship Id="rId6" Type="http://schemas.openxmlformats.org/officeDocument/2006/relationships/hyperlink" Target="javascript:open_links('759302,621488')" TargetMode="External" /><Relationship Id="rId7" Type="http://schemas.openxmlformats.org/officeDocument/2006/relationships/hyperlink" Target="javascript:open_links('787348,634826')" TargetMode="External" /><Relationship Id="rId8" Type="http://schemas.openxmlformats.org/officeDocument/2006/relationships/hyperlink" Target="javascript:open_fek_links('%CE%91','251','2014')" TargetMode="External" /><Relationship Id="rId9" Type="http://schemas.openxmlformats.org/officeDocument/2006/relationships/hyperlink" Target="javascript:open_links('609108,583593')"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20/07/23/4710" TargetMode="External" /><Relationship Id="rId101" Type="http://schemas.openxmlformats.org/officeDocument/2006/relationships/hyperlink" Target="http://data.aade.gr/eli/pri/law/2019/12/12/4646" TargetMode="External" /><Relationship Id="rId102" Type="http://schemas.openxmlformats.org/officeDocument/2006/relationships/hyperlink" Target="http://data.aade.gr/eli/pri/law/2019/12/12/4646" TargetMode="External" /><Relationship Id="rId103" Type="http://schemas.openxmlformats.org/officeDocument/2006/relationships/hyperlink" Target="http://data.aade.gr/eli/pri/law/2018/06/14/4549" TargetMode="External" /><Relationship Id="rId104" Type="http://schemas.openxmlformats.org/officeDocument/2006/relationships/hyperlink" Target="http://data.aade.gr/eli/pri/law/2019/12/12/4646" TargetMode="External" /><Relationship Id="rId105" Type="http://schemas.openxmlformats.org/officeDocument/2006/relationships/hyperlink" Target="http://data.aade.gr/eli/pri/law/2019/12/12/4646" TargetMode="External" /><Relationship Id="rId106" Type="http://schemas.openxmlformats.org/officeDocument/2006/relationships/hyperlink" Target="http://data.aade.gr/eli/pri/law/2019/12/12/4646" TargetMode="External" /><Relationship Id="rId107" Type="http://schemas.openxmlformats.org/officeDocument/2006/relationships/hyperlink" Target="http://data.aade.gr/eli/pri/law/2019/12/12/4646" TargetMode="External" /><Relationship Id="rId108" Type="http://schemas.openxmlformats.org/officeDocument/2006/relationships/hyperlink" Target="http://data.aade.gr/eli/pri/law/2020/07/23/4710" TargetMode="External" /><Relationship Id="rId109" Type="http://schemas.openxmlformats.org/officeDocument/2006/relationships/hyperlink" Target="http://data.aade.gr/eli/pri/law/2019/12/12/4646" TargetMode="External" /><Relationship Id="rId11" Type="http://schemas.openxmlformats.org/officeDocument/2006/relationships/hyperlink" Target="http://data.aade.gr/eli/pri/law/2020/07/31/4714" TargetMode="External" /><Relationship Id="rId110" Type="http://schemas.openxmlformats.org/officeDocument/2006/relationships/hyperlink" Target="http://data.aade.gr/eli/pri/law/2019/12/12/4646" TargetMode="External" /><Relationship Id="rId111" Type="http://schemas.openxmlformats.org/officeDocument/2006/relationships/hyperlink" Target="http://data.aade.gr/eli/pri/law/2018/06/14/4549" TargetMode="External" /><Relationship Id="rId112" Type="http://schemas.openxmlformats.org/officeDocument/2006/relationships/hyperlink" Target="http://data.aade.gr/eli/pri/law/2020/07/23/4710" TargetMode="External" /><Relationship Id="rId113" Type="http://schemas.openxmlformats.org/officeDocument/2006/relationships/hyperlink" Target="http://data.aade.gr/eli/pri/law/2019/12/12/4646" TargetMode="External" /><Relationship Id="rId114" Type="http://schemas.openxmlformats.org/officeDocument/2006/relationships/hyperlink" Target="http://data.aade.gr/eli/pri/law/2019/12/12/4646" TargetMode="External" /><Relationship Id="rId115" Type="http://schemas.openxmlformats.org/officeDocument/2006/relationships/hyperlink" Target="http://data.aade.gr/eli/pri/law/2020/07/23/4710" TargetMode="External" /><Relationship Id="rId116" Type="http://schemas.openxmlformats.org/officeDocument/2006/relationships/hyperlink" Target="http://data.aade.gr/eli/pri/law/2019/12/12/4646" TargetMode="External" /><Relationship Id="rId117" Type="http://schemas.openxmlformats.org/officeDocument/2006/relationships/hyperlink" Target="http://data.aade.gr/eli/pri/law/2019/12/12/4646" TargetMode="External" /><Relationship Id="rId118" Type="http://schemas.openxmlformats.org/officeDocument/2006/relationships/hyperlink" Target="http://data.aade.gr/eli/pri/law/2020/07/23/4710" TargetMode="External" /><Relationship Id="rId119" Type="http://schemas.openxmlformats.org/officeDocument/2006/relationships/hyperlink" Target="http://data.aade.gr/eli/pri/law/2019/12/12/4646" TargetMode="External" /><Relationship Id="rId12" Type="http://schemas.openxmlformats.org/officeDocument/2006/relationships/hyperlink" Target="http://data.aade.gr/eli/pri/law/2020/12/04/4758" TargetMode="External" /><Relationship Id="rId120" Type="http://schemas.openxmlformats.org/officeDocument/2006/relationships/hyperlink" Target="http://data.aade.gr/eli/pri/law/2019/12/12/4646" TargetMode="External" /><Relationship Id="rId121" Type="http://schemas.openxmlformats.org/officeDocument/2006/relationships/hyperlink" Target="http://data.aade.gr/eli/pri/law/2020/07/23/4710" TargetMode="External" /><Relationship Id="rId122" Type="http://schemas.openxmlformats.org/officeDocument/2006/relationships/hyperlink" Target="http://data.aade.gr/eli/pri/law/2019/12/12/4646" TargetMode="External" /><Relationship Id="rId123" Type="http://schemas.openxmlformats.org/officeDocument/2006/relationships/hyperlink" Target="http://data.aade.gr/eli/pri/law/2019/12/12/4646" TargetMode="External" /><Relationship Id="rId124" Type="http://schemas.openxmlformats.org/officeDocument/2006/relationships/hyperlink" Target="http://data.aade.gr/eli/pri/law/2020/07/23/4710" TargetMode="External" /><Relationship Id="rId125" Type="http://schemas.openxmlformats.org/officeDocument/2006/relationships/hyperlink" Target="http://data.aade.gr/eli/pri/law/2019/12/12/4646" TargetMode="External" /><Relationship Id="rId126" Type="http://schemas.openxmlformats.org/officeDocument/2006/relationships/hyperlink" Target="http://data.aade.gr/eli/pri/law/2019/12/12/4646" TargetMode="External" /><Relationship Id="rId127" Type="http://schemas.openxmlformats.org/officeDocument/2006/relationships/hyperlink" Target="http://data.aade.gr/eli/pri/law/2020/07/23/4710" TargetMode="External" /><Relationship Id="rId128" Type="http://schemas.openxmlformats.org/officeDocument/2006/relationships/hyperlink" Target="http://data.aade.gr/eli/pri/law/2019/12/12/4646" TargetMode="External" /><Relationship Id="rId129" Type="http://schemas.openxmlformats.org/officeDocument/2006/relationships/hyperlink" Target="http://data.aade.gr/eli/pri/law/2019/12/12/4646"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19/12/12/4646" TargetMode="External" /><Relationship Id="rId131" Type="http://schemas.openxmlformats.org/officeDocument/2006/relationships/hyperlink" Target="http://data.aade.gr/eli/pri/law/2019/12/12/4646" TargetMode="External" /><Relationship Id="rId132" Type="http://schemas.openxmlformats.org/officeDocument/2006/relationships/hyperlink" Target="http://data.aade.gr/eli/pri/law/2016/05/11/4386" TargetMode="External" /><Relationship Id="rId133" Type="http://schemas.openxmlformats.org/officeDocument/2006/relationships/hyperlink" Target="http://data.aade.gr/eli/pri/law/2019/12/12/4646" TargetMode="External" /><Relationship Id="rId134" Type="http://schemas.openxmlformats.org/officeDocument/2006/relationships/hyperlink" Target="http://data.aade.gr/eli/pri/law/2020/07/23/4710"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21/02/05/4772"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8/06/14/4549" TargetMode="External" /><Relationship Id="rId142" Type="http://schemas.openxmlformats.org/officeDocument/2006/relationships/hyperlink" Target="http://data.aade.gr/eli/pri/law/2018/06/14/4549" TargetMode="External" /><Relationship Id="rId143" Type="http://schemas.openxmlformats.org/officeDocument/2006/relationships/hyperlink" Target="http://data.aade.gr/eli/pri/law/2018/06/14/4549" TargetMode="External" /><Relationship Id="rId144" Type="http://schemas.openxmlformats.org/officeDocument/2006/relationships/hyperlink" Target="http://data.aade.gr/eli/pri/law/2014/12/24/4315"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9/12/12/4646" TargetMode="External" /><Relationship Id="rId147" Type="http://schemas.openxmlformats.org/officeDocument/2006/relationships/hyperlink" Target="http://data.aade.gr/eli/pri/law/2019/05/07/4610"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4/11/15/4307" TargetMode="External" /><Relationship Id="rId15" Type="http://schemas.openxmlformats.org/officeDocument/2006/relationships/hyperlink" Target="http://data.aade.gr/eli/pri/law/2018/12/18/4583" TargetMode="External" /><Relationship Id="rId150" Type="http://schemas.openxmlformats.org/officeDocument/2006/relationships/hyperlink" Target="http://data.aade.gr/eli/pri/law/2017/04/04/4465" TargetMode="External" /><Relationship Id="rId151" Type="http://schemas.openxmlformats.org/officeDocument/2006/relationships/hyperlink" Target="http://data.aade.gr/eli/pri/law/2020/06/30/4701" TargetMode="External" /><Relationship Id="rId152" Type="http://schemas.openxmlformats.org/officeDocument/2006/relationships/hyperlink" Target="http://data.aade.gr/eli/pri/law/2016/12/22/4446" TargetMode="External" /><Relationship Id="rId153" Type="http://schemas.openxmlformats.org/officeDocument/2006/relationships/hyperlink" Target="http://data.aade.gr/eli/pri/law/2015/11/01/4340" TargetMode="External" /><Relationship Id="rId154" Type="http://schemas.openxmlformats.org/officeDocument/2006/relationships/hyperlink" Target="http://data.aade.gr/eli/pri/law/2020/09/15/4722" TargetMode="External" /><Relationship Id="rId155" Type="http://schemas.openxmlformats.org/officeDocument/2006/relationships/hyperlink" Target="http://data.aade.gr/eli/pri/law/2018/06/14/4549" TargetMode="External" /><Relationship Id="rId156" Type="http://schemas.openxmlformats.org/officeDocument/2006/relationships/hyperlink" Target="http://data.aade.gr/eli/pri/law/2017/05/19/4472" TargetMode="External" /><Relationship Id="rId157" Type="http://schemas.openxmlformats.org/officeDocument/2006/relationships/hyperlink" Target="http://data.aade.gr/eli/pri/law/2017/08/01/4484"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6/05/12/4387" TargetMode="External" /><Relationship Id="rId161" Type="http://schemas.openxmlformats.org/officeDocument/2006/relationships/hyperlink" Target="http://data.aade.gr/eli/pri/law/2016/05/12/4387" TargetMode="External" /><Relationship Id="rId162" Type="http://schemas.openxmlformats.org/officeDocument/2006/relationships/hyperlink" Target="http://data.aade.gr/eli/pri/law/2016/05/12/4387" TargetMode="External" /><Relationship Id="rId163" Type="http://schemas.openxmlformats.org/officeDocument/2006/relationships/hyperlink" Target="http://data.aade.gr/eli/pri/law/2016/05/12/4387" TargetMode="External" /><Relationship Id="rId164" Type="http://schemas.openxmlformats.org/officeDocument/2006/relationships/hyperlink" Target="http://data.aade.gr/eli/pri/law/2017/06/07/4474" TargetMode="External" /><Relationship Id="rId165" Type="http://schemas.openxmlformats.org/officeDocument/2006/relationships/hyperlink" Target="http://data.aade.gr/eli/pri/law/2014/04/07/4254" TargetMode="External" /><Relationship Id="rId166" Type="http://schemas.openxmlformats.org/officeDocument/2006/relationships/hyperlink" Target="http://data.aade.gr/eli/pri/law/2018/06/14/4549" TargetMode="External" /><Relationship Id="rId167" Type="http://schemas.openxmlformats.org/officeDocument/2006/relationships/hyperlink" Target="http://data.aade.gr/eli/pri/law/2014/04/07/4254" TargetMode="External" /><Relationship Id="rId168" Type="http://schemas.openxmlformats.org/officeDocument/2006/relationships/hyperlink" Target="http://data.aade.gr/eli/pri/law/2015/06/16/4330" TargetMode="External" /><Relationship Id="rId169" Type="http://schemas.openxmlformats.org/officeDocument/2006/relationships/hyperlink" Target="http://data.aade.gr/eli/pri/law/2020/12/04/4758" TargetMode="External" /><Relationship Id="rId17" Type="http://schemas.openxmlformats.org/officeDocument/2006/relationships/hyperlink" Target="http://data.aade.gr/eli/pri/law/2018/12/18/4583" TargetMode="External" /><Relationship Id="rId170" Type="http://schemas.openxmlformats.org/officeDocument/2006/relationships/hyperlink" Target="http://data.aade.gr/eli/pri/law/2015/03/21/4321" TargetMode="External" /><Relationship Id="rId171" Type="http://schemas.openxmlformats.org/officeDocument/2006/relationships/hyperlink" Target="http://data.aade.gr/eli/pri/law/2015/03/21/4321" TargetMode="External" /><Relationship Id="rId172" Type="http://schemas.openxmlformats.org/officeDocument/2006/relationships/hyperlink" Target="http://data.aade.gr/eli/pri/law/2015/06/16/4330" TargetMode="External" /><Relationship Id="rId173" Type="http://schemas.openxmlformats.org/officeDocument/2006/relationships/hyperlink" Target="http://data.aade.gr/eli/pri/law/2015/06/16/4330"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8/12/18/4583" TargetMode="External" /><Relationship Id="rId176" Type="http://schemas.openxmlformats.org/officeDocument/2006/relationships/hyperlink" Target="http://data.aade.gr/eli/pri/law/2018/12/18/4583" TargetMode="External" /><Relationship Id="rId177" Type="http://schemas.openxmlformats.org/officeDocument/2006/relationships/hyperlink" Target="http://data.aade.gr/eli/pri/law/2019/12/12/4646"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4/04/07/4254"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9/12/12/4646" TargetMode="External" /><Relationship Id="rId182" Type="http://schemas.openxmlformats.org/officeDocument/2006/relationships/hyperlink" Target="http://data.aade.gr/eli/pri/law/2015/05/14/4328" TargetMode="External" /><Relationship Id="rId183" Type="http://schemas.openxmlformats.org/officeDocument/2006/relationships/hyperlink" Target="http://data.aade.gr/eli/pri/law/2015/06/16/4330"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5/11/20/4346" TargetMode="External" /><Relationship Id="rId186" Type="http://schemas.openxmlformats.org/officeDocument/2006/relationships/hyperlink" Target="http://data.aade.gr/eli/pri/law/2018/06/14/4549" TargetMode="External" /><Relationship Id="rId187" Type="http://schemas.openxmlformats.org/officeDocument/2006/relationships/hyperlink" Target="http://data.aade.gr/eli/pri/law/2020/07/31/4714" TargetMode="External" /><Relationship Id="rId188" Type="http://schemas.openxmlformats.org/officeDocument/2006/relationships/hyperlink" Target="http://data.aade.gr/eli/pri/law/2017/05/19/4472" TargetMode="External" /><Relationship Id="rId189" Type="http://schemas.openxmlformats.org/officeDocument/2006/relationships/hyperlink" Target="http://data.aade.gr/eli/pri/law/2019/12/12/4646" TargetMode="External" /><Relationship Id="rId19" Type="http://schemas.openxmlformats.org/officeDocument/2006/relationships/hyperlink" Target="http://data.aade.gr/eli/pri/law/2016/10/31/4430" TargetMode="External" /><Relationship Id="rId190" Type="http://schemas.openxmlformats.org/officeDocument/2006/relationships/hyperlink" Target="http://data.aade.gr/eli/pri/law/2016/05/12/4387" TargetMode="External" /><Relationship Id="rId191" Type="http://schemas.openxmlformats.org/officeDocument/2006/relationships/hyperlink" Target="http://data.aade.gr/eli/pri/law/2019/03/14/4603" TargetMode="External" /><Relationship Id="rId192" Type="http://schemas.openxmlformats.org/officeDocument/2006/relationships/hyperlink" Target="http://data.aade.gr/eli/pri/law/2019/12/12/4646" TargetMode="External" /><Relationship Id="rId193" Type="http://schemas.openxmlformats.org/officeDocument/2006/relationships/hyperlink" Target="http://data.aade.gr/eli/pri/law/2019/12/12/4646" TargetMode="External" /><Relationship Id="rId194" Type="http://schemas.openxmlformats.org/officeDocument/2006/relationships/hyperlink" Target="http://data.aade.gr/eli/pri/law/2014/04/07/4254"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4/04/07/4254" TargetMode="External" /><Relationship Id="rId198" Type="http://schemas.openxmlformats.org/officeDocument/2006/relationships/hyperlink" Target="http://data.aade.gr/eli/pri/law/2014/04/07/4254" TargetMode="External" /><Relationship Id="rId199" Type="http://schemas.openxmlformats.org/officeDocument/2006/relationships/hyperlink" Target="http://data.aade.gr/eli/pri/law/2014/04/07/4254"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6/05/27/4389" TargetMode="External" /><Relationship Id="rId200" Type="http://schemas.openxmlformats.org/officeDocument/2006/relationships/hyperlink" Target="http://data.aade.gr/eli/pri/law/2014/04/07/4254" TargetMode="External" /><Relationship Id="rId201" Type="http://schemas.openxmlformats.org/officeDocument/2006/relationships/hyperlink" Target="http://data.aade.gr/eli/pri/law/2014/04/07/4254" TargetMode="External" /><Relationship Id="rId202" Type="http://schemas.openxmlformats.org/officeDocument/2006/relationships/hyperlink" Target="http://data.aade.gr/eli/pri/law/2014/04/07/4254"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6/12/22/4446" TargetMode="External" /><Relationship Id="rId210" Type="http://schemas.openxmlformats.org/officeDocument/2006/relationships/hyperlink" Target="http://data.aade.gr/eli/pri/law/2014/04/07/4254"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4/12/24/4316" TargetMode="External" /><Relationship Id="rId213" Type="http://schemas.openxmlformats.org/officeDocument/2006/relationships/hyperlink" Target="http://data.aade.gr/eli/pri/law/2014/12/24/4316" TargetMode="External" /><Relationship Id="rId214" Type="http://schemas.openxmlformats.org/officeDocument/2006/relationships/hyperlink" Target="http://data.aade.gr/eli/pri/law/2014/12/24/4316" TargetMode="External" /><Relationship Id="rId215" Type="http://schemas.openxmlformats.org/officeDocument/2006/relationships/hyperlink" Target="http://data.aade.gr/eli/pri/law/2014/12/24/4316" TargetMode="External" /><Relationship Id="rId216" Type="http://schemas.openxmlformats.org/officeDocument/2006/relationships/hyperlink" Target="http://data.aade.gr/eli/pri/law/2014/12/24/4316" TargetMode="External" /><Relationship Id="rId217" Type="http://schemas.openxmlformats.org/officeDocument/2006/relationships/hyperlink" Target="http://data.aade.gr/eli/pri/law/2014/12/24/4316" TargetMode="External" /><Relationship Id="rId218" Type="http://schemas.openxmlformats.org/officeDocument/2006/relationships/hyperlink" Target="http://data.aade.gr/eli/pri/law/2014/12/24/4316" TargetMode="External" /><Relationship Id="rId219" Type="http://schemas.openxmlformats.org/officeDocument/2006/relationships/hyperlink" Target="http://data.aade.gr/eli/pri/law/2014/12/24/4316"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8/06/14/4549" TargetMode="External" /><Relationship Id="rId221" Type="http://schemas.openxmlformats.org/officeDocument/2006/relationships/hyperlink" Target="http://data.aade.gr/eli/pri/law/2019/12/12/4646" TargetMode="External" /><Relationship Id="rId222" Type="http://schemas.openxmlformats.org/officeDocument/2006/relationships/hyperlink" Target="http://data.aade.gr/eli/pri/law/2020/07/31/4714" TargetMode="External" /><Relationship Id="rId223" Type="http://schemas.openxmlformats.org/officeDocument/2006/relationships/hyperlink" Target="http://data.aade.gr/eli/pri/law/2016/05/12/4387" TargetMode="External" /><Relationship Id="rId224" Type="http://schemas.openxmlformats.org/officeDocument/2006/relationships/hyperlink" Target="http://data.aade.gr/eli/pri/law/2019/12/12/4646" TargetMode="External" /><Relationship Id="rId225" Type="http://schemas.openxmlformats.org/officeDocument/2006/relationships/hyperlink" Target="http://data.aade.gr/eli/pri/law/2018/05/15/4537" TargetMode="External" /><Relationship Id="rId226" Type="http://schemas.openxmlformats.org/officeDocument/2006/relationships/hyperlink" Target="http://data.aade.gr/eli/pri/law/2018/06/14/4549" TargetMode="External" /><Relationship Id="rId227" Type="http://schemas.openxmlformats.org/officeDocument/2006/relationships/hyperlink" Target="http://data.aade.gr/eli/pri/law/2019/12/12/4646" TargetMode="External" /><Relationship Id="rId228" Type="http://schemas.openxmlformats.org/officeDocument/2006/relationships/hyperlink" Target="http://data.aade.gr/eli/pri/law/2019/12/12/4646" TargetMode="External" /><Relationship Id="rId229" Type="http://schemas.openxmlformats.org/officeDocument/2006/relationships/hyperlink" Target="http://data.aade.gr/eli/pri/law/2020/12/04/4758"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19/12/12/4646" TargetMode="External" /><Relationship Id="rId231" Type="http://schemas.openxmlformats.org/officeDocument/2006/relationships/hyperlink" Target="http://data.aade.gr/eli/pri/law/2020/12/04/4758"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4/04/07/4254"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6/12/22/4446"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4/04/07/4254" TargetMode="External" /><Relationship Id="rId239" Type="http://schemas.openxmlformats.org/officeDocument/2006/relationships/hyperlink" Target="http://data.aade.gr/eli/pri/law/2019/12/12/4646" TargetMode="External" /><Relationship Id="rId24" Type="http://schemas.openxmlformats.org/officeDocument/2006/relationships/hyperlink" Target="http://data.aade.gr/eli/pri/law/2018/05/15/4537" TargetMode="External" /><Relationship Id="rId240" Type="http://schemas.openxmlformats.org/officeDocument/2006/relationships/hyperlink" Target="http://data.aade.gr/eli/pri/law/2014/04/07/4254" TargetMode="External" /><Relationship Id="rId241" Type="http://schemas.openxmlformats.org/officeDocument/2006/relationships/hyperlink" Target="http://data.aade.gr/eli/pri/law/2017/07/31/4483" TargetMode="External" /><Relationship Id="rId242" Type="http://schemas.openxmlformats.org/officeDocument/2006/relationships/hyperlink" Target="http://data.aade.gr/eli/pri/law/2019/12/12/4646" TargetMode="External" /><Relationship Id="rId243" Type="http://schemas.openxmlformats.org/officeDocument/2006/relationships/hyperlink" Target="http://data.aade.gr/eli/pri/law/2014/04/07/4254" TargetMode="External" /><Relationship Id="rId244" Type="http://schemas.openxmlformats.org/officeDocument/2006/relationships/hyperlink" Target="http://data.aade.gr/eli/pri/law/2016/04/05/4378"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9/12/12/4646"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9/12/12/4646"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9/04/24/4607"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6/12/22/4446" TargetMode="External" /><Relationship Id="rId258" Type="http://schemas.openxmlformats.org/officeDocument/2006/relationships/hyperlink" Target="http://data.aade.gr/eli/pri/law/2017/04/04/4465" TargetMode="External" /><Relationship Id="rId259" Type="http://schemas.openxmlformats.org/officeDocument/2006/relationships/hyperlink" Target="http://data.aade.gr/eli/pri/law/2017/04/04/4465" TargetMode="External" /><Relationship Id="rId26" Type="http://schemas.openxmlformats.org/officeDocument/2006/relationships/hyperlink" Target="http://data.aade.gr/eli/pri/law/2020/07/23/4710" TargetMode="External" /><Relationship Id="rId260" Type="http://schemas.openxmlformats.org/officeDocument/2006/relationships/hyperlink" Target="http://data.aade.gr/eli/pri/law/2013/12/31/4223" TargetMode="External" /><Relationship Id="rId261" Type="http://schemas.openxmlformats.org/officeDocument/2006/relationships/hyperlink" Target="http://data.aade.gr/eli/pri/law/2013/12/31/4223" TargetMode="External" /><Relationship Id="rId262" Type="http://schemas.openxmlformats.org/officeDocument/2006/relationships/hyperlink" Target="http://data.aade.gr/eli/pri/law/2017/04/04/4465"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16/11/28/4438"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20/07/31/4714" TargetMode="External" /><Relationship Id="rId270" Type="http://schemas.openxmlformats.org/officeDocument/2006/relationships/hyperlink" Target="http://data.aade.gr/eli/pri/law/2016/11/28/4438"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6/11/28/4438" TargetMode="External" /><Relationship Id="rId276" Type="http://schemas.openxmlformats.org/officeDocument/2006/relationships/hyperlink" Target="http://data.aade.gr/eli/pri/law/2016/05/12/4387" TargetMode="External" /><Relationship Id="rId277" Type="http://schemas.openxmlformats.org/officeDocument/2006/relationships/hyperlink" Target="http://data.aade.gr/eli/pri/law/2019/12/12/4646" TargetMode="External" /><Relationship Id="rId278" Type="http://schemas.openxmlformats.org/officeDocument/2006/relationships/hyperlink" Target="http://data.aade.gr/eli/pri/law/2019/12/12/4646" TargetMode="External" /><Relationship Id="rId279" Type="http://schemas.openxmlformats.org/officeDocument/2006/relationships/hyperlink" Target="http://data.aade.gr/eli/pri/law/2013/12/31/4223" TargetMode="External" /><Relationship Id="rId28" Type="http://schemas.openxmlformats.org/officeDocument/2006/relationships/hyperlink" Target="http://data.aade.gr/eli/pri/law/2020/12/23/4764" TargetMode="External" /><Relationship Id="rId280" Type="http://schemas.openxmlformats.org/officeDocument/2006/relationships/hyperlink" Target="http://data.aade.gr/eli/pri/law/2013/12/31/4223" TargetMode="External" /><Relationship Id="rId281" Type="http://schemas.openxmlformats.org/officeDocument/2006/relationships/hyperlink" Target="http://data.aade.gr/eli/pri/law/2013/12/31/4223" TargetMode="External" /><Relationship Id="rId282" Type="http://schemas.openxmlformats.org/officeDocument/2006/relationships/hyperlink" Target="http://data.aade.gr/eli/pri/law/2016/12/22/4446" TargetMode="External" /><Relationship Id="rId283" Type="http://schemas.openxmlformats.org/officeDocument/2006/relationships/hyperlink" Target="http://data.aade.gr/eli/pri/law/2014/04/07/4254" TargetMode="External" /><Relationship Id="rId284" Type="http://schemas.openxmlformats.org/officeDocument/2006/relationships/hyperlink" Target="http://data.aade.gr/eli/pri/law/2020/05/30/4690" TargetMode="External" /><Relationship Id="rId285" Type="http://schemas.openxmlformats.org/officeDocument/2006/relationships/hyperlink" Target="http://data.aade.gr/eli/pri/law/2017/05/19/4472" TargetMode="External" /><Relationship Id="rId286" Type="http://schemas.openxmlformats.org/officeDocument/2006/relationships/hyperlink" Target="http://data.aade.gr/eli/pri/law/2018/06/14/4549" TargetMode="External" /><Relationship Id="rId287" Type="http://schemas.openxmlformats.org/officeDocument/2006/relationships/hyperlink" Target="http://data.aade.gr/eli/pri/law/2018/12/11/4582" TargetMode="External" /><Relationship Id="rId288" Type="http://schemas.openxmlformats.org/officeDocument/2006/relationships/hyperlink" Target="http://data.aade.gr/eli/pri/law/2019/04/24/4607" TargetMode="External" /><Relationship Id="rId289" Type="http://schemas.openxmlformats.org/officeDocument/2006/relationships/hyperlink" Target="http://data.aade.gr/eli/pri/law/2019/12/12/4646" TargetMode="External" /><Relationship Id="rId29" Type="http://schemas.openxmlformats.org/officeDocument/2006/relationships/hyperlink" Target="http://data.aade.gr/eli/pri/law/2014/04/07/4254" TargetMode="External" /><Relationship Id="rId290" Type="http://schemas.openxmlformats.org/officeDocument/2006/relationships/hyperlink" Target="http://data.aade.gr/eli/pri/law/2013/12/31/4223" TargetMode="External" /><Relationship Id="rId291" Type="http://schemas.openxmlformats.org/officeDocument/2006/relationships/hyperlink" Target="http://data.aade.gr/eli/pri/law/2016/12/22/4446" TargetMode="External" /><Relationship Id="rId292" Type="http://schemas.openxmlformats.org/officeDocument/2006/relationships/hyperlink" Target="http://data.aade.gr/eli/pri/law/2014/09/10/4283" TargetMode="External" /><Relationship Id="rId293" Type="http://schemas.openxmlformats.org/officeDocument/2006/relationships/hyperlink" Target="http://data.aade.gr/eli/pri/law/2016/12/22/4446" TargetMode="External" /><Relationship Id="rId294" Type="http://schemas.openxmlformats.org/officeDocument/2006/relationships/hyperlink" Target="http://data.aade.gr/eli/pri/law/2019/12/12/4646" TargetMode="External" /><Relationship Id="rId295" Type="http://schemas.openxmlformats.org/officeDocument/2006/relationships/hyperlink" Target="http://data.aade.gr/eli/pri/law/2019/12/12/4646" TargetMode="External" /><Relationship Id="rId296" Type="http://schemas.openxmlformats.org/officeDocument/2006/relationships/hyperlink" Target="http://data.aade.gr/eli/pri/law/2014/04/07/4254" TargetMode="External" /><Relationship Id="rId297" Type="http://schemas.openxmlformats.org/officeDocument/2006/relationships/hyperlink" Target="http://data.aade.gr/eli/pri/law/2017/06/07/4474" TargetMode="External" /><Relationship Id="rId298" Type="http://schemas.openxmlformats.org/officeDocument/2006/relationships/hyperlink" Target="http://data.aade.gr/eli/pri/law/2013/12/31/4223" TargetMode="External" /><Relationship Id="rId299" Type="http://schemas.openxmlformats.org/officeDocument/2006/relationships/hyperlink" Target="http://data.aade.gr/eli/pri/law/2017/06/07/4474"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4/04/07/4254" TargetMode="External" /><Relationship Id="rId300" Type="http://schemas.openxmlformats.org/officeDocument/2006/relationships/hyperlink" Target="http://data.aade.gr/eli/pri/law/2013/12/31/4223" TargetMode="External" /><Relationship Id="rId301" Type="http://schemas.openxmlformats.org/officeDocument/2006/relationships/hyperlink" Target="http://data.aade.gr/eli/pri/law/2014/04/07/4254" TargetMode="External" /><Relationship Id="rId302" Type="http://schemas.openxmlformats.org/officeDocument/2006/relationships/hyperlink" Target="http://data.aade.gr/eli/pri/law/2018/06/14/4549"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8/06/14/4549" TargetMode="External" /><Relationship Id="rId306" Type="http://schemas.openxmlformats.org/officeDocument/2006/relationships/hyperlink" Target="http://data.aade.gr/eli/pri/law/2019/12/12/4646" TargetMode="External" /><Relationship Id="rId307" Type="http://schemas.openxmlformats.org/officeDocument/2006/relationships/hyperlink" Target="http://data.aade.gr/eli/pri/law/2014/04/07/4254" TargetMode="External" /><Relationship Id="rId308" Type="http://schemas.openxmlformats.org/officeDocument/2006/relationships/hyperlink" Target="http://data.aade.gr/eli/pri/law/2014/04/07/4254" TargetMode="External" /><Relationship Id="rId309" Type="http://schemas.openxmlformats.org/officeDocument/2006/relationships/hyperlink" Target="http://data.aade.gr/eli/pri/law/2016/05/12/4387" TargetMode="External" /><Relationship Id="rId31" Type="http://schemas.openxmlformats.org/officeDocument/2006/relationships/hyperlink" Target="http://data.aade.gr/eli/pri/law/2018/10/11/4569" TargetMode="External" /><Relationship Id="rId310" Type="http://schemas.openxmlformats.org/officeDocument/2006/relationships/hyperlink" Target="http://data.aade.gr/eli/pri/law/2016/08/03/4410" TargetMode="External" /><Relationship Id="rId311" Type="http://schemas.openxmlformats.org/officeDocument/2006/relationships/hyperlink" Target="http://data.aade.gr/eli/pri/law/2019/03/14/4603" TargetMode="External" /><Relationship Id="rId312" Type="http://schemas.openxmlformats.org/officeDocument/2006/relationships/hyperlink" Target="http://data.aade.gr/eli/pri/law/2019/12/12/4646" TargetMode="External" /><Relationship Id="rId313" Type="http://schemas.openxmlformats.org/officeDocument/2006/relationships/hyperlink" Target="http://data.aade.gr/eli/pri/law/2019/12/12/4646" TargetMode="External" /><Relationship Id="rId314" Type="http://schemas.openxmlformats.org/officeDocument/2006/relationships/hyperlink" Target="http://data.aade.gr/eli/pri/law/2013/12/31/4223"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3/12/31/4223" TargetMode="External" /><Relationship Id="rId317" Type="http://schemas.openxmlformats.org/officeDocument/2006/relationships/hyperlink" Target="http://data.aade.gr/eli/pri/law/2019/12/12/4646" TargetMode="External" /><Relationship Id="rId318" Type="http://schemas.openxmlformats.org/officeDocument/2006/relationships/hyperlink" Target="http://data.aade.gr/eli/pri/law/2018/06/14/4549" TargetMode="External" /><Relationship Id="rId319" Type="http://schemas.openxmlformats.org/officeDocument/2006/relationships/hyperlink" Target="http://data.aade.gr/eli/pri/law/2014/04/07/4254" TargetMode="External" /><Relationship Id="rId32" Type="http://schemas.openxmlformats.org/officeDocument/2006/relationships/hyperlink" Target="http://data.aade.gr/eli/pri/law/2020/12/04/4758" TargetMode="External" /><Relationship Id="rId320" Type="http://schemas.openxmlformats.org/officeDocument/2006/relationships/hyperlink" Target="http://data.aade.gr/eli/pri/law/2018/06/14/4549" TargetMode="External" /><Relationship Id="rId321" Type="http://schemas.openxmlformats.org/officeDocument/2006/relationships/hyperlink" Target="http://data.aade.gr/eli/pri/law/2014/04/07/4254" TargetMode="External" /><Relationship Id="rId322" Type="http://schemas.openxmlformats.org/officeDocument/2006/relationships/hyperlink" Target="http://data.aade.gr/eli/pri/law/2019/04/24/4607" TargetMode="External" /><Relationship Id="rId323" Type="http://schemas.openxmlformats.org/officeDocument/2006/relationships/hyperlink" Target="http://data.aade.gr/eli/pri/law/2020/07/31/4714" TargetMode="External" /><Relationship Id="rId324" Type="http://schemas.openxmlformats.org/officeDocument/2006/relationships/hyperlink" Target="http://data.aade.gr/eli/pri/law/2020/07/31/4714" TargetMode="External" /><Relationship Id="rId325" Type="http://schemas.openxmlformats.org/officeDocument/2006/relationships/hyperlink" Target="http://data.aade.gr/eli/pri/law/2013/12/31/4223" TargetMode="External" /><Relationship Id="rId326" Type="http://schemas.openxmlformats.org/officeDocument/2006/relationships/hyperlink" Target="http://data.aade.gr/eli/pri/law/2015/05/14/4328" TargetMode="External" /><Relationship Id="rId327" Type="http://schemas.openxmlformats.org/officeDocument/2006/relationships/hyperlink" Target="http://data.aade.gr/eli/pri/law/2015/07/02/4331" TargetMode="External" /><Relationship Id="rId328" Type="http://schemas.openxmlformats.org/officeDocument/2006/relationships/hyperlink" Target="http://data.aade.gr/eli/pri/law/2015/08/14/4336" TargetMode="External" /><Relationship Id="rId329" Type="http://schemas.openxmlformats.org/officeDocument/2006/relationships/hyperlink" Target="http://data.aade.gr/eli/pri/law/2016/04/01/4374" TargetMode="External" /><Relationship Id="rId33" Type="http://schemas.openxmlformats.org/officeDocument/2006/relationships/hyperlink" Target="http://data.aade.gr/eli/pri/law/2016/05/12/4387" TargetMode="External" /><Relationship Id="rId330" Type="http://schemas.openxmlformats.org/officeDocument/2006/relationships/hyperlink" Target="http://data.aade.gr/eli/pri/law/2016/04/01/4374" TargetMode="External" /><Relationship Id="rId331" Type="http://schemas.openxmlformats.org/officeDocument/2006/relationships/hyperlink" Target="http://data.aade.gr/eli/pri/law/2019/12/12/4646" TargetMode="External" /><Relationship Id="rId332" Type="http://schemas.openxmlformats.org/officeDocument/2006/relationships/hyperlink" Target="http://data.aade.gr/eli/pri/law/2019/12/12/4646" TargetMode="External" /><Relationship Id="rId333" Type="http://schemas.openxmlformats.org/officeDocument/2006/relationships/hyperlink" Target="http://data.aade.gr/eli/pri/law/2013/12/31/4223" TargetMode="External" /><Relationship Id="rId334" Type="http://schemas.openxmlformats.org/officeDocument/2006/relationships/hyperlink" Target="http://data.aade.gr/eli/pri/law/2013/12/31/4223" TargetMode="External" /><Relationship Id="rId335" Type="http://schemas.openxmlformats.org/officeDocument/2006/relationships/hyperlink" Target="http://data.aade.gr/eli/pri/law/2017/04/13/4467" TargetMode="External" /><Relationship Id="rId336" Type="http://schemas.openxmlformats.org/officeDocument/2006/relationships/hyperlink" Target="http://data.aade.gr/eli/pri/law/2018/12/18/4583" TargetMode="External" /><Relationship Id="rId337" Type="http://schemas.openxmlformats.org/officeDocument/2006/relationships/hyperlink" Target="http://data.aade.gr/eli/pri/law/2013/12/31/4223" TargetMode="External" /><Relationship Id="rId338" Type="http://schemas.openxmlformats.org/officeDocument/2006/relationships/hyperlink" Target="http://data.aade.gr/eli/pri/law/2016/08/03/4410" TargetMode="External" /><Relationship Id="rId339" Type="http://schemas.openxmlformats.org/officeDocument/2006/relationships/hyperlink" Target="http://data.aade.gr/eli/pri/law/2018/06/14/4549" TargetMode="External" /><Relationship Id="rId34" Type="http://schemas.openxmlformats.org/officeDocument/2006/relationships/hyperlink" Target="http://data.aade.gr/eli/pri/law/2018/06/14/4549" TargetMode="External" /><Relationship Id="rId340" Type="http://schemas.openxmlformats.org/officeDocument/2006/relationships/hyperlink" Target="http://data.aade.gr/eli/pri/law/2018/06/14/4549" TargetMode="External" /><Relationship Id="rId341" Type="http://schemas.openxmlformats.org/officeDocument/2006/relationships/hyperlink" Target="http://data.aade.gr/eli/pri/law/2018/12/18/4583" TargetMode="External" /><Relationship Id="rId342" Type="http://schemas.openxmlformats.org/officeDocument/2006/relationships/hyperlink" Target="http://data.aade.gr/eli/pri/law/2014/04/07/4254" TargetMode="External" /><Relationship Id="rId343" Type="http://schemas.openxmlformats.org/officeDocument/2006/relationships/hyperlink" Target="http://data.aade.gr/eli/pri/law/2013/12/31/4223" TargetMode="External" /><Relationship Id="rId344" Type="http://schemas.openxmlformats.org/officeDocument/2006/relationships/hyperlink" Target="http://data.aade.gr/eli/pri/law/2015/05/14/4328" TargetMode="External" /><Relationship Id="rId345" Type="http://schemas.openxmlformats.org/officeDocument/2006/relationships/hyperlink" Target="http://data.aade.gr/eli/pri/law/2015/05/14/4328" TargetMode="External" /><Relationship Id="rId346" Type="http://schemas.openxmlformats.org/officeDocument/2006/relationships/hyperlink" Target="http://data.aade.gr/eli/pri/law/2015/08/14/4336" TargetMode="External" /><Relationship Id="rId347" Type="http://schemas.openxmlformats.org/officeDocument/2006/relationships/hyperlink" Target="http://data.aade.gr/eli/pri/law/2013/12/31/4223" TargetMode="External" /><Relationship Id="rId348" Type="http://schemas.openxmlformats.org/officeDocument/2006/relationships/hyperlink" Target="http://data.aade.gr/eli/pri/law/2018/05/15/4537" TargetMode="External" /><Relationship Id="rId349" Type="http://schemas.openxmlformats.org/officeDocument/2006/relationships/hyperlink" Target="http://data.aade.gr/eli/pri/law/2013/12/31/4223" TargetMode="External" /><Relationship Id="rId35" Type="http://schemas.openxmlformats.org/officeDocument/2006/relationships/hyperlink" Target="http://data.aade.gr/eli/pri/law/2019/12/12/4646" TargetMode="External" /><Relationship Id="rId350" Type="http://schemas.openxmlformats.org/officeDocument/2006/relationships/hyperlink" Target="http://data.aade.gr/eli/pri/law/2017/04/13/4467" TargetMode="External" /><Relationship Id="rId351" Type="http://schemas.openxmlformats.org/officeDocument/2006/relationships/hyperlink" Target="http://data.aade.gr/eli/pri/law/2017/08/01/4484" TargetMode="External" /><Relationship Id="rId352" Type="http://schemas.openxmlformats.org/officeDocument/2006/relationships/hyperlink" Target="http://data.aade.gr/eli/pri/law/2018/06/14/4549" TargetMode="External" /><Relationship Id="rId353" Type="http://schemas.openxmlformats.org/officeDocument/2006/relationships/hyperlink" Target="http://data.aade.gr/eli/pri/law/2020/12/23/4764" TargetMode="External" /><Relationship Id="rId354" Type="http://schemas.openxmlformats.org/officeDocument/2006/relationships/hyperlink" Target="http://data.aade.gr/eli/pri/law/2014/04/07/4254" TargetMode="External" /><Relationship Id="rId355" Type="http://schemas.openxmlformats.org/officeDocument/2006/relationships/hyperlink" Target="http://data.aade.gr/eli/pri/law/2018/06/14/4549" TargetMode="External" /><Relationship Id="rId356" Type="http://schemas.openxmlformats.org/officeDocument/2006/relationships/hyperlink" Target="http://data.aade.gr/eli/pri/law/2013/12/31/4223" TargetMode="External" /><Relationship Id="rId357" Type="http://schemas.openxmlformats.org/officeDocument/2006/relationships/hyperlink" Target="http://data.aade.gr/eli/pri/law/2013/12/31/4223" TargetMode="External" /><Relationship Id="rId358" Type="http://schemas.openxmlformats.org/officeDocument/2006/relationships/hyperlink" Target="http://data.aade.gr/eli/pri/law/2020/07/29/4712" TargetMode="External" /><Relationship Id="rId359" Type="http://schemas.openxmlformats.org/officeDocument/2006/relationships/hyperlink" Target="http://data.aade.gr/eli/pri/law/2013/12/31/4223" TargetMode="External" /><Relationship Id="rId36" Type="http://schemas.openxmlformats.org/officeDocument/2006/relationships/hyperlink" Target="http://data.aade.gr/eli/pri/law/2020/12/04/4758" TargetMode="External" /><Relationship Id="rId360" Type="http://schemas.openxmlformats.org/officeDocument/2006/relationships/hyperlink" Target="http://data.aade.gr/eli/pri/law/2015/07/02/4331" TargetMode="External" /><Relationship Id="rId361" Type="http://schemas.openxmlformats.org/officeDocument/2006/relationships/hyperlink" Target="http://data.aade.gr/eli/pri/law/2015/08/14/4336" TargetMode="External" /><Relationship Id="rId362" Type="http://schemas.openxmlformats.org/officeDocument/2006/relationships/hyperlink" Target="http://data.aade.gr/eli/pri/law/2019/12/12/4646" TargetMode="External" /><Relationship Id="rId363" Type="http://schemas.openxmlformats.org/officeDocument/2006/relationships/hyperlink" Target="http://data.aade.gr/eli/pri/law/2015/08/14/4336" TargetMode="External" /><Relationship Id="rId364" Type="http://schemas.openxmlformats.org/officeDocument/2006/relationships/hyperlink" Target="http://data.aade.gr/eli/pri/law/2019/12/12/4646" TargetMode="External" /><Relationship Id="rId365" Type="http://schemas.openxmlformats.org/officeDocument/2006/relationships/hyperlink" Target="http://data.aade.gr/eli/pri/law/2019/12/12/4646" TargetMode="External" /><Relationship Id="rId366" Type="http://schemas.openxmlformats.org/officeDocument/2006/relationships/hyperlink" Target="http://data.aade.gr/eli/pri/law/2014/04/07/4254" TargetMode="External" /><Relationship Id="rId367" Type="http://schemas.openxmlformats.org/officeDocument/2006/relationships/hyperlink" Target="http://data.aade.gr/eli/pri/law/2013/12/31/4223" TargetMode="External" /><Relationship Id="rId368" Type="http://schemas.openxmlformats.org/officeDocument/2006/relationships/hyperlink" Target="http://data.aade.gr/eli/pri/law/2013/12/31/4223" TargetMode="External" /><Relationship Id="rId369" Type="http://schemas.openxmlformats.org/officeDocument/2006/relationships/hyperlink" Target="http://data.aade.gr/eli/pri/law/2018/01/17/4512" TargetMode="External" /><Relationship Id="rId37" Type="http://schemas.openxmlformats.org/officeDocument/2006/relationships/hyperlink" Target="http://data.aade.gr/eli/pri/law/2019/12/12/4646" TargetMode="External" /><Relationship Id="rId370" Type="http://schemas.openxmlformats.org/officeDocument/2006/relationships/hyperlink" Target="http://data.aade.gr/eli/pri/law/2018/01/17/4512" TargetMode="External" /><Relationship Id="rId371" Type="http://schemas.openxmlformats.org/officeDocument/2006/relationships/hyperlink" Target="http://data.aade.gr/eli/pri/law/2019/12/12/4646" TargetMode="External" /><Relationship Id="rId372" Type="http://schemas.openxmlformats.org/officeDocument/2006/relationships/hyperlink" Target="http://data.aade.gr/eli/pri/law/2019/12/12/4646" TargetMode="External" /><Relationship Id="rId373" Type="http://schemas.openxmlformats.org/officeDocument/2006/relationships/hyperlink" Target="http://data.aade.gr/eli/pri/law/2019/12/12/4646" TargetMode="External" /><Relationship Id="rId374" Type="http://schemas.openxmlformats.org/officeDocument/2006/relationships/hyperlink" Target="http://data.aade.gr/eli/pri/law/2018/01/17/4512" TargetMode="External" /><Relationship Id="rId375" Type="http://schemas.openxmlformats.org/officeDocument/2006/relationships/hyperlink" Target="http://data.aade.gr/eli/pri/law/2019/12/12/4646" TargetMode="External" /><Relationship Id="rId376" Type="http://schemas.openxmlformats.org/officeDocument/2006/relationships/hyperlink" Target="http://data.aade.gr/eli/pri/law/2019/12/12/4646" TargetMode="External" /><Relationship Id="rId377" Type="http://schemas.openxmlformats.org/officeDocument/2006/relationships/hyperlink" Target="http://data.aade.gr/eli/pri/law/2019/12/12/4646" TargetMode="External" /><Relationship Id="rId378" Type="http://schemas.openxmlformats.org/officeDocument/2006/relationships/hyperlink" Target="http://data.aade.gr/eli/pri/law/2018/06/14/4549" TargetMode="External" /><Relationship Id="rId379" Type="http://schemas.openxmlformats.org/officeDocument/2006/relationships/hyperlink" Target="http://data.aade.gr/eli/pri/law/2018/06/14/4549" TargetMode="External" /><Relationship Id="rId38" Type="http://schemas.openxmlformats.org/officeDocument/2006/relationships/hyperlink" Target="http://data.aade.gr/eli/pri/law/2020/07/31/4714" TargetMode="External" /><Relationship Id="rId380" Type="http://schemas.openxmlformats.org/officeDocument/2006/relationships/hyperlink" Target="http://data.aade.gr/eli/pri/law/2020/07/14/4704" TargetMode="External" /><Relationship Id="rId381" Type="http://schemas.openxmlformats.org/officeDocument/2006/relationships/hyperlink" Target="http://data.aade.gr/eli/pri/law/2020/07/14/4704" TargetMode="External" /><Relationship Id="rId382" Type="http://schemas.openxmlformats.org/officeDocument/2006/relationships/hyperlink" Target="http://data.aade.gr/eli/pri/law/2020/07/14/4704" TargetMode="External" /><Relationship Id="rId383" Type="http://schemas.openxmlformats.org/officeDocument/2006/relationships/hyperlink" Target="http://data.aade.gr/eli/pri/law/2020/06/30/4701" TargetMode="External" /><Relationship Id="rId384" Type="http://schemas.openxmlformats.org/officeDocument/2006/relationships/hyperlink" Target="http://data.aade.gr/eli/pri/law/2021/05/07/4778" TargetMode="External" /><Relationship Id="rId385" Type="http://schemas.openxmlformats.org/officeDocument/2006/relationships/hyperlink" Target="http://data.aade.gr/eli/pri/law/2014/04/07/4254" TargetMode="External" /><Relationship Id="rId386" Type="http://schemas.openxmlformats.org/officeDocument/2006/relationships/hyperlink" Target="http://data.aade.gr/eli/pri/law/2014/12/24/4316" TargetMode="External" /><Relationship Id="rId387" Type="http://schemas.openxmlformats.org/officeDocument/2006/relationships/hyperlink" Target="http://data.aade.gr/eli/pri/law/2015/05/14/4328" TargetMode="External" /><Relationship Id="rId388" Type="http://schemas.openxmlformats.org/officeDocument/2006/relationships/hyperlink" Target="http://data.aade.gr/eli/pri/law/2015/06/16/4330" TargetMode="External" /><Relationship Id="rId389" Type="http://schemas.openxmlformats.org/officeDocument/2006/relationships/hyperlink" Target="http://data.aade.gr/eli/pri/law/2015/07/02/4331" TargetMode="External" /><Relationship Id="rId39" Type="http://schemas.openxmlformats.org/officeDocument/2006/relationships/hyperlink" Target="http://data.aade.gr/eli/pri/law/2014/04/07/4254" TargetMode="External" /><Relationship Id="rId390" Type="http://schemas.openxmlformats.org/officeDocument/2006/relationships/hyperlink" Target="http://data.aade.gr/eli/pri/law/2015/08/14/4336" TargetMode="External" /><Relationship Id="rId391" Type="http://schemas.openxmlformats.org/officeDocument/2006/relationships/hyperlink" Target="http://data.aade.gr/eli/pri/law/2015/08/14/4336" TargetMode="External" /><Relationship Id="rId392" Type="http://schemas.openxmlformats.org/officeDocument/2006/relationships/hyperlink" Target="http://data.aade.gr/eli/pri/law/2016/04/01/4374" TargetMode="External" /><Relationship Id="rId393" Type="http://schemas.openxmlformats.org/officeDocument/2006/relationships/hyperlink" Target="http://data.aade.gr/eli/pri/law/2013/12/31/4223" TargetMode="External" /><Relationship Id="rId394" Type="http://schemas.openxmlformats.org/officeDocument/2006/relationships/hyperlink" Target="http://data.aade.gr/eli/pri/law/2013/12/31/4223" TargetMode="External" /><Relationship Id="rId395" Type="http://schemas.openxmlformats.org/officeDocument/2006/relationships/hyperlink" Target="http://data.aade.gr/eli/pri/law/2013/12/31/4223" TargetMode="External" /><Relationship Id="rId396" Type="http://schemas.openxmlformats.org/officeDocument/2006/relationships/hyperlink" Target="http://data.aade.gr/eli/pri/law/2013/07/26/4174" TargetMode="External" /><Relationship Id="rId397" Type="http://schemas.openxmlformats.org/officeDocument/2006/relationships/hyperlink" Target="http://data.aade.gr/eli/pri/law/2013/12/31/4223" TargetMode="External" /><Relationship Id="rId398" Type="http://schemas.openxmlformats.org/officeDocument/2006/relationships/hyperlink" Target="http://data.aade.gr/eli/pri/law/2013/12/31/4223" TargetMode="External" /><Relationship Id="rId399" Type="http://schemas.openxmlformats.org/officeDocument/2006/relationships/hyperlink" Target="http://data.aade.gr/eli/pri/law/2013/07/26/4174"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9/12/12/4646" TargetMode="External" /><Relationship Id="rId400" Type="http://schemas.openxmlformats.org/officeDocument/2006/relationships/hyperlink" Target="http://data.aade.gr/eli/pri/law/2013/12/31/4223" TargetMode="External" /><Relationship Id="rId401" Type="http://schemas.openxmlformats.org/officeDocument/2006/relationships/hyperlink" Target="http://data.aade.gr/eli/pri/law/2018/12/24/4587" TargetMode="External" /><Relationship Id="rId402" Type="http://schemas.openxmlformats.org/officeDocument/2006/relationships/hyperlink" Target="http://data.aade.gr/eli/pri/law/2013/12/31/4223" TargetMode="External" /><Relationship Id="rId403" Type="http://schemas.openxmlformats.org/officeDocument/2006/relationships/hyperlink" Target="http://data.aade.gr/eli/pri/law/2013/12/31/4223" TargetMode="External" /><Relationship Id="rId404" Type="http://schemas.openxmlformats.org/officeDocument/2006/relationships/hyperlink" Target="http://data.aade.gr/eli/pri/law/2013/12/31/4223" TargetMode="External" /><Relationship Id="rId405" Type="http://schemas.openxmlformats.org/officeDocument/2006/relationships/hyperlink" Target="http://data.aade.gr/eli/pri/law/2013/12/31/4223" TargetMode="External" /><Relationship Id="rId406" Type="http://schemas.openxmlformats.org/officeDocument/2006/relationships/hyperlink" Target="http://data.aade.gr/eli/pri/law/2013/12/31/4223" TargetMode="External" /><Relationship Id="rId407" Type="http://schemas.openxmlformats.org/officeDocument/2006/relationships/hyperlink" Target="http://data.aade.gr/eli/pri/law/2013/12/31/4223" TargetMode="External" /><Relationship Id="rId408" Type="http://schemas.openxmlformats.org/officeDocument/2006/relationships/hyperlink" Target="http://data.aade.gr/eli/pri/law/2013/12/31/4223" TargetMode="External" /><Relationship Id="rId409" Type="http://schemas.openxmlformats.org/officeDocument/2006/relationships/hyperlink" Target="http://data.aade.gr/eli/pri/law/2014/04/07/4254" TargetMode="External" /><Relationship Id="rId41" Type="http://schemas.openxmlformats.org/officeDocument/2006/relationships/hyperlink" Target="http://data.aade.gr/eli/pri/law/2020/05/30/4690" TargetMode="External" /><Relationship Id="rId410" Type="http://schemas.openxmlformats.org/officeDocument/2006/relationships/hyperlink" Target="http://data.aade.gr/eli/pri/law/2016/12/22/4446" TargetMode="External" /><Relationship Id="rId411" Type="http://schemas.openxmlformats.org/officeDocument/2006/relationships/hyperlink" Target="http://data.aade.gr/eli/pri/law/2017/12/22/4509" TargetMode="External" /><Relationship Id="rId412" Type="http://schemas.openxmlformats.org/officeDocument/2006/relationships/hyperlink" Target="http://data.aade.gr/eli/pri/law/2019/12/12/4646" TargetMode="External" /><Relationship Id="rId413" Type="http://schemas.openxmlformats.org/officeDocument/2006/relationships/hyperlink" Target="http://data.aade.gr/eli/pri/law/2016/12/22/4446" TargetMode="External" /><Relationship Id="rId414" Type="http://schemas.openxmlformats.org/officeDocument/2006/relationships/hyperlink" Target="http://data.aade.gr/eli/pri/law/2016/04/05/4378" TargetMode="External" /><Relationship Id="rId415" Type="http://schemas.openxmlformats.org/officeDocument/2006/relationships/hyperlink" Target="http://data.aade.gr/eli/pri/law/2017/08/01/4484" TargetMode="External" /><Relationship Id="rId416" Type="http://schemas.openxmlformats.org/officeDocument/2006/relationships/hyperlink" Target="http://data.aade.gr/eli/pri/law/2020/05/30/4690" TargetMode="External" /><Relationship Id="rId417" Type="http://schemas.openxmlformats.org/officeDocument/2006/relationships/hyperlink" Target="http://data.aade.gr/eli/pri/law/2020/09/15/4722" TargetMode="External" /><Relationship Id="rId418" Type="http://schemas.openxmlformats.org/officeDocument/2006/relationships/hyperlink" Target="http://data.aade.gr/eli/pri/law/2021/02/05/4772" TargetMode="External" /><Relationship Id="rId419" Type="http://schemas.openxmlformats.org/officeDocument/2006/relationships/hyperlink" Target="http://data.aade.gr/eli/pri/law/2020/05/30/4690" TargetMode="External" /><Relationship Id="rId42" Type="http://schemas.openxmlformats.org/officeDocument/2006/relationships/hyperlink" Target="http://data.aade.gr/eli/pri/law/2019/12/12/4646" TargetMode="External" /><Relationship Id="rId420" Type="http://schemas.openxmlformats.org/officeDocument/2006/relationships/hyperlink" Target="http://data.aade.gr/eli/pri/law/2020/07/17/4706" TargetMode="External" /><Relationship Id="rId421" Type="http://schemas.openxmlformats.org/officeDocument/2006/relationships/hyperlink" Target="http://data.aade.gr/eli/pri/law/2020/07/23/4710" TargetMode="External" /><Relationship Id="rId422" Type="http://schemas.openxmlformats.org/officeDocument/2006/relationships/hyperlink" Target="http://data.aade.gr/eli/pri/law/2020/07/23/4710" TargetMode="External" /><Relationship Id="rId423" Type="http://schemas.openxmlformats.org/officeDocument/2006/relationships/hyperlink" Target="http://data.aade.gr/eli/pri/law/2020/07/23/4710" TargetMode="External" /><Relationship Id="rId424" Type="http://schemas.openxmlformats.org/officeDocument/2006/relationships/hyperlink" Target="http://data.aade.gr/eli/pri/law/2020/07/23/4710" TargetMode="External" /><Relationship Id="rId425" Type="http://schemas.openxmlformats.org/officeDocument/2006/relationships/hyperlink" Target="http://data.aade.gr/eli/pri/law/2020/07/23/4710" TargetMode="External" /><Relationship Id="rId426" Type="http://schemas.openxmlformats.org/officeDocument/2006/relationships/hyperlink" Target="http://data.aade.gr/eli/pri/law/2020/09/15/4722" TargetMode="External" /><Relationship Id="rId427" Type="http://schemas.openxmlformats.org/officeDocument/2006/relationships/hyperlink" Target="http://data.aade.gr/eli/pri/law/2020/07/31/4714" TargetMode="External" /><Relationship Id="rId428" Type="http://schemas.openxmlformats.org/officeDocument/2006/relationships/hyperlink" Target="http://data.aade.gr/eli/pri/law/2020/07/31/4714" TargetMode="External" /><Relationship Id="rId429" Type="http://schemas.openxmlformats.org/officeDocument/2006/relationships/hyperlink" Target="http://data.aade.gr/eli/pri/law/2020/07/31/4714" TargetMode="External" /><Relationship Id="rId43" Type="http://schemas.openxmlformats.org/officeDocument/2006/relationships/hyperlink" Target="http://data.aade.gr/eli/pri/law/2020/05/30/4690" TargetMode="External" /><Relationship Id="rId430" Type="http://schemas.openxmlformats.org/officeDocument/2006/relationships/hyperlink" Target="http://data.aade.gr/eli/pri/law/2020/12/04/4758" TargetMode="External" /><Relationship Id="rId431" Type="http://schemas.openxmlformats.org/officeDocument/2006/relationships/hyperlink" Target="http://data.aade.gr/eli/pri/law/2021/02/05/4772" TargetMode="External" /><Relationship Id="rId432" Type="http://schemas.openxmlformats.org/officeDocument/2006/relationships/hyperlink" Target="http://data.aade.gr/eli/pri/law/2018/07/19/4555" TargetMode="External" /><Relationship Id="rId433" Type="http://schemas.openxmlformats.org/officeDocument/2006/relationships/hyperlink" Target="http://data.aade.gr/eli/pri/law/2019/08/09/4623" TargetMode="External" /><Relationship Id="rId434" Type="http://schemas.openxmlformats.org/officeDocument/2006/relationships/hyperlink" Target="http://data.aade.gr/eli/pri/law/2019/08/09/4623" TargetMode="External" /><Relationship Id="rId435" Type="http://schemas.openxmlformats.org/officeDocument/2006/relationships/hyperlink" Target="http://data.aade.gr/eli/pri/law/2018/07/19/4555" TargetMode="External" /><Relationship Id="rId436" Type="http://schemas.openxmlformats.org/officeDocument/2006/relationships/hyperlink" Target="http://data.aade.gr/eli/pri/law/2019/08/09/4623" TargetMode="External" /><Relationship Id="rId437" Type="http://schemas.openxmlformats.org/officeDocument/2006/relationships/hyperlink" Target="http://data.aade.gr/eli/pri/law/2019/08/09/4623" TargetMode="External" /><Relationship Id="rId438" Type="http://schemas.openxmlformats.org/officeDocument/2006/relationships/hyperlink" Target="http://data.aade.gr/eli/pri/law/2013/11/21/4210" TargetMode="External" /><Relationship Id="rId439" Type="http://schemas.openxmlformats.org/officeDocument/2006/relationships/hyperlink" Target="http://data.aade.gr/eli/pri/law/2013/11/21/4210" TargetMode="External" /><Relationship Id="rId44" Type="http://schemas.openxmlformats.org/officeDocument/2006/relationships/hyperlink" Target="http://data.aade.gr/eli/pri/law/2013/12/31/4223" TargetMode="External" /><Relationship Id="rId440" Type="http://schemas.openxmlformats.org/officeDocument/2006/relationships/hyperlink" Target="http://data.aade.gr/eli/pri/law/2013/11/21/4210" TargetMode="External" /><Relationship Id="rId441" Type="http://schemas.openxmlformats.org/officeDocument/2006/relationships/hyperlink" Target="http://data.aade.gr/eli/pri/law/2013/11/21/4210" TargetMode="External" /><Relationship Id="rId442" Type="http://schemas.openxmlformats.org/officeDocument/2006/relationships/hyperlink" Target="http://data.aade.gr/eli/pri/law/2013/10/11/4199" TargetMode="External" /><Relationship Id="rId443" Type="http://schemas.openxmlformats.org/officeDocument/2006/relationships/hyperlink" Target="http://data.aade.gr/eli/pri/law/2013/11/21/4210" TargetMode="External" /><Relationship Id="rId444" Type="http://schemas.openxmlformats.org/officeDocument/2006/relationships/hyperlink" Target="http://data.aade.gr/eli/pri/law/2013/07/26/4174" TargetMode="External" /><Relationship Id="rId445" Type="http://schemas.openxmlformats.org/officeDocument/2006/relationships/hyperlink" Target="http://data.aade.gr/eli/pri/law/2014/09/10/4283" TargetMode="External" /><Relationship Id="rId446" Type="http://schemas.openxmlformats.org/officeDocument/2006/relationships/hyperlink" Target="http://data.aade.gr/eli/pri/law/2014/12/08/4310" TargetMode="External" /><Relationship Id="rId447" Type="http://schemas.openxmlformats.org/officeDocument/2006/relationships/hyperlink" Target="http://data.aade.gr/eli/pri/law/2013/07/26/4174" TargetMode="External" /><Relationship Id="rId448" Type="http://schemas.openxmlformats.org/officeDocument/2006/relationships/hyperlink" Target="http://data.aade.gr/eli/pri/law/2019/03/14/4603" TargetMode="External" /><Relationship Id="rId449" Type="http://schemas.openxmlformats.org/officeDocument/2006/relationships/hyperlink" Target="http://data.aade.gr/eli/pri/law/2019/03/14/4603" TargetMode="External" /><Relationship Id="rId45" Type="http://schemas.openxmlformats.org/officeDocument/2006/relationships/hyperlink" Target="http://data.aade.gr/eli/pri/law/2019/12/12/4646" TargetMode="External" /><Relationship Id="rId450" Type="http://schemas.openxmlformats.org/officeDocument/2006/relationships/hyperlink" Target="http://data.aade.gr/eli/pri/law/2014/10/31/4305" TargetMode="External" /><Relationship Id="rId451" Type="http://schemas.openxmlformats.org/officeDocument/2006/relationships/hyperlink" Target="http://data.aade.gr/eli/pri/law/2013/10/11/4199" TargetMode="External" /><Relationship Id="rId452" Type="http://schemas.openxmlformats.org/officeDocument/2006/relationships/hyperlink" Target="http://data.aade.gr/eli/pri/law/2013/11/21/4210" TargetMode="External" /><Relationship Id="rId453" Type="http://schemas.openxmlformats.org/officeDocument/2006/relationships/hyperlink" Target="http://data.aade.gr/eli/pri/law/2013/09/17/4186" TargetMode="External" /><Relationship Id="rId454" Type="http://schemas.openxmlformats.org/officeDocument/2006/relationships/hyperlink" Target="http://data.aade.gr/eli/pri/law/2013/11/21/4210" TargetMode="External" /><Relationship Id="rId455" Type="http://schemas.openxmlformats.org/officeDocument/2006/relationships/hyperlink" Target="http://data.aade.gr/eli/pri/law/2014/10/31/4305" TargetMode="External" /><Relationship Id="rId456" Type="http://schemas.openxmlformats.org/officeDocument/2006/relationships/hyperlink" Target="http://data.aade.gr/eli/pri/law/2014/03/26/4250" TargetMode="External" /><Relationship Id="rId457" Type="http://schemas.openxmlformats.org/officeDocument/2006/relationships/hyperlink" Target="http://data.aade.gr/eli/pri/law/2014/10/31/4305" TargetMode="External" /><Relationship Id="rId458" Type="http://schemas.openxmlformats.org/officeDocument/2006/relationships/hyperlink" Target="http://data.aade.gr/eli/pri/law/2014/10/31/4305" TargetMode="External" /><Relationship Id="rId459" Type="http://schemas.openxmlformats.org/officeDocument/2006/relationships/hyperlink" Target="http://data.aade.gr/eli/pri/law/2014/12/24/4315" TargetMode="External" /><Relationship Id="rId46" Type="http://schemas.openxmlformats.org/officeDocument/2006/relationships/hyperlink" Target="http://data.aade.gr/eli/pri/law/2016/05/12/4387" TargetMode="External" /><Relationship Id="rId460" Type="http://schemas.openxmlformats.org/officeDocument/2006/relationships/hyperlink" Target="http://data.aade.gr/eli/pri/law/2014/03/11/4244" TargetMode="External" /><Relationship Id="rId461" Type="http://schemas.openxmlformats.org/officeDocument/2006/relationships/hyperlink" Target="http://data.aade.gr/eli/pri/law/2014/03/26/4250" TargetMode="External" /><Relationship Id="rId462" Type="http://schemas.openxmlformats.org/officeDocument/2006/relationships/hyperlink" Target="http://data.aade.gr/eli/pri/law/2013/11/21/4210" TargetMode="External" /><Relationship Id="rId463" Type="http://schemas.openxmlformats.org/officeDocument/2006/relationships/hyperlink" Target="http://data.aade.gr/eli/pri/law/2013/11/21/4210" TargetMode="External" /><Relationship Id="rId464" Type="http://schemas.openxmlformats.org/officeDocument/2006/relationships/hyperlink" Target="http://data.aade.gr/eli/pri/law/2015/08/14/4336" TargetMode="External" /><Relationship Id="rId465" Type="http://schemas.openxmlformats.org/officeDocument/2006/relationships/hyperlink" Target="http://data.aade.gr/eli/pri/law/2016/12/23/4447" TargetMode="External" /><Relationship Id="rId466" Type="http://schemas.openxmlformats.org/officeDocument/2006/relationships/hyperlink" Target="http://data.aade.gr/eli/pri/law/2016/12/23/4447" TargetMode="External" /><Relationship Id="rId467" Type="http://schemas.openxmlformats.org/officeDocument/2006/relationships/hyperlink" Target="http://data.aade.gr/eli/pri/law/2017/08/07/4486" TargetMode="External" /><Relationship Id="rId468" Type="http://schemas.openxmlformats.org/officeDocument/2006/relationships/hyperlink" Target="http://data.aade.gr/eli/pri/law/2013/11/18/4208" TargetMode="External" /><Relationship Id="rId469" Type="http://schemas.openxmlformats.org/officeDocument/2006/relationships/hyperlink" Target="http://data.aade.gr/eli/pri/law/2013/11/18/4208" TargetMode="External" /><Relationship Id="rId47" Type="http://schemas.openxmlformats.org/officeDocument/2006/relationships/hyperlink" Target="http://data.aade.gr/eli/pri/law/2016/12/22/4446" TargetMode="External" /><Relationship Id="rId470" Type="http://schemas.openxmlformats.org/officeDocument/2006/relationships/hyperlink" Target="http://data.aade.gr/eli/pri/law/2020/05/30/4690" TargetMode="External" /><Relationship Id="rId471" Type="http://schemas.openxmlformats.org/officeDocument/2006/relationships/hyperlink" Target="http://data.aade.gr/eli/pri/law/2017/12/22/4509" TargetMode="External" /><Relationship Id="rId472" Type="http://schemas.openxmlformats.org/officeDocument/2006/relationships/hyperlink" Target="http://data.aade.gr/eli/pri/law/2018/09/21/4564" TargetMode="External" /><Relationship Id="rId473" Type="http://schemas.openxmlformats.org/officeDocument/2006/relationships/hyperlink" Target="http://data.aade.gr/eli/pri/law/2020/09/15/4722" TargetMode="External" /><Relationship Id="rId474" Type="http://schemas.openxmlformats.org/officeDocument/2006/relationships/hyperlink" Target="http://data.aade.gr/eli/pri/law/2020/12/23/4764" TargetMode="External" /><Relationship Id="rId475" Type="http://schemas.openxmlformats.org/officeDocument/2006/relationships/hyperlink" Target="http://data.aade.gr/eli/pri/law/2013/08/08/4179"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6/12/22/4446"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7/05/19/4472" TargetMode="External" /><Relationship Id="rId51" Type="http://schemas.openxmlformats.org/officeDocument/2006/relationships/hyperlink" Target="http://data.aade.gr/eli/pri/law/2019/12/12/4646" TargetMode="External" /><Relationship Id="rId52" Type="http://schemas.openxmlformats.org/officeDocument/2006/relationships/hyperlink" Target="http://data.aade.gr/eli/pri/law/2017/05/19/4472" TargetMode="External" /><Relationship Id="rId53" Type="http://schemas.openxmlformats.org/officeDocument/2006/relationships/hyperlink" Target="http://data.aade.gr/eli/pri/law/2014/12/24/4316"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4/12/24/4316" TargetMode="External" /><Relationship Id="rId58" Type="http://schemas.openxmlformats.org/officeDocument/2006/relationships/hyperlink" Target="http://data.aade.gr/eli/pri/law/2014/12/24/4316" TargetMode="External" /><Relationship Id="rId59" Type="http://schemas.openxmlformats.org/officeDocument/2006/relationships/hyperlink" Target="http://data.aade.gr/eli/pri/law/2015/05/14/4328"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6/05/12/4387" TargetMode="External" /><Relationship Id="rId61" Type="http://schemas.openxmlformats.org/officeDocument/2006/relationships/hyperlink" Target="http://data.aade.gr/eli/pri/law/2016/10/31/4430" TargetMode="External" /><Relationship Id="rId62" Type="http://schemas.openxmlformats.org/officeDocument/2006/relationships/hyperlink" Target="http://data.aade.gr/eli/pri/law/2017/08/01/4484" TargetMode="External" /><Relationship Id="rId63" Type="http://schemas.openxmlformats.org/officeDocument/2006/relationships/hyperlink" Target="http://data.aade.gr/eli/pri/law/2018/06/14/4549" TargetMode="External" /><Relationship Id="rId64" Type="http://schemas.openxmlformats.org/officeDocument/2006/relationships/hyperlink" Target="http://data.aade.gr/eli/pri/law/2018/06/14/4549" TargetMode="External" /><Relationship Id="rId65" Type="http://schemas.openxmlformats.org/officeDocument/2006/relationships/hyperlink" Target="http://data.aade.gr/eli/pri/law/2018/06/14/4549" TargetMode="External" /><Relationship Id="rId66" Type="http://schemas.openxmlformats.org/officeDocument/2006/relationships/hyperlink" Target="http://data.aade.gr/eli/pri/law/2019/12/12/4646"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9/12/12/4646" TargetMode="External" /><Relationship Id="rId69" Type="http://schemas.openxmlformats.org/officeDocument/2006/relationships/hyperlink" Target="http://data.aade.gr/eli/pri/law/2019/12/12/4646"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6/05/11/4386" TargetMode="External" /><Relationship Id="rId72" Type="http://schemas.openxmlformats.org/officeDocument/2006/relationships/hyperlink" Target="http://data.aade.gr/eli/pri/law/2020/07/29/4712" TargetMode="External" /><Relationship Id="rId73" Type="http://schemas.openxmlformats.org/officeDocument/2006/relationships/hyperlink" Target="http://data.aade.gr/eli/pri/law/2019/12/12/4646" TargetMode="External" /><Relationship Id="rId74" Type="http://schemas.openxmlformats.org/officeDocument/2006/relationships/hyperlink" Target="http://data.aade.gr/eli/pri/law/2020/07/23/4710" TargetMode="External" /><Relationship Id="rId75" Type="http://schemas.openxmlformats.org/officeDocument/2006/relationships/hyperlink" Target="http://data.aade.gr/eli/pri/law/2020/09/29/4728" TargetMode="External" /><Relationship Id="rId76" Type="http://schemas.openxmlformats.org/officeDocument/2006/relationships/hyperlink" Target="http://data.aade.gr/eli/pri/law/2020/12/23/4764"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5/03/21/4321" TargetMode="External" /><Relationship Id="rId79" Type="http://schemas.openxmlformats.org/officeDocument/2006/relationships/hyperlink" Target="http://data.aade.gr/eli/pri/law/2016/12/22/4446"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8/06/14/4549" TargetMode="External" /><Relationship Id="rId81" Type="http://schemas.openxmlformats.org/officeDocument/2006/relationships/hyperlink" Target="http://data.aade.gr/eli/pri/law/2019/12/12/4646" TargetMode="External" /><Relationship Id="rId82" Type="http://schemas.openxmlformats.org/officeDocument/2006/relationships/hyperlink" Target="http://data.aade.gr/eli/pri/law/2020/12/23/4764" TargetMode="External" /><Relationship Id="rId83" Type="http://schemas.openxmlformats.org/officeDocument/2006/relationships/hyperlink" Target="http://data.aade.gr/eli/pri/law/2019/04/01/4605" TargetMode="External" /><Relationship Id="rId84" Type="http://schemas.openxmlformats.org/officeDocument/2006/relationships/hyperlink" Target="http://data.aade.gr/eli/pri/law/2020/06/30/4701"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9/12/12/4646" TargetMode="External" /><Relationship Id="rId88" Type="http://schemas.openxmlformats.org/officeDocument/2006/relationships/hyperlink" Target="http://data.aade.gr/eli/pri/law/2018/06/14/4549"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18/06/14/4549" TargetMode="External" /><Relationship Id="rId91" Type="http://schemas.openxmlformats.org/officeDocument/2006/relationships/hyperlink" Target="http://data.aade.gr/eli/pri/law/2014/04/07/4254"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20/07/23/4710"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9/12/12/4646" TargetMode="External" /><Relationship Id="rId97" Type="http://schemas.openxmlformats.org/officeDocument/2006/relationships/hyperlink" Target="http://data.aade.gr/eli/pri/law/2020/07/23/4710" TargetMode="External" /><Relationship Id="rId98" Type="http://schemas.openxmlformats.org/officeDocument/2006/relationships/hyperlink" Target="http://data.aade.gr/eli/pri/law/2020/07/23/4710" TargetMode="External" /><Relationship Id="rId99" Type="http://schemas.openxmlformats.org/officeDocument/2006/relationships/hyperlink" Target="http://data.aade.gr/eli/pri/law/2019/12/12/46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