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b/>
          <w:bCs/>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4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4"/>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6"/>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38"/>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