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1"/>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2"/>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2"/>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89"/>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0"/>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0"/>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4"/>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1"/>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2"/>
      </w:r>
      <w:r>
        <w:rPr>
          <w:rStyle w:val="Hyperlink"/>
          <w:b/>
          <w:bCs/>
          <w:color w:val="000000"/>
          <w:sz w:val="20"/>
          <w:szCs w:val="20"/>
          <w:u w:val="none" w:color="0000EE"/>
          <w:vertAlign w:val="superscript"/>
          <w:lang w:val="el" w:eastAsia="el"/>
        </w:rPr>
        <w:footnoteReference w:id="193"/>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1"/>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2"/>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9"/>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1"/>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4"/>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8"/>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40"/>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0" w:history="1">
        <w:r>
          <w:rPr>
            <w:rStyle w:val="Hyperlink"/>
            <w:b/>
            <w:bCs/>
            <w:color w:val="0000EE"/>
            <w:u w:color="0000EE"/>
            <w:lang w:val="el" w:eastAsia="el"/>
          </w:rPr>
          <w:t>Τροποποίηση 4886/2022, Άρθρο 60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22/01/24/4886" TargetMode="External" /><Relationship Id="rId498"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