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4211/2013</w:t>
      </w:r>
    </w:p>
    <w:p>
      <w:pPr>
        <w:pStyle w:val="PreambelText"/>
        <w:spacing w:before="240" w:after="240"/>
        <w:rPr>
          <w:lang w:val="el" w:eastAsia="el"/>
        </w:rPr>
      </w:pPr>
      <w:r>
        <w:rPr>
          <w:lang w:val="el" w:eastAsia="el"/>
        </w:rPr>
        <w:t>ΝΟΜΟΣ ΥΠ’ ΑΡΙΘΜ. 4211</w:t>
      </w:r>
    </w:p>
    <w:p>
      <w:pPr>
        <w:pStyle w:val="PreambelText"/>
        <w:spacing w:before="240" w:after="240"/>
        <w:rPr>
          <w:lang w:val="el" w:eastAsia="el"/>
        </w:rPr>
      </w:pPr>
      <w:r>
        <w:rPr>
          <w:lang w:val="el" w:eastAsia="el"/>
        </w:rPr>
        <w:t>(ΦΕΚ Α' 256/28-11-2013)</w:t>
      </w:r>
    </w:p>
    <w:p>
      <w:pPr>
        <w:pStyle w:val="PreambelText"/>
        <w:spacing w:before="240" w:after="240"/>
        <w:rPr>
          <w:lang w:val="el" w:eastAsia="el"/>
        </w:rPr>
      </w:pPr>
      <w:r>
        <w:rPr>
          <w:lang w:val="el" w:eastAsia="el"/>
        </w:rPr>
        <w:t>Κύρωση της Πράξης Νομοθετικού Περιεχομένου «Ρυθμίσεις για την αντιμετώπιση των εξαιρετικά επειγουσών και απρόβλεπτων αναγκών της «Ελληνικά Αμυντικά Συστήματα Α.Ε.»»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Τέλος παραμονής και πλόων (Τ.Π.Π.) πλοίων αναψυχής και μικρών σκαφών</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εφαρμόζονται στα πλοία αναψυχής, ιδιωτικά και επαγγελματικά, στα επαγγελματικά τουριστικά ημερόπλοια και στα παραδοσιακά πλοία, όπως αυτά ορίζονται στο άρθρο 1 του ν. 4256/2014 (Α' 92) και δραστηριοποιούνται σύμφωνα με τις διατάξεις του ανωτέρω νόμου, συμπεριλαμβανομένων και των πλοίων αναψυχής που έχουν χαρακτηριστεί επαγγελματικά σύμφωνα με το δίκαιο άλλης χώρας.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Θεσπίζεται ειδικό τέλος υπέρ του Δημοσίου, με την ονομασία «Τέλος Πλοίων Αναψυχής και Ημερόπλοιων» (ΤΕ.Π.Α.Η.), το οποίο βαρύνει: α) τα πλοία αναψυχής ιδιωτικά και επαγγελματικά και β) τα επαγγελματικά τουριστικά ημερόπλοια.</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Το ΤΕ.Π.Α.Η. επιβάλλεται για όλα τα εντός των ελληνικών χωρικών υδάτων προαναφερθέντα πλοία αναψυχής και επαγγελματικά τουριστικά ημερόπλοια, ανεξάρτητα από τη σημαία τους.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ΤΕ.Π.Α.Η. εξαιρούνται τα παροπλισμένα ή κατεσχεμένα σκάφη, τα «Παραδοσιακά πλοία» κατά την έννοια της παραγράφου 2 και τα βρισκόμενα σε κατάσταση ακινησίας, η οποία πιστοποιείται από την αρμόδια Λιμενική Αρχή.</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α. Το ΤΕ.Π.Α.Η. υπολογίζεται ανά τρέχον έτος ή τρέχοντα μήνα από την ημερομηνία πληρωμής και καθορίζεται ως εξής: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αα. για τα ολικού μήκους άνω των επτά (7) έως και οκτώ (8) μέτρα, σε δεκαέξι (16) ευρώ ανά μήνα,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ββ. για τα ολικού μήκους άνω των οκτώ (8) μέτρων έως και δέκα (10) μέτρα, σε είκοσι πέντε (25) ευρώ ανά μήνα,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γγ. για τα ολικού μήκους άνω των δέκα (10) μέτρων και έως και δώδεκα (12) μέτρα, σε τριάντα τρία (33) ευρώ ανά μήνα,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δδ. για τα ολικού μήκους άνω των δώδεκα (12) μέτρων, ανά μήνα οκτώ (8) ευρώ, ανά μέτρο, υπολογιζόμενο από το πρώτο μέτρο. Η χρέωση μειώνεται κατά είκοσι πέντε τοις εκατό (25%) για τα επαγγελματικά πλοία αναψυχής και τα επαγγελματικά τουριστικά ημερόπλοια, με την προϋπόθεση της αποκλειστικής επαγγελματικής χρήσης.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Με κοινή απόφαση των Υπουργών Ναυτιλίας και Νησιωτικής Πολιτικής και Οικονομικών, είναι δυνατόν να παρέχεται περαιτέρω μείωση μέχρι είκοσι τοις εκατό (20%), για τα σκάφη της περίπτωσης δδ΄, ανεξαρτήτως σημαίας, εφόσον εισέρχονται και παραμένουν σε λιμένες της Ελληνικής Επικράτειας κατά το τρέχον ημερολογιακό έτος. Με την ανωτέρω κοινή απόφαση, ορίζονται τα ειδικά κριτήρια, ο τρόπος απόδειξής τους, για την παροχή της έκπτωσης,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Σε περίπτωση εφάπαξ προπληρωμής του ΤΕ.Π.Α.Η. για χρονικό διάστημα δώδεκα (12) μηνών (ένα έτος) παρέχεται έκπτωση δέκα τοις εκατό (10%) στο οφειλόμενο ποσό. Η προπληρωμή πραγματοποιείται εντός του Δεκεμβρίου του προηγούμενου έτους για το επόμενο ή εντός του Ιανουαρίου. Το ποσοστό της παρεχόμενης έκπτωσης μπορεί να αναπροσαρμόζεται, με την κοινή υπουργική απόφαση της παραγράφου 7 του παρόντος. Ειδικά για το έτος 2019, η έκπτωση δέκα τοις εκατό (10%) παρέχεται, εφόσον, μέχρι τις 18.5.2019, για τα ευρισκόμενα στα ελληνικά χωρικά ύδατα πλοία, και μέχρι τις 31.5.2019, για τα εισερχόμενα στα ελληνικά χωρικά ύδατα πλοία, καταβληθεί το ποσό του ΤΕ.Π.Α.Η. που οφείλεται για τους μήνες Μάιο έως και Δεκέμβριο του έτους 2019.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 Για τον υπολογισμό του ΤΕ.Π.Α.Η. λαμβάνεται υπόψη το ολικό μήκος του σκάφους, το οποίο αναγράφεται στο έγγραφο εθνικότητας ή στο πιστοποιητικό αξιοπλοΐας ή στο πιστοποιητικό καταμέτρησης ή στην άδεια εκτέλεσης πλόων.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α. Η πληρωμή του ΤΕ.Π.Α.Η. διενεργείται με κωδικό πληρωμής που εκδίδεται ηλεκτρονικά ανά μήνα και για κάθε τρέχοντα μήνα που τα σκάφη προτίθενται να παραμείνουν στην Ελληνική Επικράτεια ή εφάπαξ για το τρέχον έτος και για μέχρι δώδεκα (12) μήνες. Εναλλακτικά, εφόσον δεν είναι δυνατή η έκδοση Κωδικού Πληρωμής ηλεκτρονικά, η πληρωμή του ΤΕ.Π.Α.Η. μπορεί να πραγματοποιηθεί σε οποιαδήποτε Δ.Ο.Υ. ή Λιμενική Αρχή, ή στην Τελωνειακή Αρχή, στην περίπτωση πλοίων αναψυχής υπό σημαία χώρας εκτός Ευρωπαϊκής Ένωσης, οπότε η τελωνειακή αρχή εκδίδει και το δελτίο κίνησης (transitlog).</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β. Η απόδειξη καταβολής του ΤΕ.Π.Α.Η. φυλάσσεται μαζί με τα ναυτιλιακά έγγραφα του σκάφους και επιδεικνύεται στις Λιμενικές, Τελωνειακές, Φορολογικές Αρχές, όποτε ζητηθεί.</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 Αν από Λιμενική, Φορολογική, ή Τελωνειακή Αρχή διαπιστωθεί ότι δεν έχει καταβληθεί το ΤΕ.Π.Α.Η., απαγορεύεται ο απόπλους του σκάφους μέχρι την πληρωμή του τέλους και του αναλογούντος προστίμου.</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Για τη μη καταβολή ή τη μερική καταβολή του ΤΕ.Π.Α.Η. επιπλέον της πληρωμής του τέλους, επιβάλλεται από την Aρχή που τη διαπιστώνει και πρόστιμο, ως εξής: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αα. για τα ολικού μήκους άνω των επτά (7) μέτρων έως και οκτώ (8) μέτρα, εκατόν ενενήντα (190)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ββ. για τα ολικού μήκους άνω των οκτώ (8) μέτρων και έως και δέκα (10) μέτρα, τριακόσια (300)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γγ. για τα ολικού μήκους άνω των δέκα (10) μέτρων και έως και δώδεκα (12) μέτρα, τετρακόσια (400)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δδ. για τα ολικού μήκους άνω των δώδεκα (12) μέτρων, χίλια εκατό (1.100)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 Για τις πράξεις επιβολής του τέλους και του προστίμου μη καταβολής αυτού δεν έχουν εφαρμογή οι διατάξεις του άρθρου 63 του ν. 4174/2013.</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 Αναχώρηση του σκάφους από την Ελληνική Επικράτεια για οποιονδήποτε λόγο, οποτεδήποτε πριν από τη λήξη της ισχύος του ΤΕ.Π.Α.Η. δεν γεννά την υποχρέωση επιστροφής οποιουδήποτε ποσού από το Δημόσιο.</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Σε περίπτωση επανεισόδου του σκάφους στην Ελληνική Επικράτεια, ενόσω ισχύει το ΤΕ.Π.Α.Η., δεν υπάρχει απαίτηση εκ νέου καταβολής του για το χρονικό διάστημα μέχρι τη λήξη της ισχύος του.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Πλοία που αναχωρούν από την Ελληνική Επικράτεια εντός τριών (3) ημερών από τη λήξη του μήνα για τον οποίο έχει καταβληθεί το ΤΕ.Π.Α.Η., δεν υποχρεούνται σε καταβολή του για τον μήνα αναχώρησής 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Υπόχρεος σε καταβολή του ΤΕ.Π.Α.Η. είναι: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ο πλοιοκτήτης ή ο εφοπλιστής του επαγγελματικού πλοίου αναψυχής ή του επαγγελματικού τουριστικού ημερόπλοιου ή ο νόμιμος εκπρόσωπός του,</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ο πλοιοκτήτης ή ο κάτοχος ή ο χρήστης του ιδιωτικού πλοίου αναψυχής. Οι ως άνω ευθύνονται αλληλεγγύως και εις ολόκληρο έκαστος για την πληρωμή του ΤΕ.Π.Α.Η.</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Ναυτιλίας και Νησιωτικής Πολιτικής, ορίζεται ο τρόπος, η διαδικασία και ο χρόνος απόδοσης του ΤΕ.Π.Α.Η., η διαδικασία και οι αρχές ελέγχου καταβολής του, ο τύπος και το περιεχόμενο των πράξεων βεβαίωσης της οφειλής από τη μη καταβολή του ΤΕ.Π.Α.Η. και του προστίμου της παραγράφου 3, τα όργανα που τις εκδίδουν, τα όργανα και η διαδικασία απαγόρευσης απόπλου και άρσης αυτής,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Το ΤΕ.Π.Α.Η. επιβάλλεται για παραμονή στην Ελληνική Επικράτεια από την έκδοση της κοινής υπουργικής απόφασης που προβλέπεται στην παράγραφο 7.</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Νοεμβρίου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ΑΝΑΠΛΗΡΩΤΗΣ ΥΠΟΥΡΓΟΣ ΕΘΝΙΚΗΣ ΑΜΥΝΑΣ</w:t>
      </w:r>
    </w:p>
    <w:p>
      <w:pPr>
        <w:spacing w:before="240" w:after="240"/>
        <w:rPr>
          <w:lang w:val="el" w:eastAsia="el"/>
        </w:rPr>
      </w:pPr>
      <w:r>
        <w:rPr>
          <w:lang w:val="el" w:eastAsia="el"/>
        </w:rPr>
        <w:t>ΦΩΤΕΙΝΗ ΓΕΝΝΗΜΑΤΑ</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Νοεμβρίου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7" w:history="1">
        <w:r>
          <w:rPr>
            <w:rStyle w:val="Hyperlink"/>
            <w:color w:val="0000EE"/>
            <w:u w:color="0000EE"/>
            <w:lang w:val="el" w:eastAsia="el"/>
          </w:rPr>
          <w:t>Τροποποίηση 4607/2019, Άρθρο 77</w:t>
        </w:r>
      </w:hyperlink>
      <w:r>
        <w:rPr>
          <w:lang w:val="el" w:eastAsia="el"/>
        </w:rPr>
        <w:t xml:space="preserve">; </w:t>
      </w:r>
      <w:hyperlink r:id="rId2" w:anchor="art_85" w:history="1">
        <w:r>
          <w:rPr>
            <w:rStyle w:val="Hyperlink"/>
            <w:color w:val="0000EE"/>
            <w:u w:color="0000EE"/>
            <w:lang w:val="el" w:eastAsia="el"/>
          </w:rPr>
          <w:t>Τροποποίηση 4504/2017, Άρθρο 85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5" w:history="1">
        <w:r>
          <w:rPr>
            <w:rStyle w:val="Hyperlink"/>
            <w:color w:val="0000EE"/>
            <w:u w:color="0000EE"/>
            <w:lang w:val="el" w:eastAsia="el"/>
          </w:rPr>
          <w:t>Τροποποίηση 4504/2017, Άρθρο 85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5" w:history="1">
        <w:r>
          <w:rPr>
            <w:rStyle w:val="Hyperlink"/>
            <w:color w:val="0000EE"/>
            <w:u w:color="0000EE"/>
            <w:lang w:val="el" w:eastAsia="el"/>
          </w:rPr>
          <w:t>Τροποποίηση 4504/2017, Άρθρο 85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5" w:history="1">
        <w:r>
          <w:rPr>
            <w:rStyle w:val="Hyperlink"/>
            <w:color w:val="0000EE"/>
            <w:u w:color="0000EE"/>
            <w:lang w:val="el" w:eastAsia="el"/>
          </w:rPr>
          <w:t>Τροποποίηση 4504/2017, Άρθρο 85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5" w:history="1">
        <w:r>
          <w:rPr>
            <w:rStyle w:val="Hyperlink"/>
            <w:color w:val="0000EE"/>
            <w:u w:color="0000EE"/>
            <w:lang w:val="el" w:eastAsia="el"/>
          </w:rPr>
          <w:t>Τροποποίηση 4504/2017, Άρθρο 85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7" w:history="1">
        <w:r>
          <w:rPr>
            <w:rStyle w:val="Hyperlink"/>
            <w:color w:val="0000EE"/>
            <w:u w:color="0000EE"/>
            <w:lang w:val="el" w:eastAsia="el"/>
          </w:rPr>
          <w:t>Τροποποίηση 4607/2019, Άρθρο 77</w:t>
        </w:r>
      </w:hyperlink>
      <w:r>
        <w:rPr>
          <w:lang w:val="el" w:eastAsia="el"/>
        </w:rPr>
        <w:t xml:space="preserve">; </w:t>
      </w:r>
      <w:hyperlink r:id="rId8" w:anchor="art_85" w:history="1">
        <w:r>
          <w:rPr>
            <w:rStyle w:val="Hyperlink"/>
            <w:color w:val="0000EE"/>
            <w:u w:color="0000EE"/>
            <w:lang w:val="el" w:eastAsia="el"/>
          </w:rPr>
          <w:t>Τροποποίηση 4504/2017, Άρθρο 85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5" w:history="1">
        <w:r>
          <w:rPr>
            <w:rStyle w:val="Hyperlink"/>
            <w:color w:val="0000EE"/>
            <w:u w:color="0000EE"/>
            <w:lang w:val="el" w:eastAsia="el"/>
          </w:rPr>
          <w:t>Τροποποίηση 4504/2017, Άρθρο 85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5" w:history="1">
        <w:r>
          <w:rPr>
            <w:rStyle w:val="Hyperlink"/>
            <w:color w:val="0000EE"/>
            <w:u w:color="0000EE"/>
            <w:lang w:val="el" w:eastAsia="el"/>
          </w:rPr>
          <w:t>Τροποποίηση 4504/2017, Άρθρο 85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5" w:history="1">
        <w:r>
          <w:rPr>
            <w:rStyle w:val="Hyperlink"/>
            <w:color w:val="0000EE"/>
            <w:u w:color="0000EE"/>
            <w:lang w:val="el" w:eastAsia="el"/>
          </w:rPr>
          <w:t>Τροποποίηση 4504/2017, Άρθρο 85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5" w:history="1">
        <w:r>
          <w:rPr>
            <w:rStyle w:val="Hyperlink"/>
            <w:color w:val="0000EE"/>
            <w:u w:color="0000EE"/>
            <w:lang w:val="el" w:eastAsia="el"/>
          </w:rPr>
          <w:t>Τροποποίηση 4504/2017, Άρθρο 85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7" w:history="1">
        <w:r>
          <w:rPr>
            <w:rStyle w:val="Hyperlink"/>
            <w:color w:val="0000EE"/>
            <w:u w:color="0000EE"/>
            <w:lang w:val="el" w:eastAsia="el"/>
          </w:rPr>
          <w:t>Τροποποίηση 4607/2019, Άρθρο 77</w:t>
        </w:r>
      </w:hyperlink>
      <w:r>
        <w:rPr>
          <w:lang w:val="el" w:eastAsia="el"/>
        </w:rPr>
        <w:t xml:space="preserve">; </w:t>
      </w:r>
      <w:hyperlink r:id="rId14" w:anchor="art_85" w:history="1">
        <w:r>
          <w:rPr>
            <w:rStyle w:val="Hyperlink"/>
            <w:color w:val="0000EE"/>
            <w:u w:color="0000EE"/>
            <w:lang w:val="el" w:eastAsia="el"/>
          </w:rPr>
          <w:t>Τροποποίηση 4504/2017, Άρθρο 85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85" w:history="1">
        <w:r>
          <w:rPr>
            <w:rStyle w:val="Hyperlink"/>
            <w:color w:val="0000EE"/>
            <w:u w:color="0000EE"/>
            <w:lang w:val="el" w:eastAsia="el"/>
          </w:rPr>
          <w:t>Τροποποίηση 4504/2017, Άρθρο 85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85" w:history="1">
        <w:r>
          <w:rPr>
            <w:rStyle w:val="Hyperlink"/>
            <w:color w:val="0000EE"/>
            <w:u w:color="0000EE"/>
            <w:lang w:val="el" w:eastAsia="el"/>
          </w:rPr>
          <w:t>Τροποποίηση 4504/2017, Άρθρο 85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85" w:history="1">
        <w:r>
          <w:rPr>
            <w:rStyle w:val="Hyperlink"/>
            <w:color w:val="0000EE"/>
            <w:u w:color="0000EE"/>
            <w:lang w:val="el" w:eastAsia="el"/>
          </w:rPr>
          <w:t>Τροποποίηση 4504/2017, Άρθρο 85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66" w:history="1">
        <w:r>
          <w:rPr>
            <w:rStyle w:val="Hyperlink"/>
            <w:color w:val="0000EE"/>
            <w:u w:color="0000EE"/>
            <w:lang w:val="el" w:eastAsia="el"/>
          </w:rPr>
          <w:t>Προσθήκη 4555/2018, Άρθρο 266</w:t>
        </w:r>
      </w:hyperlink>
      <w:r>
        <w:rPr>
          <w:lang w:val="el" w:eastAsia="el"/>
        </w:rPr>
        <w:t xml:space="preserve">; </w:t>
      </w:r>
      <w:hyperlink r:id="rId19" w:anchor="art_85" w:history="1">
        <w:r>
          <w:rPr>
            <w:rStyle w:val="Hyperlink"/>
            <w:color w:val="0000EE"/>
            <w:u w:color="0000EE"/>
            <w:lang w:val="el" w:eastAsia="el"/>
          </w:rPr>
          <w:t>Τροποποίηση 4504/2017, Άρθρο 85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66" w:history="1">
        <w:r>
          <w:rPr>
            <w:rStyle w:val="Hyperlink"/>
            <w:color w:val="0000EE"/>
            <w:u w:color="0000EE"/>
            <w:lang w:val="el" w:eastAsia="el"/>
          </w:rPr>
          <w:t>Προσθήκη 4555/2018, Άρθρο 266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85" w:history="1">
        <w:r>
          <w:rPr>
            <w:rStyle w:val="Hyperlink"/>
            <w:color w:val="0000EE"/>
            <w:u w:color="0000EE"/>
            <w:lang w:val="el" w:eastAsia="el"/>
          </w:rPr>
          <w:t>Τροποποίηση 4504/2017, Άρθρο 85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85" w:history="1">
        <w:r>
          <w:rPr>
            <w:rStyle w:val="Hyperlink"/>
            <w:color w:val="0000EE"/>
            <w:u w:color="0000EE"/>
            <w:lang w:val="el" w:eastAsia="el"/>
          </w:rPr>
          <w:t>Τροποποίηση 4504/2017, Άρθρο 85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85" w:history="1">
        <w:r>
          <w:rPr>
            <w:rStyle w:val="Hyperlink"/>
            <w:color w:val="0000EE"/>
            <w:u w:color="0000EE"/>
            <w:lang w:val="el" w:eastAsia="el"/>
          </w:rPr>
          <w:t>Τροποποίηση 4504/2017, Άρθρο 85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5" w:history="1">
        <w:r>
          <w:rPr>
            <w:rStyle w:val="Hyperlink"/>
            <w:color w:val="0000EE"/>
            <w:u w:color="0000EE"/>
            <w:lang w:val="el" w:eastAsia="el"/>
          </w:rPr>
          <w:t>Τροποποίηση 4504/2017, Άρθρο 85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85" w:history="1">
        <w:r>
          <w:rPr>
            <w:rStyle w:val="Hyperlink"/>
            <w:color w:val="0000EE"/>
            <w:u w:color="0000EE"/>
            <w:lang w:val="el" w:eastAsia="el"/>
          </w:rPr>
          <w:t>Τροποποίηση 4504/2017, Άρθρο 85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85" w:history="1">
        <w:r>
          <w:rPr>
            <w:rStyle w:val="Hyperlink"/>
            <w:color w:val="0000EE"/>
            <w:u w:color="0000EE"/>
            <w:lang w:val="el" w:eastAsia="el"/>
          </w:rPr>
          <w:t>Τροποποίηση 4504/2017, Άρθρο 85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5" w:history="1">
        <w:r>
          <w:rPr>
            <w:rStyle w:val="Hyperlink"/>
            <w:color w:val="0000EE"/>
            <w:u w:color="0000EE"/>
            <w:lang w:val="el" w:eastAsia="el"/>
          </w:rPr>
          <w:t>Τροποποίηση 4504/2017, Άρθρο 85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77" w:history="1">
        <w:r>
          <w:rPr>
            <w:rStyle w:val="Hyperlink"/>
            <w:color w:val="0000EE"/>
            <w:u w:color="0000EE"/>
            <w:lang w:val="el" w:eastAsia="el"/>
          </w:rPr>
          <w:t>Προσθήκη 4607/2019, Άρθρο 77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85" w:history="1">
        <w:r>
          <w:rPr>
            <w:rStyle w:val="Hyperlink"/>
            <w:color w:val="0000EE"/>
            <w:u w:color="0000EE"/>
            <w:lang w:val="el" w:eastAsia="el"/>
          </w:rPr>
          <w:t>Τροποποίηση 4504/2017, Άρθρο 85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5" w:history="1">
        <w:r>
          <w:rPr>
            <w:rStyle w:val="Hyperlink"/>
            <w:color w:val="0000EE"/>
            <w:u w:color="0000EE"/>
            <w:lang w:val="el" w:eastAsia="el"/>
          </w:rPr>
          <w:t>Τροποποίηση 4504/2017, Άρθρο 85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85" w:history="1">
        <w:r>
          <w:rPr>
            <w:rStyle w:val="Hyperlink"/>
            <w:color w:val="0000EE"/>
            <w:u w:color="0000EE"/>
            <w:lang w:val="el" w:eastAsia="el"/>
          </w:rPr>
          <w:t>Τροποποίηση 4504/2017, Άρθρο 85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85" w:history="1">
        <w:r>
          <w:rPr>
            <w:rStyle w:val="Hyperlink"/>
            <w:color w:val="0000EE"/>
            <w:u w:color="0000EE"/>
            <w:lang w:val="el" w:eastAsia="el"/>
          </w:rPr>
          <w:t>Τροποποίηση 4504/2017, Άρθρο 85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85" w:history="1">
        <w:r>
          <w:rPr>
            <w:rStyle w:val="Hyperlink"/>
            <w:color w:val="0000EE"/>
            <w:u w:color="0000EE"/>
            <w:lang w:val="el" w:eastAsia="el"/>
          </w:rPr>
          <w:t>Τροποποίηση 4504/2017, Άρθρο 85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85" w:history="1">
        <w:r>
          <w:rPr>
            <w:rStyle w:val="Hyperlink"/>
            <w:color w:val="0000EE"/>
            <w:u w:color="0000EE"/>
            <w:lang w:val="el" w:eastAsia="el"/>
          </w:rPr>
          <w:t>Αφαίρεση 4504/2017, Άρθρο 85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4/24/4607" TargetMode="External" /><Relationship Id="rId10" Type="http://schemas.openxmlformats.org/officeDocument/2006/relationships/hyperlink" Target="http://data.aade.gr/eli/pri/law/2017/11/29/4504" TargetMode="External" /><Relationship Id="rId11" Type="http://schemas.openxmlformats.org/officeDocument/2006/relationships/hyperlink" Target="http://data.aade.gr/eli/pri/law/2017/11/29/4504" TargetMode="External" /><Relationship Id="rId12" Type="http://schemas.openxmlformats.org/officeDocument/2006/relationships/hyperlink" Target="http://data.aade.gr/eli/pri/law/2017/11/29/4504" TargetMode="External" /><Relationship Id="rId13" Type="http://schemas.openxmlformats.org/officeDocument/2006/relationships/hyperlink" Target="http://data.aade.gr/eli/pri/law/2019/04/24/4607" TargetMode="External" /><Relationship Id="rId14" Type="http://schemas.openxmlformats.org/officeDocument/2006/relationships/hyperlink" Target="http://data.aade.gr/eli/pri/law/2017/11/29/4504" TargetMode="External" /><Relationship Id="rId15" Type="http://schemas.openxmlformats.org/officeDocument/2006/relationships/hyperlink" Target="http://data.aade.gr/eli/pri/law/2017/11/29/4504" TargetMode="External" /><Relationship Id="rId16" Type="http://schemas.openxmlformats.org/officeDocument/2006/relationships/hyperlink" Target="http://data.aade.gr/eli/pri/law/2017/11/29/4504" TargetMode="External" /><Relationship Id="rId17" Type="http://schemas.openxmlformats.org/officeDocument/2006/relationships/hyperlink" Target="http://data.aade.gr/eli/pri/law/2017/11/29/4504" TargetMode="External" /><Relationship Id="rId18" Type="http://schemas.openxmlformats.org/officeDocument/2006/relationships/hyperlink" Target="http://data.aade.gr/eli/pri/law/2018/07/19/4555" TargetMode="External" /><Relationship Id="rId19" Type="http://schemas.openxmlformats.org/officeDocument/2006/relationships/hyperlink" Target="http://data.aade.gr/eli/pri/law/2017/11/29/4504" TargetMode="External" /><Relationship Id="rId2" Type="http://schemas.openxmlformats.org/officeDocument/2006/relationships/hyperlink" Target="http://data.aade.gr/eli/pri/law/2017/11/29/4504" TargetMode="External" /><Relationship Id="rId20" Type="http://schemas.openxmlformats.org/officeDocument/2006/relationships/hyperlink" Target="http://data.aade.gr/eli/pri/law/2018/07/19/4555" TargetMode="External" /><Relationship Id="rId21" Type="http://schemas.openxmlformats.org/officeDocument/2006/relationships/hyperlink" Target="http://data.aade.gr/eli/pri/law/2017/11/29/4504" TargetMode="External" /><Relationship Id="rId22" Type="http://schemas.openxmlformats.org/officeDocument/2006/relationships/hyperlink" Target="http://data.aade.gr/eli/pri/law/2017/11/29/4504" TargetMode="External" /><Relationship Id="rId23" Type="http://schemas.openxmlformats.org/officeDocument/2006/relationships/hyperlink" Target="http://data.aade.gr/eli/pri/law/2017/11/29/4504" TargetMode="External" /><Relationship Id="rId24" Type="http://schemas.openxmlformats.org/officeDocument/2006/relationships/hyperlink" Target="http://data.aade.gr/eli/pri/law/2017/11/29/4504" TargetMode="External" /><Relationship Id="rId25" Type="http://schemas.openxmlformats.org/officeDocument/2006/relationships/hyperlink" Target="http://data.aade.gr/eli/pri/law/2017/11/29/4504" TargetMode="External" /><Relationship Id="rId26" Type="http://schemas.openxmlformats.org/officeDocument/2006/relationships/hyperlink" Target="http://data.aade.gr/eli/pri/law/2017/11/29/4504" TargetMode="External" /><Relationship Id="rId27" Type="http://schemas.openxmlformats.org/officeDocument/2006/relationships/hyperlink" Target="http://data.aade.gr/eli/pri/law/2017/11/29/4504" TargetMode="External" /><Relationship Id="rId28" Type="http://schemas.openxmlformats.org/officeDocument/2006/relationships/hyperlink" Target="http://data.aade.gr/eli/pri/law/2019/04/24/4607" TargetMode="External" /><Relationship Id="rId29" Type="http://schemas.openxmlformats.org/officeDocument/2006/relationships/hyperlink" Target="http://data.aade.gr/eli/pri/law/2017/11/29/4504" TargetMode="External" /><Relationship Id="rId3" Type="http://schemas.openxmlformats.org/officeDocument/2006/relationships/hyperlink" Target="http://data.aade.gr/eli/pri/law/2017/11/29/4504" TargetMode="External" /><Relationship Id="rId30" Type="http://schemas.openxmlformats.org/officeDocument/2006/relationships/hyperlink" Target="http://data.aade.gr/eli/pri/law/2017/11/29/4504" TargetMode="External" /><Relationship Id="rId31" Type="http://schemas.openxmlformats.org/officeDocument/2006/relationships/hyperlink" Target="http://data.aade.gr/eli/pri/law/2017/11/29/4504" TargetMode="External" /><Relationship Id="rId32" Type="http://schemas.openxmlformats.org/officeDocument/2006/relationships/hyperlink" Target="http://data.aade.gr/eli/pri/law/2017/11/29/4504" TargetMode="External" /><Relationship Id="rId33" Type="http://schemas.openxmlformats.org/officeDocument/2006/relationships/hyperlink" Target="http://data.aade.gr/eli/pri/law/2017/11/29/4504" TargetMode="External" /><Relationship Id="rId34" Type="http://schemas.openxmlformats.org/officeDocument/2006/relationships/hyperlink" Target="http://data.aade.gr/eli/pri/law/2017/11/29/4504" TargetMode="External" /><Relationship Id="rId4" Type="http://schemas.openxmlformats.org/officeDocument/2006/relationships/hyperlink" Target="http://data.aade.gr/eli/pri/law/2017/11/29/4504" TargetMode="External" /><Relationship Id="rId5" Type="http://schemas.openxmlformats.org/officeDocument/2006/relationships/hyperlink" Target="http://data.aade.gr/eli/pri/law/2017/11/29/4504" TargetMode="External" /><Relationship Id="rId6" Type="http://schemas.openxmlformats.org/officeDocument/2006/relationships/hyperlink" Target="http://data.aade.gr/eli/pri/law/2017/11/29/4504" TargetMode="External" /><Relationship Id="rId7" Type="http://schemas.openxmlformats.org/officeDocument/2006/relationships/hyperlink" Target="http://data.aade.gr/eli/pri/law/2019/04/24/4607" TargetMode="External" /><Relationship Id="rId8" Type="http://schemas.openxmlformats.org/officeDocument/2006/relationships/hyperlink" Target="http://data.aade.gr/eli/pri/law/2017/11/29/4504" TargetMode="External" /><Relationship Id="rId9" Type="http://schemas.openxmlformats.org/officeDocument/2006/relationships/hyperlink" Target="http://data.aade.gr/eli/pri/law/2017/11/29/45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