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4211/2013</w:t>
      </w:r>
    </w:p>
    <w:p>
      <w:pPr>
        <w:pStyle w:val="PreambelText"/>
        <w:spacing w:before="240" w:after="240"/>
        <w:rPr>
          <w:lang w:val="el" w:eastAsia="el"/>
        </w:rPr>
      </w:pPr>
      <w:r>
        <w:rPr>
          <w:lang w:val="el" w:eastAsia="el"/>
        </w:rPr>
        <w:t>ΝΟΜΟΣ ΥΠ’ ΑΡΙΘΜ. 4211</w:t>
      </w:r>
    </w:p>
    <w:p>
      <w:pPr>
        <w:pStyle w:val="PreambelText"/>
        <w:spacing w:before="240" w:after="240"/>
        <w:rPr>
          <w:lang w:val="el" w:eastAsia="el"/>
        </w:rPr>
      </w:pPr>
      <w:r>
        <w:rPr>
          <w:lang w:val="el" w:eastAsia="el"/>
        </w:rPr>
        <w:t>(ΦΕΚ Α' 256/28-11-2013)</w:t>
      </w:r>
    </w:p>
    <w:p>
      <w:pPr>
        <w:pStyle w:val="PreambelText"/>
        <w:spacing w:before="240" w:after="240"/>
        <w:rPr>
          <w:lang w:val="el" w:eastAsia="el"/>
        </w:rPr>
      </w:pPr>
      <w:r>
        <w:rPr>
          <w:lang w:val="el" w:eastAsia="el"/>
        </w:rPr>
        <w:t>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Τέλος παραμονής και πλόων (Τ.Π.Π.) πλοίων αναψυχής και μικρών σκαφών</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άρθρου οι όροι που χρησιμοποιούνται έχουν την ακόλουθη έννοια: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πλοίο αναψυχής: είναι κάθε σκάφος ολικού μήκους άνω των επτά (7) μέτρων ιστιοφόρο ή μηχανοκίνητο, το οποίο μπορεί από τη γενική κατασκευή του να χρησιμοποιείται για την εκτέλεση ταξιδιών αναψυχής,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επαγγελματικό πλοίο αναψυχής: είναι το πλοίο αναψυχής μεταφορικής ικανότητας έως και σαράντα εννέα (49) επιβατών, για την εκμετάλλευση του οποίου συνάπτεται σύμβαση ολικής ναύλωσης,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ιδιωτικό πλοίο αναψυχής: είναι το πλοίο αναψυχής το οποίο δεν είναι επαγγελματικό, σύμφωνα με τις διατάξεις της περίπτωσης β΄ της παρούσας παραγράφου,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 επαγγελματικό τουριστικό ημερόπλοιο: είναι το μικρό σκάφος ή το πλοίο αναψυχής ή το επιβατηγό τουριστικό πλοίο, το οποίο εντάσσεται στις διατάξεις του άρθρου 12 του ν. 4256/2014, καθώς και εκείνο, ανεξαρτήτως σημαίας, που διενεργεί περιηγητικό ταξίδι, διάρκειας, εντός της Ελληνικής Επικράτειας, έως και είκοσι τεσσάρων (24) ωρών, με αποκλειστικό σκοπό τη θαλάσσια αναψυχή και περιήγηση των επιβατών μέσω προκαθορισμένου προγράμματος, παραλαμβάνοντας επιβάτες από την αλλοδαπή ανεξάρτητα αν θα αποβιβαστούν οριστικά ή όχι στην Ελλάδα ή παραλαμβάνοντας επιβάτες από την Ελλάδα με την προϋπόθεση ότι θα αποβιβαστούν οριστικά είτε στην Ελλάδα είτε στην αλλοδαπή ή πραγματοποιώντας ημερήσιο θαλάσσιο περιηγητικό ταξίδι στην Ελλάδα έχοντας παραλάβει τους επιβάτες του από την αλλοδαπή και με σκοπό να ολοκληρώσουν το ταξίδι τους (οριστική αποβίβαση επιβατών) στην αλλοδαπή,</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παραδοσιακό πλοίο: είναι το πρωτότυπο και κάθε μεμονωμένο ομοίωμα ιστορικού πλοίου, στο οποίο υπάρχουν στοιχεία ελληνικού πολιτισμού, καθώς και παραδοσιακής ελληνικής ναυσιπλοΐας, ναυτικής τέχνης και ναυτικής δεξιοτεχνίας, εφόσον απέκτησαν πολιτισμική σημασία με το πέρασμα του χρόνου.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Θεσπίζεται ειδικό τέλος υπέρ του Δημοσίου, με την ονομασία «Τέλος Πλοίων Αναψυχής και Ημερόπλοιων» (ΤΕ.Π.Α.Η.), το οποίο βαρύνει: α) τα πλοία αναψυχής ιδιωτικά και επαγγελματικά και β) τα επαγγελματικά τουριστικά ημερόπλοια.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Από το ΤΕ.Π.Α.Η. εξαιρούνται τα παροπλισμένα ή κατεσχεμένα σκάφη, τα «Παραδοσιακά πλοία» κατά την έννοια της παραγράφου 2 και τα βρισκόμενα σε κατάσταση ακινησίας, η οποία πιστοποιείται από την αρμόδια Λιμενική Αρχή.</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α. Το ΤΕ.Π.Α.Η. υπολογίζεται ανά τρέχον έτος ή τρέχοντα μήνα από την ημερομηνία πληρωμής και καθορίζεται ως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αα. για τα ολικού μήκους από επτά (7) έως οκτώ (8) μέτρα, σε δεκαέξι(16) ευρώ ανά μήνα,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ββ. για τα ολικού μήκους άνω των οκτώ (8) μέτρων έως και δέκα (10) μέτρα, σε είκοσι πέντε (25) ευρώ ανά μήνα,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γγ. για τα ολικού μήκους άνω των δέκα (10) μέτρων και έως και δώδεκα (12) μέτρα, σε τριάντα τρία (33) ευρώ ανά μήνα,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δδ. 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Με κοινή απόφαση των Υπουργών Ναυτιλίας και Νησιωτικής Πολιτικής και Οικονομικών, είναι δυνατόν να παρέχεται περαιτέρω μείωση μέχρι είκοσι τοις εκατό (20%), για τα σκάφη της περίπτωσης δδ΄,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Σε περίπτωση εφάπαξ προπληρωμής του ΤΕ.Π.Α.Η. για χρονικό διάστημα δώδεκα (12) μηνών (ένα έτος) παρέχεται έκπτωση δέκα τοις εκατό (10%) στο οφειλόμενο ποσό. Η προπληρωμή πραγματοποιείται εντός του Δεκεμβρίου του προηγούμενου έτους για το επόμενο ή εντός του Ιανουαρίου. Το ποσοστό της παρεχόμενης έκπτωσης μπορεί να αναπροσαρμόζεται, με την κοινή υπουργική απόφαση της παραγράφου 7 του παρόντος.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Δ.Ο.Υ. ή Λιμενική Αρχή, ή στην Τελωνειακή Αρχή, στην περίπτωση πλοίων αναψυχής υπό σημαία χώρας εκτός Ευρωπαϊκής Ένωσης, οπότε η τελωνειακή αρχή εκδίδει και το δελτίο κίνησης (transitlog).</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Η απόδειξη καταβολής του ΤΕ.Π.Α.Η. φυλάσσεται μαζί με τα ναυτιλιακά έγγραφα του σκάφους και επιδεικνύεται στις Λιμενικές, Τελωνειακές, Φορολογικές Αρχές, όποτε ζητηθεί.</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 Αν από Λιμενική, Φορολογική, ή Τελωνειακή Αρχή διαπιστωθεί ότι δεν έχει καταβληθεί το ΤΕ.Π.Α.Η., απαγορεύεται ο απόπλους του σκάφους μέχρι την πληρωμή του τέλους και του αναλογούντος προστίμου.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δ. Για τη μη καταβολή ή τη μερική καταβολή του ΤΕ.Π.Α.Η. επιπλέον της πληρωμής του τέλους, επιβάλλεται από την Aρχή που τη διαπιστώνει και πρόστιμο,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αα. για τα ολικού μήκους άνω των επτά (7) μέτρων έως και οκτώ (8) μέτρα, εκατόν ενενήντα (190)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ββ. για τα ολικού μήκους άνω των οκτώ (8) μέτρων και έως και δέκα (10) μέτρα, τριακόσια (300)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γγ. για τα ολικού μήκους άνω των δέκα (10) μέτρων και έως και δώδεκα (12) μέτρα, τετρακόσια (400)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δδ. για τα ολικού μήκους άνω των δώδεκα (12) μέτρων, χίλια εκατό (1.100)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τις πράξεις επιβολής του τέλους και του προστίμου μη καταβολής αυτού δεν έχουν εφαρμογή οι διατάξεις του άρθρου 63 του ν. 4174/2013.</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Υπόχρεος σε καταβολή του ΤΕ.Π.Α.Η. είναι: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 πλοιοκτήτης ή ο εφοπλιστής του επαγγελματικού πλοίου αναψυχής ή του επαγγελματικού τουριστικού ημερόπλοιου ή ο νόμιμος εκπρόσωπός του,</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πλοιοκτήτης ή ο κάτοχος ή ο χρήστης του ιδιωτικού πλοίου αναψυχής. Οι ως άνω ευθύνονται αλληλεγγύως και εις ολόκληρο έκαστος για την πληρωμή του ΤΕ.Π.Α.Η.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Ναυτιλίας και Νησιωτικής Πολιτικής, ορίζεται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παραγράφου 3,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Το ΤΕ.Π.Α.Η. επιβάλλεται για παραμονή στην Ελληνική Επικράτεια από την έκδοση της κοινής υπουργικής απόφασης που προβλέπεται στην παράγραφο 7.</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ΑΝΑΠΛΗΡΩΤΗΣ ΥΠΟΥΡΓΟΣ ΕΘΝΙΚΗΣ ΑΜΥΝΑΣ</w:t>
      </w:r>
    </w:p>
    <w:p>
      <w:pPr>
        <w:spacing w:before="240" w:after="240"/>
        <w:rPr>
          <w:lang w:val="el" w:eastAsia="el"/>
        </w:rPr>
      </w:pPr>
      <w:r>
        <w:rPr>
          <w:lang w:val="el" w:eastAsia="el"/>
        </w:rPr>
        <w:t>ΦΩΤΕΙΝΗ ΓΕΝΝΗΜΑΤΑ</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5" w:history="1">
        <w:r>
          <w:rPr>
            <w:rStyle w:val="Hyperlink"/>
            <w:color w:val="0000EE"/>
            <w:u w:color="0000EE"/>
            <w:lang w:val="el" w:eastAsia="el"/>
          </w:rPr>
          <w:t>Τροποποίηση 4504/2017, Άρθρο 85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5" w:history="1">
        <w:r>
          <w:rPr>
            <w:rStyle w:val="Hyperlink"/>
            <w:color w:val="0000EE"/>
            <w:u w:color="0000EE"/>
            <w:lang w:val="el" w:eastAsia="el"/>
          </w:rPr>
          <w:t>Τροποποίηση 4504/2017, Άρθρο 85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5" w:history="1">
        <w:r>
          <w:rPr>
            <w:rStyle w:val="Hyperlink"/>
            <w:color w:val="0000EE"/>
            <w:u w:color="0000EE"/>
            <w:lang w:val="el" w:eastAsia="el"/>
          </w:rPr>
          <w:t>Τροποποίηση 4504/2017, Άρθρο 85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5" w:history="1">
        <w:r>
          <w:rPr>
            <w:rStyle w:val="Hyperlink"/>
            <w:color w:val="0000EE"/>
            <w:u w:color="0000EE"/>
            <w:lang w:val="el" w:eastAsia="el"/>
          </w:rPr>
          <w:t>Τροποποίηση 4504/2017, Άρθρο 85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5" w:history="1">
        <w:r>
          <w:rPr>
            <w:rStyle w:val="Hyperlink"/>
            <w:color w:val="0000EE"/>
            <w:u w:color="0000EE"/>
            <w:lang w:val="el" w:eastAsia="el"/>
          </w:rPr>
          <w:t>Τροποποίηση 4504/2017, Άρθρο 85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5" w:history="1">
        <w:r>
          <w:rPr>
            <w:rStyle w:val="Hyperlink"/>
            <w:color w:val="0000EE"/>
            <w:u w:color="0000EE"/>
            <w:lang w:val="el" w:eastAsia="el"/>
          </w:rPr>
          <w:t>Τροποποίηση 4504/2017, Άρθρο 85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5" w:history="1">
        <w:r>
          <w:rPr>
            <w:rStyle w:val="Hyperlink"/>
            <w:color w:val="0000EE"/>
            <w:u w:color="0000EE"/>
            <w:lang w:val="el" w:eastAsia="el"/>
          </w:rPr>
          <w:t>Τροποποίηση 4504/2017, Άρθρο 85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5" w:history="1">
        <w:r>
          <w:rPr>
            <w:rStyle w:val="Hyperlink"/>
            <w:color w:val="0000EE"/>
            <w:u w:color="0000EE"/>
            <w:lang w:val="el" w:eastAsia="el"/>
          </w:rPr>
          <w:t>Τροποποίηση 4504/2017, Άρθρο 85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5" w:history="1">
        <w:r>
          <w:rPr>
            <w:rStyle w:val="Hyperlink"/>
            <w:color w:val="0000EE"/>
            <w:u w:color="0000EE"/>
            <w:lang w:val="el" w:eastAsia="el"/>
          </w:rPr>
          <w:t>Τροποποίηση 4504/2017, Άρθρο 85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5" w:history="1">
        <w:r>
          <w:rPr>
            <w:rStyle w:val="Hyperlink"/>
            <w:color w:val="0000EE"/>
            <w:u w:color="0000EE"/>
            <w:lang w:val="el" w:eastAsia="el"/>
          </w:rPr>
          <w:t>Τροποποίηση 4504/2017, Άρθρο 85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5" w:history="1">
        <w:r>
          <w:rPr>
            <w:rStyle w:val="Hyperlink"/>
            <w:color w:val="0000EE"/>
            <w:u w:color="0000EE"/>
            <w:lang w:val="el" w:eastAsia="el"/>
          </w:rPr>
          <w:t>Τροποποίηση 4504/2017, Άρθρο 85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5" w:history="1">
        <w:r>
          <w:rPr>
            <w:rStyle w:val="Hyperlink"/>
            <w:color w:val="0000EE"/>
            <w:u w:color="0000EE"/>
            <w:lang w:val="el" w:eastAsia="el"/>
          </w:rPr>
          <w:t>Τροποποίηση 4504/2017, Άρθρο 85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5" w:history="1">
        <w:r>
          <w:rPr>
            <w:rStyle w:val="Hyperlink"/>
            <w:color w:val="0000EE"/>
            <w:u w:color="0000EE"/>
            <w:lang w:val="el" w:eastAsia="el"/>
          </w:rPr>
          <w:t>Τροποποίηση 4504/2017, Άρθρο 85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85" w:history="1">
        <w:r>
          <w:rPr>
            <w:rStyle w:val="Hyperlink"/>
            <w:color w:val="0000EE"/>
            <w:u w:color="0000EE"/>
            <w:lang w:val="el" w:eastAsia="el"/>
          </w:rPr>
          <w:t>Τροποποίηση 4504/2017, Άρθρο 85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5" w:history="1">
        <w:r>
          <w:rPr>
            <w:rStyle w:val="Hyperlink"/>
            <w:color w:val="0000EE"/>
            <w:u w:color="0000EE"/>
            <w:lang w:val="el" w:eastAsia="el"/>
          </w:rPr>
          <w:t>Τροποποίηση 4504/2017, Άρθρο 85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85" w:history="1">
        <w:r>
          <w:rPr>
            <w:rStyle w:val="Hyperlink"/>
            <w:color w:val="0000EE"/>
            <w:u w:color="0000EE"/>
            <w:lang w:val="el" w:eastAsia="el"/>
          </w:rPr>
          <w:t>Τροποποίηση 4504/2017, Άρθρο 85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5" w:history="1">
        <w:r>
          <w:rPr>
            <w:rStyle w:val="Hyperlink"/>
            <w:color w:val="0000EE"/>
            <w:u w:color="0000EE"/>
            <w:lang w:val="el" w:eastAsia="el"/>
          </w:rPr>
          <w:t>Τροποποίηση 4504/2017, Άρθρο 85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85" w:history="1">
        <w:r>
          <w:rPr>
            <w:rStyle w:val="Hyperlink"/>
            <w:color w:val="0000EE"/>
            <w:u w:color="0000EE"/>
            <w:lang w:val="el" w:eastAsia="el"/>
          </w:rPr>
          <w:t>Τροποποίηση 4504/2017, Άρθρο 85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85" w:history="1">
        <w:r>
          <w:rPr>
            <w:rStyle w:val="Hyperlink"/>
            <w:color w:val="0000EE"/>
            <w:u w:color="0000EE"/>
            <w:lang w:val="el" w:eastAsia="el"/>
          </w:rPr>
          <w:t>Τροποποίηση 4504/2017, Άρθρο 85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66" w:history="1">
        <w:r>
          <w:rPr>
            <w:rStyle w:val="Hyperlink"/>
            <w:color w:val="0000EE"/>
            <w:u w:color="0000EE"/>
            <w:lang w:val="el" w:eastAsia="el"/>
          </w:rPr>
          <w:t>Προσθήκη 4555/2018, Άρθρο 266</w:t>
        </w:r>
      </w:hyperlink>
      <w:r>
        <w:rPr>
          <w:lang w:val="el" w:eastAsia="el"/>
        </w:rPr>
        <w:t xml:space="preserve">; </w:t>
      </w:r>
      <w:hyperlink r:id="rId21" w:anchor="art_85" w:history="1">
        <w:r>
          <w:rPr>
            <w:rStyle w:val="Hyperlink"/>
            <w:color w:val="0000EE"/>
            <w:u w:color="0000EE"/>
            <w:lang w:val="el" w:eastAsia="el"/>
          </w:rPr>
          <w:t>Τροποποίηση 4504/2017, Άρθρο 85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66" w:history="1">
        <w:r>
          <w:rPr>
            <w:rStyle w:val="Hyperlink"/>
            <w:color w:val="0000EE"/>
            <w:u w:color="0000EE"/>
            <w:lang w:val="el" w:eastAsia="el"/>
          </w:rPr>
          <w:t>Προσθήκη 4555/2018, Άρθρο 266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5" w:history="1">
        <w:r>
          <w:rPr>
            <w:rStyle w:val="Hyperlink"/>
            <w:color w:val="0000EE"/>
            <w:u w:color="0000EE"/>
            <w:lang w:val="el" w:eastAsia="el"/>
          </w:rPr>
          <w:t>Τροποποίηση 4504/2017, Άρθρο 85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5" w:history="1">
        <w:r>
          <w:rPr>
            <w:rStyle w:val="Hyperlink"/>
            <w:color w:val="0000EE"/>
            <w:u w:color="0000EE"/>
            <w:lang w:val="el" w:eastAsia="el"/>
          </w:rPr>
          <w:t>Τροποποίηση 4504/2017, Άρθρο 85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5" w:history="1">
        <w:r>
          <w:rPr>
            <w:rStyle w:val="Hyperlink"/>
            <w:color w:val="0000EE"/>
            <w:u w:color="0000EE"/>
            <w:lang w:val="el" w:eastAsia="el"/>
          </w:rPr>
          <w:t>Τροποποίηση 4504/2017, Άρθρο 85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85" w:history="1">
        <w:r>
          <w:rPr>
            <w:rStyle w:val="Hyperlink"/>
            <w:color w:val="0000EE"/>
            <w:u w:color="0000EE"/>
            <w:lang w:val="el" w:eastAsia="el"/>
          </w:rPr>
          <w:t>Τροποποίηση 4504/2017, Άρθρο 85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5" w:history="1">
        <w:r>
          <w:rPr>
            <w:rStyle w:val="Hyperlink"/>
            <w:color w:val="0000EE"/>
            <w:u w:color="0000EE"/>
            <w:lang w:val="el" w:eastAsia="el"/>
          </w:rPr>
          <w:t>Τροποποίηση 4504/2017, Άρθρο 85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5" w:history="1">
        <w:r>
          <w:rPr>
            <w:rStyle w:val="Hyperlink"/>
            <w:color w:val="0000EE"/>
            <w:u w:color="0000EE"/>
            <w:lang w:val="el" w:eastAsia="el"/>
          </w:rPr>
          <w:t>Τροποποίηση 4504/2017, Άρθρο 85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85" w:history="1">
        <w:r>
          <w:rPr>
            <w:rStyle w:val="Hyperlink"/>
            <w:color w:val="0000EE"/>
            <w:u w:color="0000EE"/>
            <w:lang w:val="el" w:eastAsia="el"/>
          </w:rPr>
          <w:t>Τροποποίηση 4504/2017, Άρθρο 85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5" w:history="1">
        <w:r>
          <w:rPr>
            <w:rStyle w:val="Hyperlink"/>
            <w:color w:val="0000EE"/>
            <w:u w:color="0000EE"/>
            <w:lang w:val="el" w:eastAsia="el"/>
          </w:rPr>
          <w:t>Τροποποίηση 4504/2017, Άρθρο 85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85" w:history="1">
        <w:r>
          <w:rPr>
            <w:rStyle w:val="Hyperlink"/>
            <w:color w:val="0000EE"/>
            <w:u w:color="0000EE"/>
            <w:lang w:val="el" w:eastAsia="el"/>
          </w:rPr>
          <w:t>Τροποποίηση 4504/2017, Άρθρο 85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85" w:history="1">
        <w:r>
          <w:rPr>
            <w:rStyle w:val="Hyperlink"/>
            <w:color w:val="0000EE"/>
            <w:u w:color="0000EE"/>
            <w:lang w:val="el" w:eastAsia="el"/>
          </w:rPr>
          <w:t>Τροποποίηση 4504/2017, Άρθρο 85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5" w:history="1">
        <w:r>
          <w:rPr>
            <w:rStyle w:val="Hyperlink"/>
            <w:color w:val="0000EE"/>
            <w:u w:color="0000EE"/>
            <w:lang w:val="el" w:eastAsia="el"/>
          </w:rPr>
          <w:t>Τροποποίηση 4504/2017, Άρθρο 85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85" w:history="1">
        <w:r>
          <w:rPr>
            <w:rStyle w:val="Hyperlink"/>
            <w:color w:val="0000EE"/>
            <w:u w:color="0000EE"/>
            <w:lang w:val="el" w:eastAsia="el"/>
          </w:rPr>
          <w:t>Τροποποίηση 4504/2017, Άρθρο 85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85" w:history="1">
        <w:r>
          <w:rPr>
            <w:rStyle w:val="Hyperlink"/>
            <w:color w:val="0000EE"/>
            <w:u w:color="0000EE"/>
            <w:lang w:val="el" w:eastAsia="el"/>
          </w:rPr>
          <w:t>Αφαίρεση 4504/2017, Άρθρο 85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11/29/4504" TargetMode="External" /><Relationship Id="rId10" Type="http://schemas.openxmlformats.org/officeDocument/2006/relationships/hyperlink" Target="http://data.aade.gr/eli/pri/law/2017/11/29/4504" TargetMode="External" /><Relationship Id="rId11" Type="http://schemas.openxmlformats.org/officeDocument/2006/relationships/hyperlink" Target="http://data.aade.gr/eli/pri/law/2017/11/29/4504" TargetMode="External" /><Relationship Id="rId12" Type="http://schemas.openxmlformats.org/officeDocument/2006/relationships/hyperlink" Target="http://data.aade.gr/eli/pri/law/2017/11/29/4504" TargetMode="External" /><Relationship Id="rId13" Type="http://schemas.openxmlformats.org/officeDocument/2006/relationships/hyperlink" Target="http://data.aade.gr/eli/pri/law/2017/11/29/4504" TargetMode="External" /><Relationship Id="rId14" Type="http://schemas.openxmlformats.org/officeDocument/2006/relationships/hyperlink" Target="http://data.aade.gr/eli/pri/law/2017/11/29/4504" TargetMode="External" /><Relationship Id="rId15" Type="http://schemas.openxmlformats.org/officeDocument/2006/relationships/hyperlink" Target="http://data.aade.gr/eli/pri/law/2017/11/29/4504" TargetMode="External" /><Relationship Id="rId16" Type="http://schemas.openxmlformats.org/officeDocument/2006/relationships/hyperlink" Target="http://data.aade.gr/eli/pri/law/2017/11/29/4504" TargetMode="External" /><Relationship Id="rId17" Type="http://schemas.openxmlformats.org/officeDocument/2006/relationships/hyperlink" Target="http://data.aade.gr/eli/pri/law/2017/11/29/4504" TargetMode="External" /><Relationship Id="rId18" Type="http://schemas.openxmlformats.org/officeDocument/2006/relationships/hyperlink" Target="http://data.aade.gr/eli/pri/law/2017/11/29/4504" TargetMode="External" /><Relationship Id="rId19" Type="http://schemas.openxmlformats.org/officeDocument/2006/relationships/hyperlink" Target="http://data.aade.gr/eli/pri/law/2017/11/29/4504" TargetMode="External" /><Relationship Id="rId2" Type="http://schemas.openxmlformats.org/officeDocument/2006/relationships/hyperlink" Target="http://data.aade.gr/eli/pri/law/2017/11/29/4504" TargetMode="External" /><Relationship Id="rId20" Type="http://schemas.openxmlformats.org/officeDocument/2006/relationships/hyperlink" Target="http://data.aade.gr/eli/pri/law/2018/07/19/4555" TargetMode="External" /><Relationship Id="rId21" Type="http://schemas.openxmlformats.org/officeDocument/2006/relationships/hyperlink" Target="http://data.aade.gr/eli/pri/law/2017/11/29/4504" TargetMode="External" /><Relationship Id="rId22" Type="http://schemas.openxmlformats.org/officeDocument/2006/relationships/hyperlink" Target="http://data.aade.gr/eli/pri/law/2018/07/19/4555" TargetMode="External" /><Relationship Id="rId23" Type="http://schemas.openxmlformats.org/officeDocument/2006/relationships/hyperlink" Target="http://data.aade.gr/eli/pri/law/2017/11/29/4504" TargetMode="External" /><Relationship Id="rId24" Type="http://schemas.openxmlformats.org/officeDocument/2006/relationships/hyperlink" Target="http://data.aade.gr/eli/pri/law/2017/11/29/4504" TargetMode="External" /><Relationship Id="rId25" Type="http://schemas.openxmlformats.org/officeDocument/2006/relationships/hyperlink" Target="http://data.aade.gr/eli/pri/law/2017/11/29/4504" TargetMode="External" /><Relationship Id="rId26" Type="http://schemas.openxmlformats.org/officeDocument/2006/relationships/hyperlink" Target="http://data.aade.gr/eli/pri/law/2017/11/29/4504" TargetMode="External" /><Relationship Id="rId27" Type="http://schemas.openxmlformats.org/officeDocument/2006/relationships/hyperlink" Target="http://data.aade.gr/eli/pri/law/2017/11/29/4504" TargetMode="External" /><Relationship Id="rId28" Type="http://schemas.openxmlformats.org/officeDocument/2006/relationships/hyperlink" Target="http://data.aade.gr/eli/pri/law/2017/11/29/4504" TargetMode="External" /><Relationship Id="rId29" Type="http://schemas.openxmlformats.org/officeDocument/2006/relationships/hyperlink" Target="http://data.aade.gr/eli/pri/law/2017/11/29/4504" TargetMode="External" /><Relationship Id="rId3" Type="http://schemas.openxmlformats.org/officeDocument/2006/relationships/hyperlink" Target="http://data.aade.gr/eli/pri/law/2017/11/29/4504" TargetMode="External" /><Relationship Id="rId30" Type="http://schemas.openxmlformats.org/officeDocument/2006/relationships/hyperlink" Target="http://data.aade.gr/eli/pri/law/2017/11/29/4504" TargetMode="External" /><Relationship Id="rId31" Type="http://schemas.openxmlformats.org/officeDocument/2006/relationships/hyperlink" Target="http://data.aade.gr/eli/pri/law/2017/11/29/4504" TargetMode="External" /><Relationship Id="rId32" Type="http://schemas.openxmlformats.org/officeDocument/2006/relationships/hyperlink" Target="http://data.aade.gr/eli/pri/law/2017/11/29/4504" TargetMode="External" /><Relationship Id="rId33" Type="http://schemas.openxmlformats.org/officeDocument/2006/relationships/hyperlink" Target="http://data.aade.gr/eli/pri/law/2017/11/29/4504" TargetMode="External" /><Relationship Id="rId34" Type="http://schemas.openxmlformats.org/officeDocument/2006/relationships/hyperlink" Target="http://data.aade.gr/eli/pri/law/2017/11/29/4504" TargetMode="External" /><Relationship Id="rId35" Type="http://schemas.openxmlformats.org/officeDocument/2006/relationships/hyperlink" Target="http://data.aade.gr/eli/pri/law/2017/11/29/4504" TargetMode="External" /><Relationship Id="rId4" Type="http://schemas.openxmlformats.org/officeDocument/2006/relationships/hyperlink" Target="http://data.aade.gr/eli/pri/law/2017/11/29/4504" TargetMode="External" /><Relationship Id="rId5" Type="http://schemas.openxmlformats.org/officeDocument/2006/relationships/hyperlink" Target="http://data.aade.gr/eli/pri/law/2017/11/29/4504" TargetMode="External" /><Relationship Id="rId6" Type="http://schemas.openxmlformats.org/officeDocument/2006/relationships/hyperlink" Target="http://data.aade.gr/eli/pri/law/2017/11/29/4504" TargetMode="External" /><Relationship Id="rId7" Type="http://schemas.openxmlformats.org/officeDocument/2006/relationships/hyperlink" Target="http://data.aade.gr/eli/pri/law/2017/11/29/4504" TargetMode="External" /><Relationship Id="rId8" Type="http://schemas.openxmlformats.org/officeDocument/2006/relationships/hyperlink" Target="http://data.aade.gr/eli/pri/law/2017/11/29/4504" TargetMode="External" /><Relationship Id="rId9" Type="http://schemas.openxmlformats.org/officeDocument/2006/relationships/hyperlink" Target="http://data.aade.gr/eli/pri/law/2017/11/29/4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