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τα ακίνητα σχολάζουσας κληρονομιάς.</w:t>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τα κληρονομιαία ακίνητα.</w:t>
      </w:r>
    </w:p>
    <w:p>
      <w:pPr>
        <w:pStyle w:val="StructureList1"/>
        <w:spacing w:before="120" w:after="0"/>
        <w:rPr>
          <w:lang w:val="el" w:eastAsia="el"/>
        </w:rPr>
      </w:pPr>
      <w:r>
        <w:rPr>
          <w:lang w:val="el" w:eastAsia="el"/>
        </w:rPr>
        <w:t>ε)</w:t>
      </w:r>
      <w:r>
        <w:rPr>
          <w:lang w:val="en" w:eastAsia="en"/>
        </w:rPr>
        <w:tab/>
      </w:r>
      <w:r>
        <w:rPr>
          <w:lang w:val="el" w:eastAsia="el"/>
        </w:rPr>
        <w:t>Ο μεσεγγυούχος ακινήτου.</w:t>
      </w:r>
    </w:p>
    <w:p>
      <w:pPr>
        <w:pStyle w:val="StructureList1"/>
        <w:spacing w:before="120" w:after="0"/>
        <w:rPr>
          <w:lang w:val="el" w:eastAsia="el"/>
        </w:rPr>
      </w:pPr>
      <w:r>
        <w:rPr>
          <w:lang w:val="el" w:eastAsia="el"/>
        </w:rPr>
        <w:t>στ)</w:t>
      </w:r>
      <w:r>
        <w:rPr>
          <w:lang w:val="en" w:eastAsia="en"/>
        </w:rPr>
        <w:tab/>
      </w:r>
      <w:r>
        <w:rPr>
          <w:lang w:val="el" w:eastAsia="el"/>
        </w:rPr>
        <w:t>Ο σύνδικος της πτώχευσης.</w:t>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στην Εταιρεία των Ακινήτων του Δημοσίου (ΕΤ.Α.Δ. Α. Ε.) και στην εταιρεία «Παράκτιο Αττικό Μέτωπο Α.Ε.» με την επιφύλαξη της παραγράφου 7 του άρθρου 2.</w:t>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 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Οι ανώνυμες εταιρείες της Γενικής Κυβέρνησης, με την επιφύλαξη της προηγούμενης περίπτωσης, δεν απαλλάσσονται από τον ΕΝ.Φ.Ι.Α.</w:t>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w:t>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w:t>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w:t>
            </w:r>
          </w:p>
        </w:tc>
      </w:tr>
    </w:tbl>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w:t>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οπότε θεωρείται ότι ο Σ.Α.Ο. έχει εξαντληθεί.</w:t>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στο μέρος της συνολικής αξίας των δικαιωμάτων της παραγράφου 2 του άρθρου 1, σύμφωνα με τα κλιμάκια και τους συντελεστές του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5"/>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bl>
    <w:p>
      <w:pPr>
        <w:spacing w:before="240" w:after="240"/>
        <w:rPr>
          <w:lang w:val="el" w:eastAsia="el"/>
        </w:rPr>
      </w:pPr>
      <w:r>
        <w:rPr>
          <w:lang w:val="el" w:eastAsia="el"/>
        </w:rPr>
        <w:t>Στη συνολική αξία των δικαιωμάτων της παραγράφου 2 του άρθρου 1 κατά το προηγούμενο εδάφιο δεν συνυπολογίζεται η αξία των δικαιωμάτων επί των γηπέδων εκτός σχεδίου πόλης ή οικισμού σύμφωνα με την παράγραφο Β.2 του παρόντος. 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των επί των γηπέδων ή οικοπέδων στα οποία βρίσκονται.</w:t>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 συνολική αξία των δικαιωμάτων της παραγράφου 2 του άρθρου 1 και ισούται με το πέντε τοις χιλίοις (5%ο). Στην, κατά το προηγούμενο εδάφιο, συνολική αξία δεν συμπεριλαμβάνεται, για τον υπολογισμό του συμπληρωματικού ΕΝ.Φ.Ι.Α.:</w:t>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w:t>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p>
    <w:p>
      <w:pPr>
        <w:pStyle w:val="StructureList1"/>
        <w:spacing w:before="120" w:after="0"/>
        <w:rPr>
          <w:lang w:val="el" w:eastAsia="el"/>
        </w:rPr>
      </w:pPr>
      <w:r>
        <w:rPr>
          <w:lang w:val="el" w:eastAsia="el"/>
        </w:rPr>
        <w:t>γ)</w:t>
      </w:r>
      <w:r>
        <w:rPr>
          <w:lang w:val="en" w:eastAsia="en"/>
        </w:rPr>
        <w:tab/>
      </w:r>
      <w:r>
        <w:rPr>
          <w:lang w:val="el" w:eastAsia="el"/>
        </w:rPr>
        <w:t>η αξία των δικαιωμάτων σε κτίσματα της παραγράφου Α.1 του άρθρου 4 του παρόντος, καθώς και σε οικόπεδα και γήπεδα των παραγράφων Β.1 και Β.2, εφόσον αυτά ιδιοχρησιμοποιούνται για την παραγωγή ή την άσκηση κάθε είδους επιχειρηματικής δραστηριότητας, ανεξαρτήτως αντικειμένου εργασιών. Ειδικά, για τα Ν.Π.Δ.Δ. και τα Ν.Π.Ι.Δ. μη κερδοσκοπικού χαρακτήρα, όπως ορίζονται στις περιπτώσεις β΄, ε΄, στ΄ και ζ΄ του άρθρου 3 του παρόντος και τις Ανώνυμες Εταιρείες Επε-νεδύσεων σε Ακίνητη Περιουσία (Α.Ε.Ε.Α.Π.) του Ν. 2778/1999, ο συμπληρωματικός ΕΝ.Φ.Ι.Α. ισούται με δύο και μισό τοις χιλίοις (2,5%ο) επί της συνολικής αξίας των δικαιωμάτων της παραγράφου 2 του άρθρου 1 για τα ακίνητα που δεν ιδιοχρησιμοποιούν.</w:t>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31 του Κώδικα Φορολογικής Διαδικασίας (Ν. 4174/2013, Α΄ 170). </w:t>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 Για τη σύσταση, απόκτηση και κάθε άλλη μεταβολή στα δικαιώματα της παραγράφου 2 του άρθρου 1, από 1.1.2014 και εφεξής,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Κ.Φ.Ε., δεν υπερβαίνει τις εννέα χιλιάδες (9.000) ευρώ, προσαυξημένο κατά χίλια (1.000) ευρώ για τον ή την σύζυγο και κάθε εξαρτώμενο μέλος,</w:t>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δεν υπερβαίνει τα εκατόν πενήντα τετραγωνικά μέτρα (150 μ2) και</w:t>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δεν έχουν ή δεν ευθύνονται με ληξιπρόθεσμες οφειλές που δεν έχουν ρυθμιστεί προς το Δημόσιο και τα Ασφαλιστικά Ταμεία.</w:t>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Κ.Φ.Ε. δεν υπερβαίνει τις δώδεκα χιλιάδες (12.000) ευρώ, προσαυξημένο κατά χίλια (1.000) ευρώ για τον ή την σύζυγο και κάθε εξαρτώμενο μέλος,</w:t>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δεν υπερβαίνει τα εκατόν πενήντα τετραγωνικά μέτρα (150 μ2),</w:t>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δεν έχουν ή δεν ευθύνονται με ληξιπρόθεσμες οφειλές που δεν έχουν ρυθμιστεί προς το Δημόσιο και τα Ασφαλιστικά Ταμεία και</w:t>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ενός έτους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το νομικό πρόσωπο δεν έχει ή δεν ευθύνεται για ληξιπρόθεσμες οφειλές προς το Δημόσιο και τα Ασφαλιστικά Ταμεία.</w:t>
      </w:r>
    </w:p>
    <w:p>
      <w:pPr>
        <w:pStyle w:val="MainText"/>
        <w:spacing w:before="120" w:after="0"/>
        <w:rPr>
          <w:lang w:val="el" w:eastAsia="el"/>
        </w:rPr>
      </w:pPr>
      <w:r>
        <w:rPr>
          <w:b/>
          <w:bCs/>
          <w:lang w:val="el" w:eastAsia="el"/>
        </w:rPr>
        <w:t>4.</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και η τελευταία δόση καταβάλλεται μέχρι την τελευταία εργάσιμη ημέρα του Δεκεμβρίου του ίδιου έτους. </w:t>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Οι διατάξεις του άρθρου 54Α του ν. 4174/2013, όπως προστέθηκαν με την παράγραφο 2 του άρθρου 9 του παρόντος, δεν εφαρμόζονται από 1.1.2014, για το σύνολο των μισθώσεων, των αδειών και άλλων συναφών συμβάσεων που συνάπτονται εκάστοτε από την Εταιρεία Αεροδρομίου σε σχέση με τη χρησιμοποίηση του ακινήτου, των προσθηκών επικαρπίας ή οποιουδήποτε μέρους αυτών, οι οποίες καταρτίζονται συμβολαιογραφικά, κατ' εφαρμογή των διατάξεων του άρθρου 13 της Σύμβασης Ανάπτυξης Αεροδρομίου (ΣΑΑ), όπως αυτή κυρώθηκε με τις διατάξεις του ν. 2338/1995 (Α' 202).</w:t>
      </w:r>
      <w:r>
        <w:rPr>
          <w:rStyle w:val="Hyperlink"/>
          <w:color w:val="000000"/>
          <w:sz w:val="20"/>
          <w:szCs w:val="20"/>
          <w:u w:val="none" w:color="0000EE"/>
          <w:vertAlign w:val="superscript"/>
          <w:lang w:val="el" w:eastAsia="el"/>
        </w:rPr>
        <w:footnoteReference w:id="2"/>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Το τρίτο εδάφιο της παρ. 17 του άρθρου 11 του Ν. 4110/2013 καταργείται.</w:t>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εφόσον δεν μπορεί να εκπεστεί ολόκληρη η αξία των αποκτηθέντων παγίων περιουσιακών στοιχείων εντός της χρήσεως, στην οποία αυτά αποκτήθηκαν.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Οι αναγκαίες πιστώσεις για την εξυπηρέτηση και διαχείριση του Δημοσίου Χρέους (χρεολύσια - τόκοι -συναφείς δαπάνες) εγγράφονται στον Κρατικό Προϋπολογισμό σε ειδικό φορέα του Υπουργείου Οικονομικών μετά από εισήγηση του Ο.Δ.ΔΗ.Χ.. Οι πληρωμές διενεργούνται από την αρμόδια Διεύθυνση των Λογαριασμών του Δημοσίου του Γενικού Λογιστηρίου του Κράτους (Δ24) σύμφωνα με την πρόταση του Ο.Δ.ΔΗ.Χ. και τακτοποιούνται με την έκδοση τακτικών συμψηφιστικών χρηματικών ενταλμάτων, σύμφωνα με τις ισχύουσες διατάξεις.</w:t>
      </w:r>
    </w:p>
    <w:p>
      <w:pPr>
        <w:spacing w:before="240" w:after="240"/>
        <w:rPr>
          <w:lang w:val="el" w:eastAsia="el"/>
        </w:rPr>
      </w:pPr>
      <w:r>
        <w:rPr>
          <w:lang w:val="el" w:eastAsia="el"/>
        </w:rPr>
        <w:t>Με την ίδια ως άνω διαδικασία διενεργούνται και οι εγγραφές των πιστωτικών εσόδων στον Κρατικό Προϋπολογισμό.</w:t>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και οι αποσπάσεις του ειδικού επιστημονικού προσωπικού του Ο.Δ.ΔΗ.Χ. που λήγουν εντός του έτους 2013 παρατείνονται αυτοδικαίως από τη λήξη τους μέχρι τις 31.12.2014.</w:t>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Οι προθεσμίες αποστολής από τους Διατάκτες στις οικείες Υ.Δ.Ε., των δικαιολογητικών δαπανών προς έκδοση σχετικών χρηματικών ενταλμάτων για την πληρωμή τους, και θεώρησης των εκδιδόμενων ενταλμάτων από το Ελεγκτικό Συνέδριο, στις προβλεπόμενες περιπτώσεις, καθορίζονται ως ακολούθως:</w:t>
      </w:r>
    </w:p>
    <w:p>
      <w:pPr>
        <w:spacing w:before="240" w:after="240"/>
        <w:rPr>
          <w:lang w:val="el" w:eastAsia="el"/>
        </w:rPr>
      </w:pPr>
      <w:r>
        <w:rPr>
          <w:lang w:val="el" w:eastAsia="el"/>
        </w:rPr>
        <w:t>(i) Αποστολή δικαιολογητικών: Εντός τριών (3) ημερών από την πρωτοκόλληση του τιμολογίου ή άλλου ισοδύναμου εγγράφου στην Υπηρεσία.</w:t>
      </w:r>
    </w:p>
    <w:p>
      <w:pPr>
        <w:spacing w:before="240" w:after="240"/>
        <w:rPr>
          <w:lang w:val="el" w:eastAsia="el"/>
        </w:rPr>
      </w:pPr>
      <w:r>
        <w:rPr>
          <w:lang w:val="el" w:eastAsia="el"/>
        </w:rPr>
        <w:t>(ii) Θεώρηση των χρηματικών ενταλμάτων: Εντός πέντε (5) ημερών από την παραλαβή τους από την οικεία Υπηρεσία Επιτρόπου του Ελεγκτικού Συνεδρίου.</w:t>
      </w:r>
    </w:p>
    <w:p>
      <w:pPr>
        <w:spacing w:before="240" w:after="240"/>
        <w:rPr>
          <w:lang w:val="el" w:eastAsia="el"/>
        </w:rPr>
      </w:pPr>
      <w:r>
        <w:rPr>
          <w:lang w:val="el" w:eastAsia="el"/>
        </w:rPr>
        <w:t>β. Μη τήρηση των ανωτέρω προθεσμιών συνεπάγεται την πειθαρχική και αστική ευθύνη των αρμόδιων οργάνων κατά τις σχετικές διατάξεις του Υπαλληλικού Κώδικα.</w:t>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Από τους τακτικούς προϋπολογισμούς των υπουργείων (κεντρικών, περιφερειακών υπηρεσιών) και αποκεντρωμένων διοικήσεων, μεταφέρεται μέρος των πιστώσεών τους που έχουν προβλεφθεί για μεταβιβάσεις προς φορείς εντός ή εκτός της Γενικής Κυβέρνησης, προκειμένου να καλυφθούν οι δαπάνες μισθοδοσίας προσωπικού που θα προκύψουν από τη μετάταξη ή μεταφορά ή προσωρινή τοποθέτηση υπαλλήλων. Ομοίως, από τις ως άνω πιστώσεις θα καλυφθούν και οι δαπάνες μισθοδοσίας νεοπροσλαμβανόμενου προσωπικού, στα πλαίσια ανακατανομής προσωπικού στο δημόσιο τομέα. Η διαδικασία διενεργείται κατά το στάδιο κατάρτισης του Κρατικού Προϋπολογισμού. Ειδικά για το έτος 2014 οι απαιτούμενες πιστώσεις μεταφέρονται κατά το πρώτο δίμηνο του έτους αυτού.</w:t>
      </w:r>
    </w:p>
    <w:p>
      <w:pPr>
        <w:spacing w:before="240" w:after="240"/>
        <w:rPr>
          <w:lang w:val="el" w:eastAsia="el"/>
        </w:rPr>
      </w:pPr>
      <w:r>
        <w:rPr>
          <w:lang w:val="el" w:eastAsia="el"/>
        </w:rPr>
        <w:t>Το ποσό ή ποσοστό παρακράτησης επί των ανωτέρω μεταβιβάσεων καθορίζεται με κοινή απόφαση των Υπουργών Οικονομικών, Διοικητικής Μεταρρύθμισης και Ηλεκτρονικής Διακυβέρνησης και του καθ΄ ύλην αρμόδιου υπουργού και μεταφέρεται σε ειδικούς κωδικούς εξόδων του προϋπολογισμού του Υπουργείου Οικονομικών. Με την ίδια απόφαση καθορίζεται κάθε αναγκαία λεπτομέρεια επί της ακολουθούμενης διαδικασίας.</w:t>
      </w:r>
    </w:p>
    <w:p>
      <w:pPr>
        <w:spacing w:before="240" w:after="240"/>
        <w:rPr>
          <w:lang w:val="el" w:eastAsia="el"/>
        </w:rPr>
      </w:pPr>
      <w:r>
        <w:rPr>
          <w:lang w:val="el" w:eastAsia="el"/>
        </w:rPr>
        <w:t>Τυχόν υπόλοιπα των κωδικών αυτών μεταφέρονται στους προϋπολογισμούς των υπουργείων (κεντρικών, περιφερειακών υπηρεσιών) και αποκεντρωμένων διοικήσεων, προκειμένου να μεταβιβασθούν στους φορείς των υποτομέων τους το αργότερο στο τελευταίο δίμηνο κάθε έτους, με απόφαση του Υπουργού Οικονομικών.</w:t>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 Α. α' βαθμού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 Α. α' και β' βαθμού, της Κεντρικής Ένωσης Δήμων Ελλάδος, της Ένωσης Περιφερειών Ελλάδος και των Περιφερειακών Ενώσεων Δήμων με την επιφύλαξη του άρθρου 16 του ν. 3448/2006, του άρθρου 5 του ν. 3613/2007, του άρθρου 53 του ν. 3979/2011 και του άρθρου 21 του ν. 4210/2013.</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β. Σύμφωνη γνώμη του αρμόδιου για το διορισμό οργάνου του φορέα προέλευσης ή του οικείου υπηρεσιακού συμβουλίου.</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3.</w:t>
      </w:r>
      <w:r>
        <w:rPr>
          <w:lang w:val="el" w:eastAsia="el"/>
        </w:rPr>
        <w:t xml:space="preserve"> Εντός τριών (3) ημερών από τη λήξη της προθεσμίας της προηγούμενης παραγράφου, το αρμόδιο προς διορισμό όργανο του φορέα υποδοχής συντάσσει την απόφαση μετάταξης κατά παρέκκλιση κάθε άλλης διαδικασίας, επί της οποίας βεβαιώνεται η ύπαρξη της αναγκαίας πίστωσης και την αποστέλλει αμελλητί για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13"/>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α. Οι παράγραφοι 1 και 2 του άρθρου 36 του Ν. 4182/2013 αντικαθίστανται από μία νέα παράγραφο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 Για τα θέματα ανοικοδόμησης ή ουσιώδους ανακατασκευής ακινήτων της περιουσίας εφαρμόζεται η παράγραφος 4 του άρθρου 42.»</w:t>
      </w:r>
    </w:p>
    <w:p>
      <w:pPr>
        <w:spacing w:before="240" w:after="240"/>
        <w:rPr>
          <w:lang w:val="el" w:eastAsia="el"/>
        </w:rPr>
      </w:pPr>
      <w:r>
        <w:rPr>
          <w:lang w:val="el" w:eastAsia="el"/>
        </w:rPr>
        <w:t>β. Οι παράγραφοι 3 και 4 του άρθρου 36 του Ν. 4182/2013 αναριθμούνται σε παραγράφους 2 και 3 αντίστοιχα.</w:t>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για διάστημα έξι μηνών από την έναρξη ισχύος του παρόντος νόμου, κατά παρέκκλιση της παρ. 16 του άρθρου ένατου του Ν. 4057/2012 (Α΄ 54).</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έκτο εδάφιο της παρ. 6 του άρθρου 1 του Ν. 1667/1986 (Α΄ 196) αντικαθίσταται ως εξής:</w:t>
      </w:r>
    </w:p>
    <w:p>
      <w:pPr>
        <w:spacing w:before="240" w:after="240"/>
        <w:rPr>
          <w:lang w:val="el" w:eastAsia="el"/>
        </w:rPr>
      </w:pPr>
      <w:r>
        <w:rPr>
          <w:lang w:val="el" w:eastAsia="el"/>
        </w:rPr>
        <w:t>« 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Ν.Π.Δ.Δ. ανεξαρτήτως του χρόνου βεβαίωσης αυτών. Το αξιόποινο των ανωτέρω αδικημάτων των εν λόγω προσώπων εξαλείφεται και παύει η ποινική δίωξη.</w:t>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Αναστέλλεται έως την 31η Δεκεμβρίου 2014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2.</w:t>
      </w:r>
      <w:r>
        <w:rPr>
          <w:lang w:val="el" w:eastAsia="el"/>
        </w:rPr>
        <w:t xml:space="preserve"> Αναστέλλεται έως την 31η Δεκεμβρίου 2014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9η Μαΐου 2013 είχε κατατεθεί πλήρης φάκελος για την υπογραφή σύμβασης πώλησης.</w:t>
      </w:r>
    </w:p>
    <w:p>
      <w:pPr>
        <w:pStyle w:val="MainText"/>
        <w:spacing w:before="120" w:after="0"/>
        <w:rPr>
          <w:lang w:val="el" w:eastAsia="el"/>
        </w:rPr>
      </w:pPr>
      <w:r>
        <w:rPr>
          <w:b/>
          <w:bCs/>
          <w:lang w:val="el" w:eastAsia="el"/>
        </w:rPr>
        <w:t>3.</w:t>
      </w:r>
      <w:r>
        <w:rPr>
          <w:lang w:val="el" w:eastAsia="el"/>
        </w:rPr>
        <w:t xml:space="preserve"> Η αναστολή σύναψης συμβάσεων των δύο προηγούμενων παραγράφων μπορεί να αίρεται πριν από την 31 η Δεκεμβρίου 2014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p>
    <w:p>
      <w:pPr>
        <w:pStyle w:val="MainText"/>
        <w:spacing w:before="120" w:after="0"/>
        <w:rPr>
          <w:lang w:val="el" w:eastAsia="el"/>
        </w:rPr>
      </w:pPr>
      <w:r>
        <w:rPr>
          <w:b/>
          <w:bCs/>
          <w:lang w:val="el" w:eastAsia="el"/>
        </w:rPr>
        <w:t>4.</w:t>
      </w:r>
      <w:r>
        <w:rPr>
          <w:lang w:val="el" w:eastAsia="el"/>
        </w:rPr>
        <w:t xml:space="preserve"> Από την αναστολή της παραγράφου 1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 καθώς και οι φωτοβολταϊκές εγκαταστάσεις που εντάσσονται στην κατηγορία του αυτοπαραγωγού και αποτελούν μέρος επιχειρηματικού σχεδίου που συγχρηματοδοτείται από πόρους της Ευρωπαϊκής Ένωσης.</w:t>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Ειδικά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η 30ή Σεπτεμβρίου 2014.</w:t>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9" w:history="1">
        <w:r>
          <w:rPr>
            <w:rStyle w:val="Hyperlink"/>
            <w:color w:val="0000EE"/>
            <w:u w:color="0000EE"/>
            <w:lang w:val="el" w:eastAsia="el"/>
          </w:rPr>
          <w:t>Προσθήκη 4250/2014, Άρθρο 49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51" w:history="1">
        <w:r>
          <w:rPr>
            <w:rStyle w:val="Hyperlink"/>
            <w:color w:val="0000EE"/>
            <w:u w:color="0000EE"/>
            <w:lang w:val="el" w:eastAsia="el"/>
          </w:rPr>
          <w:t>Τροποποίηση 4250/2014, Άρθρο 51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51" w:history="1">
        <w:r>
          <w:rPr>
            <w:rStyle w:val="Hyperlink"/>
            <w:color w:val="0000EE"/>
            <w:u w:color="0000EE"/>
            <w:lang w:val="el" w:eastAsia="el"/>
          </w:rPr>
          <w:t>Τροποποίηση 4250/2014, Άρθρο 51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51" w:history="1">
        <w:r>
          <w:rPr>
            <w:rStyle w:val="Hyperlink"/>
            <w:color w:val="0000EE"/>
            <w:u w:color="0000EE"/>
            <w:lang w:val="el" w:eastAsia="el"/>
          </w:rPr>
          <w:t>Τροποποίηση 4250/2014, Άρθρο 51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51" w:history="1">
        <w:r>
          <w:rPr>
            <w:rStyle w:val="Hyperlink"/>
            <w:color w:val="0000EE"/>
            <w:u w:color="0000EE"/>
            <w:lang w:val="el" w:eastAsia="el"/>
          </w:rPr>
          <w:t>Τροποποίηση 4250/2014, Άρθρο 51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51" w:history="1">
        <w:r>
          <w:rPr>
            <w:rStyle w:val="Hyperlink"/>
            <w:color w:val="0000EE"/>
            <w:u w:color="0000EE"/>
            <w:lang w:val="el" w:eastAsia="el"/>
          </w:rPr>
          <w:t>Τροποποίηση 4250/2014, Άρθρο 51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51" w:history="1">
        <w:r>
          <w:rPr>
            <w:rStyle w:val="Hyperlink"/>
            <w:color w:val="0000EE"/>
            <w:u w:color="0000EE"/>
            <w:lang w:val="el" w:eastAsia="el"/>
          </w:rPr>
          <w:t>Τροποποίηση 4250/2014, Άρθρο 51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51" w:history="1">
        <w:r>
          <w:rPr>
            <w:rStyle w:val="Hyperlink"/>
            <w:color w:val="0000EE"/>
            <w:u w:color="0000EE"/>
            <w:lang w:val="el" w:eastAsia="el"/>
          </w:rPr>
          <w:t>Τροποποίηση 4250/2014, Άρθρο 51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51" w:history="1">
        <w:r>
          <w:rPr>
            <w:rStyle w:val="Hyperlink"/>
            <w:color w:val="0000EE"/>
            <w:u w:color="0000EE"/>
            <w:lang w:val="el" w:eastAsia="el"/>
          </w:rPr>
          <w:t>Τροποποίηση 4250/2014, Άρθρο 51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51" w:history="1">
        <w:r>
          <w:rPr>
            <w:rStyle w:val="Hyperlink"/>
            <w:color w:val="0000EE"/>
            <w:u w:color="0000EE"/>
            <w:lang w:val="el" w:eastAsia="el"/>
          </w:rPr>
          <w:t>Τροποποίηση 4250/2014, Άρθρο 51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1" w:history="1">
        <w:r>
          <w:rPr>
            <w:rStyle w:val="Hyperlink"/>
            <w:color w:val="0000EE"/>
            <w:u w:color="0000EE"/>
            <w:lang w:val="el" w:eastAsia="el"/>
          </w:rPr>
          <w:t>Τροποποίηση 4250/2014, Άρθρο 51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51" w:history="1">
        <w:r>
          <w:rPr>
            <w:rStyle w:val="Hyperlink"/>
            <w:color w:val="0000EE"/>
            <w:u w:color="0000EE"/>
            <w:lang w:val="el" w:eastAsia="el"/>
          </w:rPr>
          <w:t>Τροποποίηση 4250/2014, Άρθρο 51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1" w:history="1">
        <w:r>
          <w:rPr>
            <w:rStyle w:val="Hyperlink"/>
            <w:color w:val="0000EE"/>
            <w:u w:color="0000EE"/>
            <w:lang w:val="el" w:eastAsia="el"/>
          </w:rPr>
          <w:t>Προσθήκη 4238/2014, Άρθρο 41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41" w:history="1">
        <w:r>
          <w:rPr>
            <w:rStyle w:val="Hyperlink"/>
            <w:color w:val="0000EE"/>
            <w:u w:color="0000EE"/>
            <w:lang w:val="el" w:eastAsia="el"/>
          </w:rPr>
          <w:t>Τροποποίηση 4238/2014, Άρθρο 41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4/03/26/4250" TargetMode="External" /><Relationship Id="rId10" Type="http://schemas.openxmlformats.org/officeDocument/2006/relationships/hyperlink" Target="http://data.aade.gr/eli/pri/law/2014/03/26/4250" TargetMode="External" /><Relationship Id="rId11" Type="http://schemas.openxmlformats.org/officeDocument/2006/relationships/hyperlink" Target="http://data.aade.gr/eli/pri/law/2014/03/26/4250" TargetMode="External" /><Relationship Id="rId12" Type="http://schemas.openxmlformats.org/officeDocument/2006/relationships/hyperlink" Target="http://data.aade.gr/eli/pri/law/2014/03/26/4250" TargetMode="External" /><Relationship Id="rId13" Type="http://schemas.openxmlformats.org/officeDocument/2006/relationships/hyperlink" Target="http://data.aade.gr/eli/pri/law/2014/02/17/4238" TargetMode="External" /><Relationship Id="rId14" Type="http://schemas.openxmlformats.org/officeDocument/2006/relationships/hyperlink" Target="http://data.aade.gr/eli/pri/law/2014/02/17/4238" TargetMode="External" /><Relationship Id="rId2" Type="http://schemas.openxmlformats.org/officeDocument/2006/relationships/hyperlink" Target="http://data.aade.gr/eli/pri/law/2014/03/26/4250" TargetMode="External" /><Relationship Id="rId3" Type="http://schemas.openxmlformats.org/officeDocument/2006/relationships/hyperlink" Target="http://data.aade.gr/eli/pri/law/2014/03/26/4250" TargetMode="External" /><Relationship Id="rId4" Type="http://schemas.openxmlformats.org/officeDocument/2006/relationships/hyperlink" Target="http://data.aade.gr/eli/pri/law/2014/03/26/4250" TargetMode="External" /><Relationship Id="rId5" Type="http://schemas.openxmlformats.org/officeDocument/2006/relationships/hyperlink" Target="http://data.aade.gr/eli/pri/law/2014/03/26/4250" TargetMode="External" /><Relationship Id="rId6" Type="http://schemas.openxmlformats.org/officeDocument/2006/relationships/hyperlink" Target="http://data.aade.gr/eli/pri/law/2014/03/26/4250" TargetMode="External" /><Relationship Id="rId7" Type="http://schemas.openxmlformats.org/officeDocument/2006/relationships/hyperlink" Target="http://data.aade.gr/eli/pri/law/2014/03/26/4250" TargetMode="External" /><Relationship Id="rId8" Type="http://schemas.openxmlformats.org/officeDocument/2006/relationships/hyperlink" Target="http://data.aade.gr/eli/pri/law/2014/03/26/4250" TargetMode="External" /><Relationship Id="rId9" Type="http://schemas.openxmlformats.org/officeDocument/2006/relationships/hyperlink" Target="http://data.aade.gr/eli/pri/law/2014/03/26/425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