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 Α. α' βαθμού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 Α. α' και β' βαθμού, της Κεντρικής Ένωσης Δήμων Ελλάδος, της Ένωσης Περιφερειών Ελλάδος και των Περιφερειακών Ενώσεων Δήμων με την επιφύλαξη του άρθρου 16 του ν. 3448/2006, του άρθρου 5 του ν. 3613/2007, του άρθρου 53 του ν. 3979/2011 και του άρθρου 21 του ν. 4210/2013.</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Σύμφωνη γνώμη του αρμόδιου για το διορισμό οργάνου του φορέα προέλευσης ή του οικείου υπηρεσιακού συμβουλίου.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επί της οποίας βεβαιώνεται η ύπαρξη της αναγκαίας πίστωσης και την αποστέλλει αμελλητί για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α. Οι παράγραφοι 1 και 2 του άρθρου 36 του Ν. 4182/2013 αντικαθίστανται από μία νέα παράγραφο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 Για τα θέματα ανοικοδόμησης ή ουσιώδους ανακατασκευής ακινήτων της περιουσίας εφαρμόζεται η παράγραφος 4 του άρθρου 42.»</w:t>
      </w:r>
    </w:p>
    <w:p>
      <w:pPr>
        <w:spacing w:before="240" w:after="240"/>
        <w:rPr>
          <w:lang w:val="el" w:eastAsia="el"/>
        </w:rPr>
      </w:pPr>
      <w:r>
        <w:rPr>
          <w:lang w:val="el" w:eastAsia="el"/>
        </w:rPr>
        <w:t>β. Οι παράγραφοι 3 και 4 του άρθρου 36 του Ν. 4182/2013 αναριθμούνται σε παραγράφους 2 και 3 αντίστοιχα.</w:t>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έκτο εδάφιο της παρ. 6 του άρθρου 1 του Ν. 1667/1986 (Α΄ 196) αντικαθίσταται ως εξής:</w:t>
      </w:r>
    </w:p>
    <w:p>
      <w:pPr>
        <w:spacing w:before="240" w:after="240"/>
        <w:rPr>
          <w:lang w:val="el" w:eastAsia="el"/>
        </w:rPr>
      </w:pPr>
      <w:r>
        <w:rPr>
          <w:lang w:val="el" w:eastAsia="el"/>
        </w:rPr>
        <w:t>« 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Προσθήκη 4250/2014,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Αφαίρεση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 w:history="1">
        <w:r>
          <w:rPr>
            <w:rStyle w:val="Hyperlink"/>
            <w:color w:val="0000EE"/>
            <w:u w:color="0000EE"/>
            <w:lang w:val="el" w:eastAsia="el"/>
          </w:rPr>
          <w:t>Τροποποίηση 4254/2014,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Τροποποίηση 4250/2014,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4250/2014,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4250/2014,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Τροποποίηση 4250/2014,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Τροποποίηση 4250/2014,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Τροποποίηση 4250/2014,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4250/2014,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4250/2014,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Τροποποίηση 4250/2014,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Τροποποίηση 4250/2014,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1" w:history="1">
        <w:r>
          <w:rPr>
            <w:rStyle w:val="Hyperlink"/>
            <w:color w:val="0000EE"/>
            <w:u w:color="0000EE"/>
            <w:lang w:val="el" w:eastAsia="el"/>
          </w:rPr>
          <w:t>Προσθήκη 4238/2014, Άρθρο 41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1" w:history="1">
        <w:r>
          <w:rPr>
            <w:rStyle w:val="Hyperlink"/>
            <w:color w:val="0000EE"/>
            <w:u w:color="0000EE"/>
            <w:lang w:val="el" w:eastAsia="el"/>
          </w:rPr>
          <w:t>Τροποποίηση 4238/2014, Άρθρο 41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Αφαίρεση 4254/2014,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3/26/4250" TargetMode="External" /><Relationship Id="rId12" Type="http://schemas.openxmlformats.org/officeDocument/2006/relationships/hyperlink" Target="http://data.aade.gr/eli/pri/law/2014/03/26/4250" TargetMode="External" /><Relationship Id="rId13" Type="http://schemas.openxmlformats.org/officeDocument/2006/relationships/hyperlink" Target="http://data.aade.gr/eli/pri/law/2014/03/26/4250" TargetMode="External" /><Relationship Id="rId14" Type="http://schemas.openxmlformats.org/officeDocument/2006/relationships/hyperlink" Target="http://data.aade.gr/eli/pri/law/2014/03/26/4250" TargetMode="External" /><Relationship Id="rId15" Type="http://schemas.openxmlformats.org/officeDocument/2006/relationships/hyperlink" Target="http://data.aade.gr/eli/pri/law/2014/03/26/4250" TargetMode="External" /><Relationship Id="rId16" Type="http://schemas.openxmlformats.org/officeDocument/2006/relationships/hyperlink" Target="http://data.aade.gr/eli/pri/law/2014/03/26/4250" TargetMode="External" /><Relationship Id="rId17" Type="http://schemas.openxmlformats.org/officeDocument/2006/relationships/hyperlink" Target="http://data.aade.gr/eli/pri/law/2014/03/26/4250" TargetMode="External" /><Relationship Id="rId18" Type="http://schemas.openxmlformats.org/officeDocument/2006/relationships/hyperlink" Target="http://data.aade.gr/eli/pri/law/2014/02/17/4238" TargetMode="External" /><Relationship Id="rId19" Type="http://schemas.openxmlformats.org/officeDocument/2006/relationships/hyperlink" Target="http://data.aade.gr/eli/pri/law/2014/02/17/4238" TargetMode="External" /><Relationship Id="rId2" Type="http://schemas.openxmlformats.org/officeDocument/2006/relationships/hyperlink" Target="http://data.aade.gr/eli/pri/law/2014/04/07/4254"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4/04/07/4254" TargetMode="External" /><Relationship Id="rId3" Type="http://schemas.openxmlformats.org/officeDocument/2006/relationships/hyperlink" Target="http://data.aade.gr/eli/pri/law/2014/03/26/4250"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7" Type="http://schemas.openxmlformats.org/officeDocument/2006/relationships/hyperlink" Target="http://data.aade.gr/eli/pri/law/2014/03/26/4250" TargetMode="External" /><Relationship Id="rId8" Type="http://schemas.openxmlformats.org/officeDocument/2006/relationships/hyperlink" Target="http://data.aade.gr/eli/pri/law/2014/03/26/4250" TargetMode="External" /><Relationship Id="rId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