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τον κύριο φόρο επί του κάθε ακινήτου και την προσαύξηση επί αυτού σύμφωνα με την Ενότητα Ε' του άρθρου 4, εάν υποκείμενο του φόρου είναι φυσικό πρόσωπο, και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στον φόρο, εάν υποκείμενο του φόρου είναι νομικό πρόσωπο ή νομική οντότητα.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γγ)</w:t>
      </w:r>
      <w:r>
        <w:rPr>
          <w:lang w:val="en" w:eastAsia="en"/>
        </w:rPr>
        <w:tab/>
      </w:r>
      <w:r>
        <w:rPr>
          <w:lang w:val="el" w:eastAsia="el"/>
        </w:rPr>
        <w:t>Ο μετά από αποποιήσεις κληρονόμος, από το επόμενο έτος του θανάτου του κληρονομούμενου ή, στην περίπτωση που έχει δημοσιευθεί διαθήκη, από το επόμενο έτος της δημοσίευσης αυτής.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τον φόρο επί της συνολικής αξίας ανά εμπράγματο δικαίωμα επί ακινήτου της Ενότητας Γ και την προσαύξηση του κυρίου φόρου φυσικών προσώπων της Ενότητας Ε του άρθρου 4, καθώς και για τον συμπληρωματικό ΕΝ.Φ.Ι.Α. νομικών προσώπων του άρθρου 5 εφαρμόζονται ανάλογα οι παρ. 3 έως και 8.</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στην Επιτροπή Ολυμπίων και Κληροδοτημάτων (Ε.Ο. και Κ.) και στις δημόσιες ανώνυμες εταιρείες που έχουν υπαχθεί σε καθεστώς ειδικής εκκαθάρισης του άρθρου 14α του ν. 3429/2005, πριν από τη δημοσίευση του παρόντος και στις οποίες το ελληνικό Δημόσιο ασκεί άμεσα αποφασιστική επιρροή, ως κύριος μετοχών που εκπροσωπούν την απόλυτη πλειοψηφία του καταβεβλημένου μετοχικού κεφαλαίου.</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ή χρησιμοποιούνται αποκλειστικά για τις ανάγκες της δημόσιας υγείας. Οι ανώνυμες εταιρείες της Γενικής Κυβέρνησης, με την επιφύλαξη της προηγούμενης περίπτωσης, δεν απαλλάσσονται από τον ΕΝ.Φ.Ι.Α..</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 καθώς και στην Ιερά Μονή του Θεοβαδίστου Όρους Σινά.</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θ)</w:t>
      </w:r>
      <w:r>
        <w:rPr>
          <w:lang w:val="en" w:eastAsia="en"/>
        </w:rPr>
        <w:tab/>
      </w:r>
      <w:r>
        <w:rPr>
          <w:lang w:val="el" w:eastAsia="el"/>
        </w:rPr>
        <w:t>Σε φυσικά πρόσωπα, φορολογικούς κατοίκους Ελλάδας, των οποίων η κύρια κατοικία, όπως προκύπτει από τη δήλωση φορολογίας εισοδήματος του προηγούμενου φορολογικού έτους ευρίσκεται σε μικρά ακριτικά νησιά με πληθυσμό κάτω των χιλίων διακοσίων (1.200) κατοίκων, βάσει των ως άνω δηλώσεων, των Περιφερειακών Ενοτήτων Ικαρίας, Λήμνου, Σάμου, Χίου, Καλύμνου, Καρπάθου, Ρόδου και Κω, καθώς και στον Δήμο Γαύδου της Περιφερειακής Ενότητας Χανίων και στον Δήμο Κεντρικής Κέρκυρας και Διαποντίων Νήσων της Περιφερειακής Ενότητας Κέρκυρας. Η απαλλαγή αφορά αποκλειστικά στα δικαιώματα επί των ακινήτων του προηγούμενου εδαφίου που βρίσκονται στα νησιά αυτά.</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ι)</w:t>
      </w:r>
      <w:r>
        <w:rPr>
          <w:lang w:val="en" w:eastAsia="en"/>
        </w:rPr>
        <w:tab/>
      </w:r>
      <w:r>
        <w:rPr>
          <w:lang w:val="el" w:eastAsia="el"/>
        </w:rPr>
        <w:t>Σε εγγεγραμμένες Ο.Κοι.Π. για τα ακίνητα που ιδιοχρησιμοποιούνται αποκλειστικά για την εκπλήρωση των σκοπών τους.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6.</w:t>
      </w:r>
      <w:r>
        <w:rPr>
          <w:lang w:val="el" w:eastAsia="el"/>
        </w:rPr>
        <w:t xml:space="preserve"> Σε περιοχές, οι οποίες από την 1η Ιουλίου 2023 και εφεξής, με απόφαση του Γενικού Γραμματέα Πολιτικής Προστασίας έχουν κηρυχθεί σε κατάσταση έκτακτης ανάγκης πολιτικής προστασίας λόγω σεισμού, πυρκαγιάς ή πλημμύρας, απαλλάσσονται από τον Ε.Ν.Φ.Ι.Α. του έτους εντός του οποίου επήλθε η καταστροφή και των δύο (2) επόμενων ετών, ως εξής: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Τα κτίρια, μετά του αναλογούντος οικοπέδου, που έχουν αποδεδειγμένα καταστεί επικινδύνως ετοιμόρροπα ή έχουν ολοσχερώς καταστραφεί ή υποστεί ζημίες, οι οποίες τα καθιστούν προσωρινά ακατάλληλα για χρήση, εφόσον οι ιδιοκτήτες τους είναι κάτοχοι Πρωτοκόλλου Αυτοψίας Επικινδύνως Ετοιμόρροπου Κτηρίου ή Δελτίου Επανελέγχου ή Έκθεσης Αυτοψίας, της Γενικής Γραμματείας Αποκατάστασης Φυσικών Καταστροφών και Κρατικής Αρωγής του Υπουργείου Κλιματικής Κρίσης και Πολιτικής Προστασίας, σύμφωνα με τα οποία το κτίριο έχει χαρακτηρισθεί επικίνδυνο ή προσωρινά ακατάλληλο για χρήση και εφόσον αυτά εκδίδονται έως και ένα (1) έτος μετά τη συντέλεση της φυσικής καταστροφής, αν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w:t>
      </w:r>
      <w:r>
        <w:rPr>
          <w:lang w:val="en" w:eastAsia="en"/>
        </w:rPr>
        <w:tab/>
      </w:r>
      <w:r>
        <w:rPr>
          <w:lang w:val="el" w:eastAsia="el"/>
        </w:rPr>
        <w:t>Τα αγροτεμάχια και τα κτίσματα επί αυτών που ευρίσκονται σε περιοχές που επλήγησαν, εφόσον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που εκδίδεται έως και έξι (6) μήνες μετά τη συντέλεση της φυσικής καταστροφής, αν κατά τον κρίσιμο χρόνο η κυριότητα ή τα λοιπά εμπράγματα δικαιώματα στο ακίνητο ανήκουν στον υπόχρεο σε φόρο για τα έτη αυτά. Τα Τ.Α.Ε.Ε. εκδίδουν την ως άνω βεβαίωση, αφού λάβουν τα οικεία στοιχεία των αγροτεμαχίων που έχουν εκτιμηθεί ως κατεστραμμένα από τον Οργανισμό Ελληνικών Γεωργικών Ασφαλίσεων.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Η απόφαση του Γενικού Γραμματέα Πολιτικής Προστασίας της παρ. 1 κοινοποιείται στην Ανεξάρτητη Αρχή Δημοσίων Εσόδων (Α.Α.Δ.Ε.).</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Για τη χορήγηση της απαλλαγής υποβάλλεται αίτηση για το έτος εντός του οποίου επήλθε η καταστροφή στη Φορολογική Διοίκηση από τον δικαιούχο, η οποία ισχύει και για τα δύο (2) επόμενα έτη. Η αίτηση δύναται να υποβάλλεται και μέσω της ψηφιακής πλατφόρμας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από την πράξη βεβαίωσης μήνα, εντόκως, σύμφωνα με το άρθρο 54Β του Κώδικα Φορολογικής Διαδικασίας (ν. 4987/2022, Α' 206).</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7.</w:t>
      </w:r>
      <w:r>
        <w:rPr>
          <w:lang w:val="el" w:eastAsia="el"/>
        </w:rPr>
        <w:t xml:space="preserve"> Ειδικά για τα έτη 2018, 2019, 2020, 2021, 2022, 2023 και 2024 απαλλάσσονται τα ακίνητα που ευρίσκονται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έχουν εκδοθεί έως και τις 31.12.2020 και κατά τον κρίσιμο χρόνο η κυριότητα ή τα λοιπά εμπράγματα δικαιώματα στο ακίνητο ανήκαν στον υπόχρεο σε φόρο για τα έτη αυτά. Για τα έτη 2018, 2019, 2020, 2021,2022, 2023 και 2024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7Α.</w:t>
      </w:r>
      <w:r>
        <w:rPr>
          <w:lang w:val="el" w:eastAsia="el"/>
        </w:rPr>
        <w:t xml:space="preserve"> Ειδικά για τα έτη 2021, 2022 και 2023 απαλλάσσονται τα ακίνητα, τα οποία ευρίσκονται εντός του οικισμού Αναργύρων του Δήμου Αμυνταίου της Περιφερειακής Ενότητας Φλώρινας, όπως αυτός έχει οριοθετηθεί με την υπ’ αρ. 4012/86/25.9.1986 απόφαση του Νομάρχη Φλώρινας (Δ'1109) και ο οποίος έχει κηρυχθεί σε αναγκαστική απαλλοτρίωση με την υπό στοιχεία ΥΠΕΝ/ΔΜΕΒΟ/19831/338/15.4.2019 κοινή απόφαση των Υπουργών Εσωτερικών, Οικονομίας και Ανάπτυξης και Περιβάλλοντος και Ενέργειας (Δ'190). Τα ακίνητα αυτά απεικονίζονται και περιγράφονται στον από Ιούλιο 2018 κτηματολογικό πίνακα του εν λόγω οικισμού και στο από Φεβρουάριο 2018 Κτηματολογικό Διάγραμμα, όπως αυτά εξειδικεύονται στην ανωτέρω απόφαση απαλλοτρίωσης. Η ίδια απαλλαγή ισχύει και για τα ακίνητα που βρίσκονται εντός των ακόλουθων οικισμών, οι οποίοι είναι πολεοδομικά ανενεργοί βάσει του από 5.12.2002 π.δ. (Δ'1075): Κοινότητας Πεπονιάς, κοινότητας Πολύλακκου, οικισμού Αξιοκάστρου και οικισμού Κλήματος της κοινότητας Αξιοκάστρου, οικισμού Τραπεζίτσας και οικισμού Πανάρετης της κοινότητας Τραπεζίτσας και κοινότητας Πυλωρίου του Δήμου Βοΐου της Περιφερειακής Ενότητας Κοζάνης, καθώς και βάσει της υπ’ αρ. 9439/3335/6.4.2000 απόφασης μεταφοράς των ακόλουθων κοινοτήτων και οικισμών (Δ'238): Kοινότητας Καλαμιτσίου, οικισμού Καλοχίου και οικισμού Μεσόλακκου της Περιφερειακής Ενότητας Γρεβενών.</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7Β.</w:t>
      </w:r>
      <w:r>
        <w:rPr>
          <w:lang w:val="el" w:eastAsia="el"/>
        </w:rPr>
        <w:t xml:space="preserve"> Ειδικά για τα έτη 2021, 2022 και 2023 απαλλάσσονται:</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w:t>
      </w:r>
      <w:r>
        <w:rPr>
          <w:lang w:val="en" w:eastAsia="en"/>
        </w:rPr>
        <w:tab/>
      </w:r>
      <w:r>
        <w:rPr>
          <w:lang w:val="el" w:eastAsia="el"/>
        </w:rPr>
        <w:t>τα ακίνητα, που ευρίσκονται σε περιοχές που επλήγησαν από τις πυρκαγιές που εκδηλώθηκαν αρχής γενομένης την 27η Ιουλίου 2021 και έως τη δημοσίευση της παρούσας και για τις οποίες εκδίδονται πράξεις του Γενικού Γραμματέα Πολιτικής Προστασίας για την κήρυξή τους σε κατάσταση Έκτακτης Ανάγκης Πολιτικής Προστασίας,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w:t>
      </w:r>
      <w:r>
        <w:rPr>
          <w:lang w:val="en" w:eastAsia="en"/>
        </w:rPr>
        <w:tab/>
      </w:r>
      <w:r>
        <w:rPr>
          <w:lang w:val="el" w:eastAsia="el"/>
        </w:rPr>
        <w:t>Τα αγροτεμάχια, των οποίων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οι οποίες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 Τα ΤΑΕΕ εκδίδουν τις ως άνω βεβαιώσεις, αφού λάβουν τα οικεία στοιχεία των αγροτεμαχίων που έχουν εκτιμηθεί ως κατεστραμμένα από τον Οργανισμό Ελληνικών Γεωργικών Ασφαλίσεων.</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Η απαλλαγή χορηγείται με βάση τις αιτήσεις που υποβάλλονται στην ψηφιακή πλατφόρμα της ΑΑΔΕ στη διαδικτυακή πύλη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της βεβαίωσης μήνα, εντόκως σύμφωνα με το άρθρο 54 Β΄ του ν. 4174/2013 (Α΄256).</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Ειδικότερα τα ακίνητα που ευρίσκονται στα διοικητικά όρια των Δήμων Μαντουδίου Λίμνης Αγίας Άννας και Ιστιαίας Αιδηψού της Περιφερειακής Ενότητας Ευβοίας της Περιφέρειας Στερεάς Ελλάδας απαλλάσσονται για τα έτη 2021, 2022 και 2023, εφόσον κατά τον κρίσιμο χρόνο η κυριότητα ή τα λοιπά εμπράγματα δικαιώματα στο ακίνητο ανήκουν στον υπόχρεο σε φόρο για το έτος αυτό.</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7Γ.</w:t>
      </w:r>
      <w:r>
        <w:rPr>
          <w:lang w:val="el" w:eastAsia="el"/>
        </w:rPr>
        <w:t xml:space="preserve"> Ειδικά για τα έτη 2020, 2021, 2022 και 2023 απαλλάσσονται τα κτίσματα μετά του αναλογούντος οικοπέδου, που ευρίσκονται σε περιοχές των Περιφερειακών Ενοτήτων Σάμου, Ικαρίας και Χίου της Περιφέρειας Βορείου Αιγαίου, που επλήγησαν από τον σεισμό και την πλημμύρα της 30ής Οκτωβρίου 2020, όπως αυτές οριοθετήθηκαν με τις υπό στοιχεία Δ.Α.Ε.Φ.Κ.Κ.Ε./26169/Α325/27.11.2020 (Β'5293) και Δ.Α.Ε.Φ.Κ.-Κ.Ε./25594/Α325/24.11.2020 (Β'5297)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2020 στη Φορολογική Διοίκηση από τον δικαιούχο αυτής, η οποία ισχύει και για τα τρία (3) επόμενα έτη. Εφόσον έχει ήδη υποβληθεί αίτηση για το έτος 2020, υποβάλλεται νέα για το έτος 2021, η οποία ισχύει και για τα δύο (2) επόμενα έτη.</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7Δ.</w:t>
      </w:r>
      <w:r>
        <w:rPr>
          <w:lang w:val="el" w:eastAsia="el"/>
        </w:rPr>
        <w:t xml:space="preserve"> Ειδικά για τα έτη 2021, 2022 και 2023 απαλλάσσονται τα κτίσματα μετά του αναλογούντος οικοπέδου, που ευρίσκονται σε περιοχές των Περιφερειακών Ενοτήτων Λάρισας, Τρικάλων και Καρδίτσας της Περιφέρειας Θεσσαλίας,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και της Περιφερειακής Ενότητας Φθιώτιδας της Περιφέρειας Στερεάς Ελλάδας που επλήγησαν από τον σεισμό της 3ης Μαρτίου 2021, όπως αυτές οριοθετήθηκαν με τις υπό στοιχεία Δ.Α.Ε.Φ.Κ.Κ.Ε./6350/Α325/11.3.2021 (Β΄ 964) και Δ.Α.Ε.Φ.Κ.-Κ.Ε./9028/Α325/17.5.2021 (Β΄ 2094)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δύο επόμενα έτη.</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7Ε. Ειδικά για τα έτη 2021, 2022, 2023 και 2024 απαλλάσσονται τα κτίσματα μετά του αναλογούντος οικοπέδου, που ευρίσκονται σε περιοχές που επλήγησαν από τους σεισμούς που εκδηλώθηκαν την 24η Ιουλίου 2021 και την 27η Σεπτεμβρίου 2021 στην Κρήτη, όπως αυτές οριοθετήθηκαν με την υπό στοιχεία Δ.Α.Ε.Φ.Κ.-Κ.Ε./16446/Α325/7.10.2021 (Β' 4646) κοινή υπουργική απόφαση, όπως τροποποιήθηκε με τις υπό στοιχεία Δ.Α.Ε.Φ.Κ. - Κ.Ε./οικ. 18135/Α325/13.10.2021 (Β' 4740) και Δ.Α.Ε.Φ.Κ. - Κ.Ε./18450/Α325 (Β' 4882/21.10.2021)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Κτιρίου του Υπουργείου Υποδομών και Μεταφορών, που εκδίδονται έως την 30ή.6.2022,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τρία (3) επόμενα έτη.</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7ΣΤ. Ειδικά για τα έτη 2022,2023 και 2024 απαλλάσσονται τα κτίσματα μετά του αναλογούντος οικοπέδου, που ευρίσκονται σε περιοχές που επλήγησαν από τις πυρκαγιές που εκδηλώθηκαν στην Ελλάδα τον μήνα Ιούλιο του 2022 και για τις οποίες εκδόθηκαν αποφάσεις του Γενικού Γραμματέα Πολιτικής Προστασίας για την κήρυξή τους σε κατάσταση έκτακτης ανάγκης,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την 31η.1.2023, και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Για τη χορήγηση της απαλλαγής υποβάλλεται αίτηση για τα έτη 2022 και 2023 στη Φορολογική Διοίκηση από τον δικαιούχο αυτής, η οποία ισχύει και για το επόμενο έτος.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7Ζ. Για τα έτη 2024 και επόμενα, ο ΕΝ.Φ.Ι.Α. μειώνεται κατά δέκα τοις εκατό (10%) για κατοικίες φυσικών προσώπων που ασφαλίζονται σε ασφαλιστική επιχείρηση εγγεγραμμένη στο Μητρώο Ασφαλιστικών Επιχειρήσεων, που τηρείται στη Διεύθυνση Εποπτείας Ιδιωτικής Ασφάλισης της Τράπεζας της Ελλάδος, για σεισμό, πυρκαγιά και πλημμύρα, εφόσον η ασφάλιση καλύπτει το σύνολο της αξίας του ακινήτου. Ως αξία του ακινήτου, για τις ανάγκες εφαρμογής του πρώτου εδαφίου, λαμβάνεται η αξία ανακατασκευής του κτίσματος ή των κτισμάτων, μη υπολογιζόμενης της αξίας του οικοπέδου, η οποία δεν μπορεί να υπολείπεται των χιλίων (1000) ευρώ ανά τετραγωνικό μέτρο. Προϋπόθεση για την εφαρμογή του παρόντος είναι η ασφάλιση να αφορά το προηγούμενο έτος με διάρκεια τουλάχιστον τριών (3) μηνών. Αν η διάρκεια της ασφάλισης του πρώτου εδαφίου είναι μικρότερη του ενός (1) έτους, η μείωση του ΕΝ.Φ.Ι.Α. προσαρμόζεται αναλογικά.</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Με κοινή απόφαση του Υπουργού Οικονομικών και του Διοικητή της Ανεξάρτητης Αρχής Δημοσίων Εσόδων καθορίζεται το κόστος της αξίας ανακατασκευής του ακινήτου, μπορεί να αναπροσαρμόζεται το ποσό του δευτέρου εδαφίου, καθώς και να ρυθμίζεται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7Η. (…)</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41"/>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6"/>
        <w:gridCol w:w="838"/>
        <w:gridCol w:w="51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Τιµή Ζώνης (€/µ2)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βασικού φόρου (€/µ2)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16,20</w:t>
            </w:r>
          </w:p>
        </w:tc>
      </w:tr>
    </w:tbl>
    <w:p>
      <w:pPr>
        <w:spacing w:before="240" w:after="240"/>
        <w:rPr>
          <w:lang w:val="el" w:eastAsia="el"/>
        </w:rPr>
      </w:pP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Κτίσματα εντός ή εκτός σχεδίου πόλης ή οικισμού, για τα οποία δεν έχει καθορισθεί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στον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Κτίσματα, τα οποία, με βάση τις Τιμές Ζώνης που εφαρμόζονται από την 1η Ιανουαρίου 2022, εντάσσονται στις Φορολογικές Ζώνες 2 και 3, κατατάσσονται, για τον υπολογισμό του Ε.Ν.Φ.Ι.Α. ετών 2022, 2023 και 2024, στις Φορολογικές Ζώνες 1 και 2 αντίστοιχα, εφόσον για αυτά:</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κατά την 1η Ιανουαρίου 2021 ίσχυε το σύστημα αντικειμενικού προσδιορισμού αξίας ακινήτων και εντάσσονταν στις Φορολογικές Ζώνες 1 και 3 και</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η Τιμή Ζώνης, η οποία ισχύει την 1η Ιανουαρίου 2022, απέχει από την καταληκτική Τιμή Ζώνης της αμέσως προηγούμενης Φορολογικής Ζώνης έως και πενήντα (50) ευρώ.</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Κτίσματα της Δημοτικής Ενότητας Αρχαίας Ολυμπίας που εντάχθηκαν από την 1η Ιανουαρίου 2022 στο σύστημα αντικειμενικού προσδιορισμού αξίας ακινήτων και αντιστοιχούν στη φορολογική ζώνη 2, κατατάσσονται, για τον υπολογισμό του Ε.Ν.Φ.Ι.Α. των ετών 2022, 2023 και 2024, στη φορολογική ζώνη 1.</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4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755"/>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(€/µ2)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spacing w:before="240" w:after="240"/>
        <w:rPr>
          <w:lang w:val="el" w:eastAsia="el"/>
        </w:rPr>
      </w:pPr>
      <w:r>
        <w:rPr>
          <w:lang w:val="el" w:eastAsia="el"/>
        </w:rPr>
        <w:t>Γ. Υπολογισμός φόρου επί της συνολικής αξίας ανά εμπράγματο δικαίωμα επί ακινήτου.</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Για δικαιώματα επί ακινήτων υπολογίζεται φόρος επί της συνολικής αξίας ανά εμπράγματο δικαίωμα επί ακινήτου, όπως αυτό αποτυπώνεται στη δήλωση στοιχείων ακινήτων του άρθρου 23 του ν. 3427/2005 (Α' 312), σύμφωνα με την κατωτέρω κλίμακα:</w:t>
      </w:r>
      <w:r>
        <w:rPr>
          <w:rStyle w:val="Hyperlink"/>
          <w:color w:val="000000"/>
          <w:sz w:val="20"/>
          <w:szCs w:val="20"/>
          <w:u w:val="none" w:color="0000EE"/>
          <w:vertAlign w:val="superscript"/>
          <w:lang w:val="el" w:eastAsia="el"/>
        </w:rPr>
        <w:footnoteReference w:id="5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59"/>
        <w:gridCol w:w="44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Κλιµάκια συνολικής αξίας ακινήτου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ανά κλιµάκιο αξίας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2.000.000,01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Ο φόρος υπολογίζεται στη συνολική αξία του εκατό τοις εκατό (100%) της πλήρους κυριότητας του ακινήτου, όπως το δικαίωμα αυτό αναγράφεται στη δήλωση στοιχείων ακινήτων, απομειώνεται με βάση τον συντελεστή συνιδιοκτησίας της παρ. 3 του άρθρου 32 του ν. 3842/2010 (Α' 58), εφόσον υφίσταται συνιδιοκτησία στην πλήρη ή ψιλή κυριότητα, και επιμερίζεται σύμφωνα με την παρ. 9 του άρθρου 2. Η αξία του προηγούμενου εδαφίου υπολογίζεται σύμφωνα με το τρίτο και το τέταρτο εδάφιο της Ενότητας Ε'.</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Η παρούσα Ενότητα εφαρμόζεται, εφόσον η συνολική αξία της ακίνητης περιουσίας του υποκειμένου στον φόρο, όπως αυτή υπολογίζεται βάσει της Ενότητας Ε', υπερβαίνει τις τριακόσιες χιλιάδες (300.000) ευρώ.</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Η παρούσα Ενότητα δεν εφαρμόζεται για δικαιώματα επί γηπέδων εκτός σχεδίου πόλης ή οικισμού ούτε για δικαιώματα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Δεν επιβάλλεται ο φόρος της παρούσας Ενότητας σε δικαίωμα επί οικοπέδου με ή χωρίς κτίσμα, όταν το ποσοστό συνιδιοκτησίας επί του εν λόγω οικοπέδου δεν υπερβαίνει το πέντε τοις εκατό (5%). Επιπλέον, το δικαίωμα επί του οικοπέδου δεν λαμβάνεται υπόψη για την εφαρμογή του συντελεστή φόρου ανά κλιμάκιο αξίας της παρούσας Ενότητας, λαμβάνεται όμως υπόψη για τη συνολική αξία της περιουσίας του υποκειμένου στον φόρο για την παρούσα Ενότητα και την Ενότητα Ε'.</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Ειδικά για τον ΕΝ.Φ.Ι.Α. ετών 2022, 2023 και 2024 η παρούσα Ενότητα δεν εφαρμόζεται και για δικαιώματα επί ιστορικών διατηρητέων μνημείων ή έργων τέχνης, που προστατεύονται από τον ν. 4858/2021 (Α' 220) και τα οποία δεν καταλαμβάνονται από το προηγούμενο εδάφιο, καθώς και για δικαιώματα επί κτιρίων, τα οποία έχουν χαρακτηρισθεί μέχρι την 31η.12.2021 ως διατηρητέα, σύμφωνα με το άρθρο 4 του ν. 1577/1985 (Α' 210) εφόσον τα ως άνω μνημεία, έργα τέχνης ή κτίρια είναι προγενέστερα της 1ης Ιανουαρίου 1940, και για τα αναλογούντα σε αυτά ποσοστά επί των γηπέδων ή οικοπέδων στα οποία βρίσκονται.</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Δ. Συνολικός υπολογισμός κυρίου φόρου: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α. Ο κύριος φόρος των φυσικών προσώπων ισούται με το άθροισμα του κύριου φόρου κτισμάτων της Ενότητας Α', του κύριου φόρου οικοπέδων και γηπέδων της Ενότητας Β' και του φόρου επί της συνολικής αξίας ανά εμπράγματο δικαίωμα επί ακινήτου της Ενότητας Γ'.</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Ο κύριος φόρος των νομικών προσώπων και των νομικών οντοτήτων ισούται με το άθροισμα του κύριου φόρου κτισμάτων της Ενότητας Α' και του κύριου φόρου οικοπέδων και γηπέδων της Ενότητας Β'.</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Ε. Προσαύξηση του φόρου φυσικών προσώπων ανάλογα με τη συνολική αξία της περιουσίας.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Ο ΕΝ.Φ.Ι.Α. φυσικών προσώπων που προκύπτει από την εφαρμογή του παρόντος άρθρου, προσαυξάνεται ανάλογα με τη συνολική αξία της ακίνητης περιουσίας ως εξής: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εξακόσιες πενήντα χιλιάδες (650.000) ευρώ, κατά ποσοστό πέντε τοις εκατό (5%),</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οκτακόσιες χιλιάδες (800.000) ευρώ, κατά ποσοστό δέκα τοις εκατό (10%),</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ένα εκατομμύριο (1.000.000) ευρώ, κατά ποσοστό δεκαπέντε τοις εκατό (15%),</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από ένα εκατομμύριο και ένα λεπτό (1.000.000,01) ευρώ και άνω, κατά ποσοστό είκοσι τοις εκατό (20%).</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Η προσαύξηση σύμφωνα με τα οριζόμενα στο προηγούμενο εδάφιο εφαρμόζεται, εφόσον η συνολική αξία της ακίνητης περιουσίας υπερβαίνει τις πεντακόσιες χιλιάδες (500.000) ευρώ.</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Για τον υπολογισμό της συνολικής αξίας της περιουσίας εφαρμόζεται το άρθρο 32 του ν. 3842/2010. Αν το οικόπεδο βρίσκεται σε περιοχή, η οποία δεν εντάσσεται στο πεδίο εφαρμογής των αποφάσεων του Υπουργού Οικονομικών, που εκδίδονται κατ’ εξουσιοδότηση του άρθρου 41 του ν. 1249/1982 (Α'43),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 Στη συνολική αξία της ακίνητης περιουσίας δεν συνυπολογίζεται η αξία των δικαιωμάτων επί των γηπέδων εκτός σχεδίου πόλης ή οικισμού. Επίσης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 Ειδικά για τον Ε.Ν.Φ.Ι.Α. ετών 2022, 2023 και 2024 δεν συνυπολογίζεται και η αξία των δικαιωμάτων επί ιστορικών διατηρητέων μνημείων ή έργων τέχνης που προστατεύονται από τον ν. 4858/2021 (Α' 220) και τα οποία δεν καταλαμβάνονται από το προηγούμενο εδάφιο, καθώς και των δικαιωμάτων επί κτιρίων τα οποία έχουν χαρακτηρισθεί μέχρι την 31η.12.2021 ως διατηρητέα βάσει του ν. 1577/1985 (Α' 210), εφόσον τα ως άνω μνημεία, έργα τέχνης ή κτίρια είναι προγενέστερα της 1ης Ιανουαρίου 1940, και των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 νομικών προσώπων και νομικών οντοτήτων</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w:t>
      </w:r>
      <w:r>
        <w:rPr>
          <w:lang w:val="el" w:eastAsia="el"/>
        </w:rPr>
        <w:t xml:space="preserve"> Στην αξία των δικαιωμάτων της παρ. 2 του άρθρου 1 επί ακινήτων που έχουν νομικά πρόσωπα και νομικές οντότητες επιβάλλεται συμπληρωματικός ΕΝ.Φ.Ι.Α, ο οποίος υπολογίζεται, σύμφωνα με τις επόμενες παραγράφους. Η αξία των δικαιωμάτων αυτών υπολογίζεται σύμφωνα με την παρ. 9 του άρθρου 2.</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Ο συμπληρωματικός ΕΝ.Φ.Ι.Α. υπολογίζεται στην αξία των δικαιωμάτων της παρ. 2 του άρθρου 1 με συντελεστή πέντε και μισό τοις χιλίοις (5,5‰). Ειδικά,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 Για τα Ν.Π.Δ.Δ. και τα Ν.Π.Ι.Δ. μη κερδοσκοπικού χαρακτήρα, όπως ορίζονται στις περ. β), δ), ε), στ) και ζ) του άρθρου 3, ο συμπληρωματικός ΕΝ.Φ.Ι.Α. ισούται με τρία και μισό τοις χιλίοις (3,5‰) επί της συνολικής αξίας των δικαιωμάτων της παρ. 2 του άρθρου 1 για τα ακίνητα που δεν ιδιοχρησιμοποιούν. Για τον υπολογισμό του συμπληρωματικού ΕΝ.Φ.Ι.Α. δεν συμπεριλαμβάνονται:</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που απαλλάσσονται και κατά το μέρος της οριζόμενης απαλλαγής σύμφωνα με το άρθρο 3 και</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της περ. δ) της παρ. Β.1 και της περ. η) της παρ. Β.2 του άρθρου 4.</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3.</w:t>
      </w:r>
      <w:r>
        <w:rPr>
          <w:lang w:val="el" w:eastAsia="el"/>
        </w:rPr>
        <w:t xml:space="preserve"> Κατά τα λοιπά, για τον υπολογισμό του συμπληρωματικού φόρου, εφαρμόζονται το τρίτο και τέταρτο εδάφιο της Ενότητας Ε' του άρθρου 4.</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6"/>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είναι μονοζωνικές, τα δικαιώματα που αναγράφονται στις δηλώσεις στοιχείων ακινήτων ως ευρισκόμενα εκτός Αντικειμενικού Προσδιορισμού Αξίας Ακινήτων (Α.Π.Α.Α.) στις περιοχές αυτές μεταφέρονται αυτόματα εντός Α.Π.Α.Α., πλην αυτών για τα οποία στη διεύθυνση του ακινήτου αναγράφεται «εκτός οικισμού» ή «επί αγροτεμαχίου».</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γ)</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περιλαμβάνουν περισσότερες της μίας ζώνες, για τον υπολογισμό του φόρου και της αξίας λαμβάνεται η μικρότερη τιμή ζώνης. Εφόσον το δικαίωμα εντάσσεται σε υψηλότερη τιμή ζώνης,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ημέρα του Φεβρουαρίου του επόμενου έτους.</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δ)</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περιλαμβάνουν περισσότερες της μιας ζώνες για τον υπολογισμό του φόρου και της αξίας για τα δικαιώματα που με βάση τη δήλωση στοιχείων ακινήτων δεν υπάρχει δυνατότητα να ενταχθούν εντός Α.Π.Α.Α., η τιμή ζώνης και η αξία λαμβάνονται σύμφωνα με τα οριζόμενα στις Ενότητες Α', Β' και Ε' του άρθρου 4.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ημέρα του Φεβρουαρίου του επόμενου έτους.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ε)</w:t>
      </w:r>
      <w:r>
        <w:rPr>
          <w:lang w:val="en" w:eastAsia="en"/>
        </w:rPr>
        <w:tab/>
      </w:r>
      <w:r>
        <w:rPr>
          <w:lang w:val="el" w:eastAsia="el"/>
        </w:rPr>
        <w:t>Ειδικά για το έτος 2022, ο φορολογούμενος μπορεί να τροποποιήσει τα στοιχεία των ακινήτων του που περιλαμβάνονται στη δήλωση του άρθρου 23 του ν. 3427/2005 (Α' 312) εμπρόθεσμα μέχρι και την 29η Ιουλίου 2022 και να καταβάλει τον φόρο σε ισόποσες μηνιαίες δόσεις όχι μικρότερες των δέκα (10) ευρώ μέχρι και την 28η Φεβρουαρίου 2023. Ειδικά για το έτος 2023, ο φορολογούμενος μπορεί να τροποποιήσει τα στοιχεία των ακινήτων του που περιλαμβάνονται στη δήλωση του άρθρου 23 του ν. 3427/2005 (Α’ 312), εμπρόθεσμα μέχρι και την 30ή Ιουνίου 2023 και να καταβάλει τον φόρο σε ισόποσες μηνιαίες δόσεις όχι μικρότερες των δέκα (10) ευρώ μέχρι και την 29η Φεβρουαρίου 2024.</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Σε περίπτωση υποβολής τροποποιητικής δήλωσης από την οποία προκύπτει μείωση φόρου, εκδίδεται πράξη προσδιορισμού του φόρου σύμφωνα με τα άρθρα 32 και 34 του Κώδικα Φορολογικής Διαδικασίας (ν. 4987/2022 Α’ 206). Με απόφαση του Διοικητή της Ανεξάρτητης Αρχής Δημοσίων Εσόδων (Α.Α.Δ.Ε.), καθορίζονται τα όργανα, οι όροι, οι προϋποθέσεις, τα κριτήρια, ο τρόπος, η διαδικασία και κάθε άλλη αναγκαία λεπτομέρεια για την επαλήθευση της ορθότητας και πληρότητας των υποβαλλόμενων δηλώσεων.</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Με απόφαση του Διοικητή της Α.Α.Δ.Ε.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τις διατάξεις του ν. 4172/2013 (Α' 167) και κάθε άλλη συναφή κείμενη διάταξη, δεν υπερβαίνει τις εννέα χιλιάδες (9.000) ευρώ, προσαυξημένο κατά χίλια (1.000) ευρώ για τον ή την σύζυγο ή συμβιούντα και κάθε εξαρτώμενο μέλος,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 2 του άρθρου 1, ο υπόχρεος δήλωσης φορολογίας εισοδήματος, ο ή η σύζυγος ή συμβιών και τα εξαρτώμενα τέκνα της οικογένειάς του, λαμβανομένων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σύμφωνα με την Ενότητα Ε' του άρθρου 4, δεν υπερβαίνει το ποσό των ογδόντα πέντε χιλιάδων (85.000) ευρώ για τον άγαμο, των εκατόν πενήντα χιλιάδων (150.000) ευρώ για τον έγγαμο και τον ή τη σύζυγό του ή συμβιούντα ή τη μονογονεϊκή οικογένεια με ένα εξαρτώμενο τέκνο και των διακοσίων χιλιάδων (200.000) ευρώ για τον έγγαμο, τον ή την σύζυγό του ή συμβιούντα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τις διατάξεις του ν. 4172/2013 και κάθε άλλη συναφή κείμενη διάταξη, δεν υπερβαίνει τις δώδεκα χιλιάδες (12.000) ευρώ, προσαυξημένο κατά χίλια (1.000) ευρώ για τον ή την σύζυγο ή συμβιούντα και κάθε εξαρτώμενο μέλος,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2Α.</w:t>
      </w:r>
      <w:r>
        <w:rPr>
          <w:lang w:val="el" w:eastAsia="el"/>
        </w:rPr>
        <w:t xml:space="preserve"> Στον ΕΝ.Φ.Ι.Α. φυσικών προσώπων, που προκύπτει από την εφαρμογή του άρθρου 4, χορηγείται μείωση ανάλογα με τη συνολική αξία της ακίνητης περιουσίας, η οποία υπόκειται σε φόρο κατά το άρθρο 4, όπως αυτή προσδιορίζεται σύμφωνα με το τρίτο και τέταρτο εδάφιο της Ενότητας Ε του άρθρου 4, ως εξής: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εκατό χιλιάδες (100.000) ευρώ, κατά ποσοστό τριάντα τοις εκατό (30%),</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εκατόν πενήντα χιλιάδες (150.000) ευρώ, κατά ποσοστό είκοσι πέντε τοις εκατό (25%),</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διακόσιες πενήντα χιλιάδες (250.000) ευρώ, κατά ποσοστό είκοσι τοις εκατό (20%),</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έως και τριακόσιες χιλιάδες (300.000) ευρώ, κατά ποσοστό δεκαπέντε τοις εκατό (15%) και</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ε)</w:t>
      </w:r>
      <w:r>
        <w:rPr>
          <w:lang w:val="en" w:eastAsia="en"/>
        </w:rPr>
        <w:tab/>
      </w:r>
      <w:r>
        <w:rPr>
          <w:lang w:val="el" w:eastAsia="el"/>
        </w:rPr>
        <w:t>για αξία ακίνητης περιουσίας έως και τετρακόσιες χιλιάδες (400.000) ευρώ, κατά ποσοστό δέκα τοις εκατό (10%).</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Στη συνολική αξία της ακίνητης περιουσίας για την εφαρμογή της παρούσας δεν συνυπολογίζεται η αξία των δικαιωμάτων επί των γηπέδων εκτός σχεδίου πόλης ή οικισμού.</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5.</w:t>
      </w:r>
      <w:r>
        <w:rPr>
          <w:lang w:val="el" w:eastAsia="el"/>
        </w:rPr>
        <w:t xml:space="preserve"> Οι εκπτώσεις των παρ.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με τις οποίες χορηγήθηκαν οι ως άνω εκπτώσεις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13"/>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σε έως δώδεκα (12)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μήνα έκδοσης της πράξης προσδιορισμού φόρου, εφόσον η πράξη προσδιορισμού φόρου εκδοθεί μέχρι τις 15 του μήνα αυτού, άλλως μέχρι την τελευταία εργάσιμη ημέρα του επόμενου μήνα από την έκδοση της πράξης προσδιορισμού φόρου, οι δε επόμενες δόσεις μέχρι την τελευταία εργάσιμη ημέρα κάθε επόμενου μήνα και η τελευταία δόση καταβάλλεται μέχρι την τελευταία εργάσιμη ημέρα του Φεβρουαρίου του επόμενου έτους. Ειδικά για τον ΕΝ.Φ.Ι.Α. του έτους 2024, ο φόρος καταβάλλεται σε έντεκα (11) ισόποσες μηνιαίες δόσεις, εκ των οποίων η πρώτη καταβάλλεται μέχρι και την 30ή Απριλίου 2024. Ειδικά για τον ΕΝ.Φ.Ι.Α. έτους 2022, εφόσον η πράξη διοικητικού προσδιορισμού του φόρου εκδοθεί μέχρι και την 20ή Μαΐου 2022, η πρώτη δόση καταβάλλεται μέχρι και την 31η Μαΐου 2022. Ειδικά για το έτος 2014, η τελευταία δόση καταβάλλεται μέχρι την τελευταία εργάσιμη ημέρα του Φεβρουαρίου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31η Ιανουαρίου 2017. Ειδικά για το έτος 2017 η πρώτη δόση καταβάλλεται μέχρι και την 29η Σεπτεμβρίου 2017 και η τελευταία μέχρι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 Ειδικά για το έτος 2019, εφόσον η πράξη προσδιορισμού του φόρου εκδοθεί μέχρι τη 16η Σεπτεμβρίου 2019, η πρώτη δόση καταβάλλεται μέχρι και την 30ή Σεπτεμβρίου 2019. Ειδικά για το έτος 2020,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2020 και καθεμιά από τις επόμενες, μέχρι την τελευταία εργάσιμη ημέρα των τεσσάρων (4) επόμενων μηνών. Ειδικά για το έτος 2021,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2021 και καθεμιά από τις επόμενες, μέχρι την τελευταία εργάσιμη ημέρα των τεσσάρων (4) επόμενων μηνών.</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8.</w:t>
      </w:r>
      <w:r>
        <w:rPr>
          <w:lang w:val="el" w:eastAsia="el"/>
        </w:rPr>
        <w:t xml:space="preserve"> Οι συντελεστές Αξιοποίησης Οικοπέδου (Σ.Α.Ο.), οι οποίοι αφορούν σε τέσσερις (4) περιοχές της χώρας για τις οποίες διορθώθηκαν σφάλματα, με την υπό στοιχεία 93041 ΕΞ 2020/25.08.2020 κοινή απόφαση του Υπουργού και του Υφυπουργού Οικονομικών (Β' 3669) εφαρμόζονται για την επιβολή του Ενιαίου Φόρου Ιδιοκτησίας Ακινήτων (ΕΝ.Φ.Ι.Α.) από την έναρξη ισχύος του παρόντος. Ειδικά ο Σ.Α.Ο. της περ. γ' της παρ. 1 της απόφασης του πρώτου εδαφίου εφαρμόζεται για την επιβολή του Ενιαίου Φόρου Ιδιοκτησίας Ακινήτων (ΕΝ.Φ.Ι.Α.) από την 1η.1.2018. Αχρεωστήτως καταβληθέντα ποσά φόρου επιστρέφονται, κατά παρέκκλιση των περί παραγραφής διατάξεων.</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Με απόφαση του Διοικητή της Α.Α.Δ.Ε. καθορίζονται ο τρόπος, η διαδικασία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118"/>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130"/>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132"/>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42"/>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158"/>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160"/>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 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καθώς και των οφειλόμενων προς τρίτους που προκύπτουν από πράξεις της παρ. 1 του άρθρου 79 του ν. 5960/1933 (Α΄ 401).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 Π.Δ.Δ. ανεξαρτήτως του χρόνου βεβαίωσης αυτών, ή οφειλών προς τρίτους, από πράξεις της παρ. 1 του άρθρου 79 του ν. 5960/1933. Το αξιόποινο των ανωτέρω αδικημάτων των εν λόγω προσώπων εξαλείφεται και παύει η ποινική δίωξη.</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41</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74" w:history="1">
        <w:r>
          <w:rPr>
            <w:rStyle w:val="Hyperlink"/>
            <w:color w:val="0000EE"/>
            <w:u w:color="0000EE"/>
            <w:lang w:val="el" w:eastAsia="el"/>
          </w:rPr>
          <w:t>Τροποποίηση 4758/2020, Άρθρο 74</w:t>
        </w:r>
      </w:hyperlink>
      <w:r>
        <w:rPr>
          <w:lang w:val="el" w:eastAsia="el"/>
        </w:rPr>
        <w:t xml:space="preserve">; </w:t>
      </w:r>
      <w:hyperlink r:id="rId8" w:anchor="art_10" w:history="1">
        <w:r>
          <w:rPr>
            <w:rStyle w:val="Hyperlink"/>
            <w:color w:val="0000EE"/>
            <w:u w:color="0000EE"/>
            <w:lang w:val="el" w:eastAsia="el"/>
          </w:rPr>
          <w:t>Τροποποίηση 4474/2017, Άρθρο 10</w:t>
        </w:r>
      </w:hyperlink>
      <w:r>
        <w:rPr>
          <w:lang w:val="el" w:eastAsia="el"/>
        </w:rPr>
        <w:t xml:space="preserve">; </w:t>
      </w:r>
      <w:hyperlink r:id="rId9" w:anchor="art_59" w:history="1">
        <w:r>
          <w:rPr>
            <w:rStyle w:val="Hyperlink"/>
            <w:color w:val="0000EE"/>
            <w:u w:color="0000EE"/>
            <w:lang w:val="el" w:eastAsia="el"/>
          </w:rPr>
          <w:t>Τροποποίηση 4430/2016, Άρθρο 59</w:t>
        </w:r>
      </w:hyperlink>
      <w:r>
        <w:rPr>
          <w:lang w:val="el" w:eastAsia="el"/>
        </w:rPr>
        <w:t xml:space="preserve">; </w:t>
      </w:r>
      <w:hyperlink r:id="rId10" w:anchor="art_2" w:history="1">
        <w:r>
          <w:rPr>
            <w:rStyle w:val="Hyperlink"/>
            <w:color w:val="0000EE"/>
            <w:u w:color="0000EE"/>
            <w:lang w:val="el" w:eastAsia="el"/>
          </w:rPr>
          <w:t>Τροποποίηση 4336/2015, Άρθρο 2</w:t>
        </w:r>
      </w:hyperlink>
      <w:r>
        <w:rPr>
          <w:lang w:val="el" w:eastAsia="el"/>
        </w:rPr>
        <w:t xml:space="preserve">; </w:t>
      </w:r>
      <w:hyperlink r:id="rId11" w:anchor="art_3" w:history="1">
        <w:r>
          <w:rPr>
            <w:rStyle w:val="Hyperlink"/>
            <w:color w:val="0000EE"/>
            <w:u w:color="0000EE"/>
            <w:lang w:val="el" w:eastAsia="el"/>
          </w:rPr>
          <w:t>Τροποποίηση 4328/2015, Άρθρο 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1" w:history="1">
        <w:r>
          <w:rPr>
            <w:rStyle w:val="Hyperlink"/>
            <w:color w:val="0000EE"/>
            <w:u w:color="0000EE"/>
            <w:lang w:val="el" w:eastAsia="el"/>
          </w:rPr>
          <w:t>Τροποποίηση 4646/2019, Άρθρο 81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78" w:history="1">
        <w:r>
          <w:rPr>
            <w:rStyle w:val="Hyperlink"/>
            <w:color w:val="0000EE"/>
            <w:u w:color="0000EE"/>
            <w:lang w:val="el" w:eastAsia="el"/>
          </w:rPr>
          <w:t>Τροποποίηση 4821/2021, Άρθρο 78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Προσθήκη 4337/2015, Άρθρο 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9" w:history="1">
        <w:r>
          <w:rPr>
            <w:rStyle w:val="Hyperlink"/>
            <w:color w:val="0000EE"/>
            <w:u w:color="0000EE"/>
            <w:lang w:val="el" w:eastAsia="el"/>
          </w:rPr>
          <w:t>Προσθήκη 4726/2020, Άρθρο 29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0" w:history="1">
        <w:r>
          <w:rPr>
            <w:rStyle w:val="Hyperlink"/>
            <w:color w:val="0000EE"/>
            <w:u w:color="0000EE"/>
            <w:lang w:val="el" w:eastAsia="el"/>
          </w:rPr>
          <w:t>Προσθήκη 4873/2021, Άρθρο 20</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8" w:history="1">
        <w:r>
          <w:rPr>
            <w:rStyle w:val="Hyperlink"/>
            <w:color w:val="0000EE"/>
            <w:u w:color="0000EE"/>
            <w:lang w:val="el" w:eastAsia="el"/>
          </w:rPr>
          <w:t>Προσθήκη 4286/2014, Άρθρο 18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3" w:history="1">
        <w:r>
          <w:rPr>
            <w:rStyle w:val="Hyperlink"/>
            <w:color w:val="0000EE"/>
            <w:u w:color="0000EE"/>
            <w:lang w:val="el" w:eastAsia="el"/>
          </w:rPr>
          <w:t>Τροποποίηση 4484/2017, Άρθρο 13</w:t>
        </w:r>
      </w:hyperlink>
      <w:r>
        <w:rPr>
          <w:lang w:val="el" w:eastAsia="el"/>
        </w:rPr>
        <w:t xml:space="preserve">; </w:t>
      </w:r>
      <w:hyperlink r:id="rId19" w:anchor="art_117" w:history="1">
        <w:r>
          <w:rPr>
            <w:rStyle w:val="Hyperlink"/>
            <w:color w:val="0000EE"/>
            <w:u w:color="0000EE"/>
            <w:lang w:val="el" w:eastAsia="el"/>
          </w:rPr>
          <w:t>Τροποποίηση 4387/2016, Άρθρο 117</w:t>
        </w:r>
      </w:hyperlink>
      <w:r>
        <w:rPr>
          <w:lang w:val="el" w:eastAsia="el"/>
        </w:rPr>
        <w:t xml:space="preserve">; </w:t>
      </w:r>
      <w:hyperlink r:id="rId20" w:anchor="art_18" w:history="1">
        <w:r>
          <w:rPr>
            <w:rStyle w:val="Hyperlink"/>
            <w:color w:val="0000EE"/>
            <w:u w:color="0000EE"/>
            <w:lang w:val="el" w:eastAsia="el"/>
          </w:rPr>
          <w:t>Τροποποίηση 4286/2014, Άρθρο 18</w:t>
        </w:r>
      </w:hyperlink>
      <w:r>
        <w:rPr>
          <w:lang w:val="el" w:eastAsia="el"/>
        </w:rPr>
        <w:t xml:space="preserve">; </w:t>
      </w:r>
      <w:hyperlink r:id="rId21" w:anchor="art_3" w:history="1">
        <w:r>
          <w:rPr>
            <w:rStyle w:val="Hyperlink"/>
            <w:color w:val="0000EE"/>
            <w:u w:color="0000EE"/>
            <w:lang w:val="el" w:eastAsia="el"/>
          </w:rPr>
          <w:t>Προσθήκη 4254/2014, Άρθρο 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 w:history="1">
        <w:r>
          <w:rPr>
            <w:rStyle w:val="Hyperlink"/>
            <w:color w:val="0000EE"/>
            <w:u w:color="0000EE"/>
            <w:lang w:val="el" w:eastAsia="el"/>
          </w:rPr>
          <w:t>Τροποποίηση 4336/2015, Άρθρο 2</w:t>
        </w:r>
      </w:hyperlink>
      <w:r>
        <w:rPr>
          <w:lang w:val="el" w:eastAsia="el"/>
        </w:rPr>
        <w:t xml:space="preserve">; </w:t>
      </w:r>
      <w:hyperlink r:id="rId23" w:anchor="art_18" w:history="1">
        <w:r>
          <w:rPr>
            <w:rStyle w:val="Hyperlink"/>
            <w:color w:val="0000EE"/>
            <w:u w:color="0000EE"/>
            <w:lang w:val="el" w:eastAsia="el"/>
          </w:rPr>
          <w:t>Προσθήκη 4286/2014,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5087/2024, Άρθρο 54; Προσθήκη P.N.P 26/07/2018, Άρθρο 7</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5087/2024, Άρθρο 54</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5087/2024, Άρθρο 54</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5087/2024, Άρθρο 54</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5087/2024, Άρθρο 54</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5087/2024, Άρθρο 54; </w:t>
      </w:r>
      <w:hyperlink r:id="rId24" w:anchor="art_22" w:history="1">
        <w:r>
          <w:rPr>
            <w:rStyle w:val="Hyperlink"/>
            <w:color w:val="0000EE"/>
            <w:u w:color="0000EE"/>
            <w:lang w:val="el" w:eastAsia="el"/>
          </w:rPr>
          <w:t>Τροποποίηση 5024/2023, Άρθρο 22</w:t>
        </w:r>
      </w:hyperlink>
      <w:r>
        <w:rPr>
          <w:lang w:val="el" w:eastAsia="el"/>
        </w:rPr>
        <w:t xml:space="preserve">; Τροποποίηση 4916/2022, Άρθρο 42; Τροποποίηση 4826/2021, Άρθρο 95; </w:t>
      </w:r>
      <w:hyperlink r:id="rId25" w:anchor="art_96" w:history="1">
        <w:r>
          <w:rPr>
            <w:rStyle w:val="Hyperlink"/>
            <w:color w:val="0000EE"/>
            <w:u w:color="0000EE"/>
            <w:lang w:val="el" w:eastAsia="el"/>
          </w:rPr>
          <w:t>Τροποποίηση 4714/2020, Άρθρο 96</w:t>
        </w:r>
      </w:hyperlink>
      <w:r>
        <w:rPr>
          <w:lang w:val="el" w:eastAsia="el"/>
        </w:rPr>
        <w:t xml:space="preserve">; </w:t>
      </w:r>
      <w:hyperlink r:id="rId26" w:anchor="art_48" w:history="1">
        <w:r>
          <w:rPr>
            <w:rStyle w:val="Hyperlink"/>
            <w:color w:val="0000EE"/>
            <w:u w:color="0000EE"/>
            <w:lang w:val="el" w:eastAsia="el"/>
          </w:rPr>
          <w:t>Τροποποίηση 4607/2019, Άρθρο 48</w:t>
        </w:r>
      </w:hyperlink>
      <w:r>
        <w:rPr>
          <w:lang w:val="el" w:eastAsia="el"/>
        </w:rPr>
        <w:t xml:space="preserve">; </w:t>
      </w:r>
      <w:hyperlink r:id="rId27" w:anchor="art_77" w:history="1">
        <w:r>
          <w:rPr>
            <w:rStyle w:val="Hyperlink"/>
            <w:color w:val="0000EE"/>
            <w:u w:color="0000EE"/>
            <w:lang w:val="el" w:eastAsia="el"/>
          </w:rPr>
          <w:t>Τροποποίηση 4589/2019, Άρθρο 77</w:t>
        </w:r>
      </w:hyperlink>
      <w:r>
        <w:rPr>
          <w:lang w:val="el" w:eastAsia="el"/>
        </w:rPr>
        <w:t xml:space="preserve">; </w:t>
      </w:r>
      <w:hyperlink r:id="rId28"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3" w:history="1">
        <w:r>
          <w:rPr>
            <w:rStyle w:val="Hyperlink"/>
            <w:color w:val="0000EE"/>
            <w:u w:color="0000EE"/>
            <w:lang w:val="el" w:eastAsia="el"/>
          </w:rPr>
          <w:t>Τροποποίηση 5024/2023, Άρθρο 23</w:t>
        </w:r>
      </w:hyperlink>
      <w:r>
        <w:rPr>
          <w:lang w:val="el" w:eastAsia="el"/>
        </w:rPr>
        <w:t xml:space="preserve">; Τροποποίηση 4916/2022, Άρθρο 42; </w:t>
      </w:r>
      <w:hyperlink r:id="rId30" w:anchor="art_154" w:history="1">
        <w:r>
          <w:rPr>
            <w:rStyle w:val="Hyperlink"/>
            <w:color w:val="0000EE"/>
            <w:u w:color="0000EE"/>
            <w:lang w:val="el" w:eastAsia="el"/>
          </w:rPr>
          <w:t>Προσθήκη 4808/2021, Άρθρο 154</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4" w:history="1">
        <w:r>
          <w:rPr>
            <w:rStyle w:val="Hyperlink"/>
            <w:color w:val="0000EE"/>
            <w:u w:color="0000EE"/>
            <w:lang w:val="el" w:eastAsia="el"/>
          </w:rPr>
          <w:t>Τροποποίηση 5024/2023, Άρθρο 24</w:t>
        </w:r>
      </w:hyperlink>
      <w:r>
        <w:rPr>
          <w:lang w:val="el" w:eastAsia="el"/>
        </w:rPr>
        <w:t>; Τροποποίηση 4916/2022, Άρθρο 42; Προσθήκη P.N.P 13/08/2021, Άρθρο 16</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5" w:history="1">
        <w:r>
          <w:rPr>
            <w:rStyle w:val="Hyperlink"/>
            <w:color w:val="0000EE"/>
            <w:u w:color="0000EE"/>
            <w:lang w:val="el" w:eastAsia="el"/>
          </w:rPr>
          <w:t>Τροποποίηση 5024/2023, Άρθρο 25</w:t>
        </w:r>
      </w:hyperlink>
      <w:r>
        <w:rPr>
          <w:lang w:val="el" w:eastAsia="el"/>
        </w:rPr>
        <w:t xml:space="preserve">; </w:t>
      </w:r>
      <w:hyperlink r:id="rId33" w:anchor="art_76" w:history="1">
        <w:r>
          <w:rPr>
            <w:rStyle w:val="Hyperlink"/>
            <w:color w:val="0000EE"/>
            <w:u w:color="0000EE"/>
            <w:lang w:val="el" w:eastAsia="el"/>
          </w:rPr>
          <w:t>Προσθήκη 4837/2021, Άρθρο 76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76" w:history="1">
        <w:r>
          <w:rPr>
            <w:rStyle w:val="Hyperlink"/>
            <w:color w:val="0000EE"/>
            <w:u w:color="0000EE"/>
            <w:lang w:val="el" w:eastAsia="el"/>
          </w:rPr>
          <w:t>Προσθήκη 4837/2021, Άρθρο 76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68" w:history="1">
        <w:r>
          <w:rPr>
            <w:rStyle w:val="Hyperlink"/>
            <w:color w:val="0000EE"/>
            <w:u w:color="0000EE"/>
            <w:lang w:val="el" w:eastAsia="el"/>
          </w:rPr>
          <w:t>Τροποποίηση 5100/2024, Άρθρο 68</w:t>
        </w:r>
      </w:hyperlink>
      <w:r>
        <w:rPr>
          <w:lang w:val="el" w:eastAsia="el"/>
        </w:rPr>
        <w:t>; Τροποποίηση 4876/2021, Άρθρο 45</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6" w:history="1">
        <w:r>
          <w:rPr>
            <w:rStyle w:val="Hyperlink"/>
            <w:color w:val="0000EE"/>
            <w:u w:color="0000EE"/>
            <w:lang w:val="el" w:eastAsia="el"/>
          </w:rPr>
          <w:t>Προσθήκη 5024/2023, Άρθρο 26</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6" w:history="1">
        <w:r>
          <w:rPr>
            <w:rStyle w:val="Hyperlink"/>
            <w:color w:val="0000EE"/>
            <w:u w:color="0000EE"/>
            <w:lang w:val="el" w:eastAsia="el"/>
          </w:rPr>
          <w:t>Προσθήκη 5024/2023, Άρθρο 26</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4" w:history="1">
        <w:r>
          <w:rPr>
            <w:rStyle w:val="Hyperlink"/>
            <w:color w:val="0000EE"/>
            <w:u w:color="0000EE"/>
            <w:lang w:val="el" w:eastAsia="el"/>
          </w:rPr>
          <w:t>Προσθήκη 5045/2023, Άρθρο 44</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4" w:history="1">
        <w:r>
          <w:rPr>
            <w:rStyle w:val="Hyperlink"/>
            <w:color w:val="0000EE"/>
            <w:u w:color="0000EE"/>
            <w:lang w:val="el" w:eastAsia="el"/>
          </w:rPr>
          <w:t>Προσθήκη 5045/2023, Άρθρο 44</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5087/2024, Άρθρο 54; </w:t>
      </w:r>
      <w:hyperlink r:id="rId40" w:anchor="art_69" w:history="1">
        <w:r>
          <w:rPr>
            <w:rStyle w:val="Hyperlink"/>
            <w:color w:val="0000EE"/>
            <w:u w:color="0000EE"/>
            <w:lang w:val="el" w:eastAsia="el"/>
          </w:rPr>
          <w:t>Προσθήκη 5045/2023, Άρθρο 69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43; </w:t>
      </w:r>
      <w:hyperlink r:id="rId41" w:anchor="art_126" w:history="1">
        <w:r>
          <w:rPr>
            <w:rStyle w:val="Hyperlink"/>
            <w:color w:val="0000EE"/>
            <w:u w:color="0000EE"/>
            <w:lang w:val="el" w:eastAsia="el"/>
          </w:rPr>
          <w:t>Τροποποίηση 4549/2018, Άρθρο 126</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68" w:history="1">
        <w:r>
          <w:rPr>
            <w:rStyle w:val="Hyperlink"/>
            <w:color w:val="0000EE"/>
            <w:u w:color="0000EE"/>
            <w:lang w:val="el" w:eastAsia="el"/>
          </w:rPr>
          <w:t>Τροποποίηση 5100/2024, Άρθρο 68</w:t>
        </w:r>
      </w:hyperlink>
      <w:r>
        <w:rPr>
          <w:lang w:val="el" w:eastAsia="el"/>
        </w:rPr>
        <w:t xml:space="preserve">; </w:t>
      </w:r>
      <w:hyperlink r:id="rId43" w:anchor="art_52" w:history="1">
        <w:r>
          <w:rPr>
            <w:rStyle w:val="Hyperlink"/>
            <w:color w:val="0000EE"/>
            <w:u w:color="0000EE"/>
            <w:lang w:val="el" w:eastAsia="el"/>
          </w:rPr>
          <w:t>Τροποποίηση 4276/2014, Άρθρο 52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68" w:history="1">
        <w:r>
          <w:rPr>
            <w:rStyle w:val="Hyperlink"/>
            <w:color w:val="0000EE"/>
            <w:u w:color="0000EE"/>
            <w:lang w:val="el" w:eastAsia="el"/>
          </w:rPr>
          <w:t>Τροποποίηση 5100/2024, Άρθρο 68</w:t>
        </w:r>
      </w:hyperlink>
      <w:r>
        <w:rPr>
          <w:lang w:val="el" w:eastAsia="el"/>
        </w:rPr>
        <w:t xml:space="preserve">; </w:t>
      </w:r>
      <w:hyperlink r:id="rId45" w:anchor="art_24" w:history="1">
        <w:r>
          <w:rPr>
            <w:rStyle w:val="Hyperlink"/>
            <w:color w:val="0000EE"/>
            <w:u w:color="0000EE"/>
            <w:lang w:val="el" w:eastAsia="el"/>
          </w:rPr>
          <w:t>Τροποποίηση 5036/2023, Άρθρο 24</w:t>
        </w:r>
      </w:hyperlink>
      <w:r>
        <w:rPr>
          <w:lang w:val="el" w:eastAsia="el"/>
        </w:rPr>
        <w:t>; Προσθήκη 4916/2022, Άρθρο 43</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68" w:history="1">
        <w:r>
          <w:rPr>
            <w:rStyle w:val="Hyperlink"/>
            <w:color w:val="0000EE"/>
            <w:u w:color="0000EE"/>
            <w:lang w:val="el" w:eastAsia="el"/>
          </w:rPr>
          <w:t>Τροποποίηση 5100/2024, Άρθρο 68</w:t>
        </w:r>
      </w:hyperlink>
      <w:r>
        <w:rPr>
          <w:lang w:val="el" w:eastAsia="el"/>
        </w:rPr>
        <w:t xml:space="preserve">; </w:t>
      </w:r>
      <w:hyperlink r:id="rId47" w:anchor="art_24" w:history="1">
        <w:r>
          <w:rPr>
            <w:rStyle w:val="Hyperlink"/>
            <w:color w:val="0000EE"/>
            <w:u w:color="0000EE"/>
            <w:lang w:val="el" w:eastAsia="el"/>
          </w:rPr>
          <w:t>Τροποποίηση 5036/2023, Άρθρο 24</w:t>
        </w:r>
      </w:hyperlink>
      <w:r>
        <w:rPr>
          <w:lang w:val="el" w:eastAsia="el"/>
        </w:rPr>
        <w:t>; Προσθήκη 4916/2022, Άρθρο 43</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50" w:history="1">
        <w:r>
          <w:rPr>
            <w:rStyle w:val="Hyperlink"/>
            <w:color w:val="0000EE"/>
            <w:u w:color="0000EE"/>
            <w:lang w:val="el" w:eastAsia="el"/>
          </w:rPr>
          <w:t>Τροποποίηση 4389/2016, Άρθρο 50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4286/2014, Άρθρο 18</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2" w:history="1">
        <w:r>
          <w:rPr>
            <w:rStyle w:val="Hyperlink"/>
            <w:color w:val="0000EE"/>
            <w:u w:color="0000EE"/>
            <w:lang w:val="el" w:eastAsia="el"/>
          </w:rPr>
          <w:t>Τροποποίηση 4276/2014, Άρθρο 52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52" w:history="1">
        <w:r>
          <w:rPr>
            <w:rStyle w:val="Hyperlink"/>
            <w:color w:val="0000EE"/>
            <w:u w:color="0000EE"/>
            <w:lang w:val="el" w:eastAsia="el"/>
          </w:rPr>
          <w:t>Προσθήκη 4276/2014, Άρθρο 52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8" w:history="1">
        <w:r>
          <w:rPr>
            <w:rStyle w:val="Hyperlink"/>
            <w:color w:val="0000EE"/>
            <w:u w:color="0000EE"/>
            <w:lang w:val="el" w:eastAsia="el"/>
          </w:rPr>
          <w:t>Τροποποίηση 4286/2014, Άρθρο 18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3" w:history="1">
        <w:r>
          <w:rPr>
            <w:rStyle w:val="Hyperlink"/>
            <w:color w:val="0000EE"/>
            <w:u w:color="0000EE"/>
            <w:lang w:val="el" w:eastAsia="el"/>
          </w:rPr>
          <w:t>Προσθήκη 4935/2022, Άρθρο 23</w:t>
        </w:r>
      </w:hyperlink>
      <w:r>
        <w:rPr>
          <w:lang w:val="el" w:eastAsia="el"/>
        </w:rPr>
        <w:t>; Προσθήκη 4916/2022, Άρθρο 43</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7" w:history="1">
        <w:r>
          <w:rPr>
            <w:rStyle w:val="Hyperlink"/>
            <w:color w:val="0000EE"/>
            <w:u w:color="0000EE"/>
            <w:lang w:val="el" w:eastAsia="el"/>
          </w:rPr>
          <w:t>Τροποποίηση 5024/2023, Άρθρο 27</w:t>
        </w:r>
      </w:hyperlink>
      <w:r>
        <w:rPr>
          <w:lang w:val="el" w:eastAsia="el"/>
        </w:rPr>
        <w:t>; Προσθήκη 4916/2022, Άρθρο 43</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23" w:history="1">
        <w:r>
          <w:rPr>
            <w:rStyle w:val="Hyperlink"/>
            <w:color w:val="0000EE"/>
            <w:u w:color="0000EE"/>
            <w:lang w:val="el" w:eastAsia="el"/>
          </w:rPr>
          <w:t>Προσθήκη 4935/2022, Άρθρο 23</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15" w:history="1">
        <w:r>
          <w:rPr>
            <w:rStyle w:val="Hyperlink"/>
            <w:color w:val="0000EE"/>
            <w:u w:color="0000EE"/>
            <w:lang w:val="el" w:eastAsia="el"/>
          </w:rPr>
          <w:t>Τροποποίηση 5104/2024, Άρθρο 115</w:t>
        </w:r>
      </w:hyperlink>
      <w:r>
        <w:rPr>
          <w:lang w:val="el" w:eastAsia="el"/>
        </w:rPr>
        <w:t xml:space="preserve">; </w:t>
      </w:r>
      <w:hyperlink r:id="rId57" w:anchor="art_27" w:history="1">
        <w:r>
          <w:rPr>
            <w:rStyle w:val="Hyperlink"/>
            <w:color w:val="0000EE"/>
            <w:u w:color="0000EE"/>
            <w:lang w:val="el" w:eastAsia="el"/>
          </w:rPr>
          <w:t>Τροποποίηση 5024/2023, Άρθρο 27</w:t>
        </w:r>
      </w:hyperlink>
      <w:r>
        <w:rPr>
          <w:lang w:val="el" w:eastAsia="el"/>
        </w:rPr>
        <w:t xml:space="preserve">; </w:t>
      </w:r>
      <w:hyperlink r:id="rId58" w:anchor="art_23" w:history="1">
        <w:r>
          <w:rPr>
            <w:rStyle w:val="Hyperlink"/>
            <w:color w:val="0000EE"/>
            <w:u w:color="0000EE"/>
            <w:lang w:val="el" w:eastAsia="el"/>
          </w:rPr>
          <w:t>Τροποποίηση 4935/2022, Άρθρο 23</w:t>
        </w:r>
      </w:hyperlink>
      <w:r>
        <w:rPr>
          <w:lang w:val="el" w:eastAsia="el"/>
        </w:rPr>
        <w:t>; Προσθήκη 4916/2022, Άρθρο 43</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15" w:history="1">
        <w:r>
          <w:rPr>
            <w:rStyle w:val="Hyperlink"/>
            <w:color w:val="0000EE"/>
            <w:u w:color="0000EE"/>
            <w:lang w:val="el" w:eastAsia="el"/>
          </w:rPr>
          <w:t>Τροποποίηση 5104/2024, Άρθρο 115</w:t>
        </w:r>
      </w:hyperlink>
      <w:r>
        <w:rPr>
          <w:lang w:val="el" w:eastAsia="el"/>
        </w:rPr>
        <w:t xml:space="preserve">; </w:t>
      </w:r>
      <w:hyperlink r:id="rId60" w:anchor="art_27" w:history="1">
        <w:r>
          <w:rPr>
            <w:rStyle w:val="Hyperlink"/>
            <w:color w:val="0000EE"/>
            <w:u w:color="0000EE"/>
            <w:lang w:val="el" w:eastAsia="el"/>
          </w:rPr>
          <w:t>Τροποποίηση 5024/2023, Άρθρο 27</w:t>
        </w:r>
      </w:hyperlink>
      <w:r>
        <w:rPr>
          <w:lang w:val="el" w:eastAsia="el"/>
        </w:rPr>
        <w:t>; Προσθήκη 4916/2022, Άρθρο 43</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44</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44</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44; </w:t>
      </w:r>
      <w:hyperlink r:id="rId61" w:anchor="art_50" w:history="1">
        <w:r>
          <w:rPr>
            <w:rStyle w:val="Hyperlink"/>
            <w:color w:val="0000EE"/>
            <w:u w:color="0000EE"/>
            <w:lang w:val="el" w:eastAsia="el"/>
          </w:rPr>
          <w:t>Τροποποίηση 4389/2016, Άρθρο 50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44</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44</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62" w:anchor="art_126" w:history="1">
        <w:r>
          <w:rPr>
            <w:rStyle w:val="Hyperlink"/>
            <w:color w:val="0000EE"/>
            <w:u w:color="0000EE"/>
            <w:lang w:val="el" w:eastAsia="el"/>
          </w:rPr>
          <w:t>Τροποποίηση 4549/2018, Άρθρο 126</w:t>
        </w:r>
      </w:hyperlink>
      <w:r>
        <w:rPr>
          <w:lang w:val="el" w:eastAsia="el"/>
        </w:rPr>
        <w:t xml:space="preserve">; </w:t>
      </w:r>
      <w:hyperlink r:id="rId63" w:anchor="art_50" w:history="1">
        <w:r>
          <w:rPr>
            <w:rStyle w:val="Hyperlink"/>
            <w:color w:val="0000EE"/>
            <w:u w:color="0000EE"/>
            <w:lang w:val="el" w:eastAsia="el"/>
          </w:rPr>
          <w:t>Τροποποίηση 4389/2016, Άρθρο 50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64" w:anchor="art_50" w:history="1">
        <w:r>
          <w:rPr>
            <w:rStyle w:val="Hyperlink"/>
            <w:color w:val="0000EE"/>
            <w:u w:color="0000EE"/>
            <w:lang w:val="el" w:eastAsia="el"/>
          </w:rPr>
          <w:t>Τροποποίηση 4389/2016, Άρθρο 50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 w:history="1">
        <w:r>
          <w:rPr>
            <w:rStyle w:val="Hyperlink"/>
            <w:color w:val="0000EE"/>
            <w:u w:color="0000EE"/>
            <w:lang w:val="el" w:eastAsia="el"/>
          </w:rPr>
          <w:t>Αφαίρεση 4336/2015, Άρθρο 2</w:t>
        </w:r>
      </w:hyperlink>
      <w:r>
        <w:rPr>
          <w:lang w:val="el" w:eastAsia="el"/>
        </w:rPr>
        <w:t xml:space="preserve">; </w:t>
      </w:r>
      <w:hyperlink r:id="rId66" w:anchor="art_126" w:history="1">
        <w:r>
          <w:rPr>
            <w:rStyle w:val="Hyperlink"/>
            <w:color w:val="0000EE"/>
            <w:u w:color="0000EE"/>
            <w:lang w:val="el" w:eastAsia="el"/>
          </w:rPr>
          <w:t>Προσθήκη 4316/2014, Άρθρο 126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67" w:anchor="art_153" w:history="1">
        <w:r>
          <w:rPr>
            <w:rStyle w:val="Hyperlink"/>
            <w:color w:val="0000EE"/>
            <w:u w:color="0000EE"/>
            <w:lang w:val="el" w:eastAsia="el"/>
          </w:rPr>
          <w:t>Τροποποίηση 4808/2021, Άρθρο 153</w:t>
        </w:r>
      </w:hyperlink>
      <w:r>
        <w:rPr>
          <w:lang w:val="el" w:eastAsia="el"/>
        </w:rPr>
        <w:t xml:space="preserve">; </w:t>
      </w:r>
      <w:hyperlink r:id="rId68" w:anchor="art_35" w:history="1">
        <w:r>
          <w:rPr>
            <w:rStyle w:val="Hyperlink"/>
            <w:color w:val="0000EE"/>
            <w:u w:color="0000EE"/>
            <w:lang w:val="el" w:eastAsia="el"/>
          </w:rPr>
          <w:t>Τροποποίηση 4701/2020, Άρθρο 35</w:t>
        </w:r>
      </w:hyperlink>
      <w:r>
        <w:rPr>
          <w:lang w:val="el" w:eastAsia="el"/>
        </w:rPr>
        <w:t xml:space="preserve">; </w:t>
      </w:r>
      <w:hyperlink r:id="rId69" w:anchor="art_24" w:history="1">
        <w:r>
          <w:rPr>
            <w:rStyle w:val="Hyperlink"/>
            <w:color w:val="0000EE"/>
            <w:u w:color="0000EE"/>
            <w:lang w:val="el" w:eastAsia="el"/>
          </w:rPr>
          <w:t>Τροποποίηση 4579/2018, Άρθρο 24</w:t>
        </w:r>
      </w:hyperlink>
      <w:r>
        <w:rPr>
          <w:lang w:val="el" w:eastAsia="el"/>
        </w:rPr>
        <w:t xml:space="preserve">; </w:t>
      </w:r>
      <w:hyperlink r:id="rId70" w:anchor="art_13" w:history="1">
        <w:r>
          <w:rPr>
            <w:rStyle w:val="Hyperlink"/>
            <w:color w:val="0000EE"/>
            <w:u w:color="0000EE"/>
            <w:lang w:val="el" w:eastAsia="el"/>
          </w:rPr>
          <w:t>Τροποποίηση 4474/2017, Άρθρο 13</w:t>
        </w:r>
      </w:hyperlink>
      <w:r>
        <w:rPr>
          <w:lang w:val="el" w:eastAsia="el"/>
        </w:rPr>
        <w:t xml:space="preserve">; </w:t>
      </w:r>
      <w:hyperlink r:id="rId71" w:anchor="art_64" w:history="1">
        <w:r>
          <w:rPr>
            <w:rStyle w:val="Hyperlink"/>
            <w:color w:val="0000EE"/>
            <w:u w:color="0000EE"/>
            <w:lang w:val="el" w:eastAsia="el"/>
          </w:rPr>
          <w:t>Προσθήκη 4410/2016, Άρθρο 64</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44; </w:t>
      </w:r>
      <w:hyperlink r:id="rId72" w:anchor="art_6" w:history="1">
        <w:r>
          <w:rPr>
            <w:rStyle w:val="Hyperlink"/>
            <w:color w:val="0000EE"/>
            <w:u w:color="0000EE"/>
            <w:lang w:val="el" w:eastAsia="el"/>
          </w:rPr>
          <w:t>Τροποποίηση 4393/2016, Άρθρο 6</w:t>
        </w:r>
      </w:hyperlink>
      <w:r>
        <w:rPr>
          <w:lang w:val="el" w:eastAsia="el"/>
        </w:rPr>
        <w:t xml:space="preserve">; </w:t>
      </w:r>
      <w:hyperlink r:id="rId73" w:anchor="art_50" w:history="1">
        <w:r>
          <w:rPr>
            <w:rStyle w:val="Hyperlink"/>
            <w:color w:val="0000EE"/>
            <w:u w:color="0000EE"/>
            <w:lang w:val="el" w:eastAsia="el"/>
          </w:rPr>
          <w:t>Τροποποίηση 4389/2016, Άρθρο 50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74" w:anchor="art_50" w:history="1">
        <w:r>
          <w:rPr>
            <w:rStyle w:val="Hyperlink"/>
            <w:color w:val="0000EE"/>
            <w:u w:color="0000EE"/>
            <w:lang w:val="el" w:eastAsia="el"/>
          </w:rPr>
          <w:t>Τροποποίηση 4389/2016, Άρθρο 50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75" w:anchor="art_50" w:history="1">
        <w:r>
          <w:rPr>
            <w:rStyle w:val="Hyperlink"/>
            <w:color w:val="0000EE"/>
            <w:u w:color="0000EE"/>
            <w:lang w:val="el" w:eastAsia="el"/>
          </w:rPr>
          <w:t>Τροποποίηση 4389/2016, Άρθρο 50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76" w:anchor="art_50" w:history="1">
        <w:r>
          <w:rPr>
            <w:rStyle w:val="Hyperlink"/>
            <w:color w:val="0000EE"/>
            <w:u w:color="0000EE"/>
            <w:lang w:val="el" w:eastAsia="el"/>
          </w:rPr>
          <w:t>Τροποποίηση 4389/2016, Άρθρο 50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50" w:history="1">
        <w:r>
          <w:rPr>
            <w:rStyle w:val="Hyperlink"/>
            <w:color w:val="0000EE"/>
            <w:u w:color="0000EE"/>
            <w:lang w:val="el" w:eastAsia="el"/>
          </w:rPr>
          <w:t>Αφαίρεση 4389/2016, Άρθρο 50</w:t>
        </w:r>
      </w:hyperlink>
      <w:r>
        <w:rPr>
          <w:lang w:val="el" w:eastAsia="el"/>
        </w:rPr>
        <w:t xml:space="preserve">; </w:t>
      </w:r>
      <w:hyperlink r:id="rId78" w:anchor="art_126" w:history="1">
        <w:r>
          <w:rPr>
            <w:rStyle w:val="Hyperlink"/>
            <w:color w:val="0000EE"/>
            <w:u w:color="0000EE"/>
            <w:lang w:val="el" w:eastAsia="el"/>
          </w:rPr>
          <w:t>Τροποποίηση 4316/2014, Άρθρο 126</w:t>
        </w:r>
      </w:hyperlink>
      <w:r>
        <w:rPr>
          <w:lang w:val="el" w:eastAsia="el"/>
        </w:rPr>
        <w:t xml:space="preserve">; </w:t>
      </w:r>
      <w:hyperlink r:id="rId79" w:anchor="art_18" w:history="1">
        <w:r>
          <w:rPr>
            <w:rStyle w:val="Hyperlink"/>
            <w:color w:val="0000EE"/>
            <w:u w:color="0000EE"/>
            <w:lang w:val="el" w:eastAsia="el"/>
          </w:rPr>
          <w:t>Τροποποίηση 4286/2014, Άρθρο 18</w:t>
        </w:r>
      </w:hyperlink>
      <w:r>
        <w:rPr>
          <w:lang w:val="el" w:eastAsia="el"/>
        </w:rPr>
        <w:t xml:space="preserve">; </w:t>
      </w:r>
      <w:hyperlink r:id="rId80" w:anchor="art_18" w:history="1">
        <w:r>
          <w:rPr>
            <w:rStyle w:val="Hyperlink"/>
            <w:color w:val="0000EE"/>
            <w:u w:color="0000EE"/>
            <w:lang w:val="el" w:eastAsia="el"/>
          </w:rPr>
          <w:t>Τροποποίηση 4286/2014, Άρθρο 18</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81" w:anchor="art_18" w:history="1">
        <w:r>
          <w:rPr>
            <w:rStyle w:val="Hyperlink"/>
            <w:color w:val="0000EE"/>
            <w:u w:color="0000EE"/>
            <w:lang w:val="el" w:eastAsia="el"/>
          </w:rPr>
          <w:t>Τροποποίηση 4286/2014, Άρθρο 18</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3" w:history="1">
        <w:r>
          <w:rPr>
            <w:rStyle w:val="Hyperlink"/>
            <w:color w:val="0000EE"/>
            <w:u w:color="0000EE"/>
            <w:lang w:val="el" w:eastAsia="el"/>
          </w:rPr>
          <w:t>Τροποποίηση 4254/2014, Άρθρο 3</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45; </w:t>
      </w:r>
      <w:hyperlink r:id="rId83" w:anchor="art_49" w:history="1">
        <w:r>
          <w:rPr>
            <w:rStyle w:val="Hyperlink"/>
            <w:color w:val="0000EE"/>
            <w:u w:color="0000EE"/>
            <w:lang w:val="el" w:eastAsia="el"/>
          </w:rPr>
          <w:t>Τροποποίηση 4646/2019, Άρθρο 49</w:t>
        </w:r>
      </w:hyperlink>
      <w:r>
        <w:rPr>
          <w:lang w:val="el" w:eastAsia="el"/>
        </w:rPr>
        <w:t xml:space="preserve">; </w:t>
      </w:r>
      <w:hyperlink r:id="rId84" w:anchor="art_86" w:history="1">
        <w:r>
          <w:rPr>
            <w:rStyle w:val="Hyperlink"/>
            <w:color w:val="0000EE"/>
            <w:u w:color="0000EE"/>
            <w:lang w:val="el" w:eastAsia="el"/>
          </w:rPr>
          <w:t>Τροποποίηση 4316/2014, Άρθρο 86</w:t>
        </w:r>
      </w:hyperlink>
      <w:r>
        <w:rPr>
          <w:lang w:val="el" w:eastAsia="el"/>
        </w:rPr>
        <w:t xml:space="preserve">; </w:t>
      </w:r>
      <w:hyperlink r:id="rId85" w:anchor="art_52" w:history="1">
        <w:r>
          <w:rPr>
            <w:rStyle w:val="Hyperlink"/>
            <w:color w:val="0000EE"/>
            <w:u w:color="0000EE"/>
            <w:lang w:val="el" w:eastAsia="el"/>
          </w:rPr>
          <w:t>Τροποποίηση 4276/2014, Άρθρο 52</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45; </w:t>
      </w:r>
      <w:hyperlink r:id="rId86" w:anchor="art_86" w:history="1">
        <w:r>
          <w:rPr>
            <w:rStyle w:val="Hyperlink"/>
            <w:color w:val="0000EE"/>
            <w:u w:color="0000EE"/>
            <w:lang w:val="el" w:eastAsia="el"/>
          </w:rPr>
          <w:t>Τροποποίηση 4316/2014, Άρθρο 86</w:t>
        </w:r>
      </w:hyperlink>
      <w:r>
        <w:rPr>
          <w:lang w:val="el" w:eastAsia="el"/>
        </w:rPr>
        <w:t xml:space="preserve">; </w:t>
      </w:r>
      <w:hyperlink r:id="rId87" w:anchor="art_42" w:history="1">
        <w:r>
          <w:rPr>
            <w:rStyle w:val="Hyperlink"/>
            <w:color w:val="0000EE"/>
            <w:u w:color="0000EE"/>
            <w:lang w:val="el" w:eastAsia="el"/>
          </w:rPr>
          <w:t>Τροποποίηση 4308/2014, Άρθρο 42</w:t>
        </w:r>
      </w:hyperlink>
      <w:r>
        <w:rPr>
          <w:lang w:val="el" w:eastAsia="el"/>
        </w:rPr>
        <w:t xml:space="preserve">; </w:t>
      </w:r>
      <w:hyperlink r:id="rId88" w:anchor="art_52" w:history="1">
        <w:r>
          <w:rPr>
            <w:rStyle w:val="Hyperlink"/>
            <w:color w:val="0000EE"/>
            <w:u w:color="0000EE"/>
            <w:lang w:val="el" w:eastAsia="el"/>
          </w:rPr>
          <w:t>Προσθήκη 4276/2014, Άρθρο 52</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45</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52" w:history="1">
        <w:r>
          <w:rPr>
            <w:rStyle w:val="Hyperlink"/>
            <w:color w:val="0000EE"/>
            <w:u w:color="0000EE"/>
            <w:lang w:val="el" w:eastAsia="el"/>
          </w:rPr>
          <w:t>Προσθήκη 4276/2014, Άρθρο 52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94" w:anchor="art_18" w:history="1">
        <w:r>
          <w:rPr>
            <w:rStyle w:val="Hyperlink"/>
            <w:color w:val="0000EE"/>
            <w:u w:color="0000EE"/>
            <w:lang w:val="el" w:eastAsia="el"/>
          </w:rPr>
          <w:t>Τροποποίηση 4286/2014, Άρθρο 18</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95" w:anchor="art_18" w:history="1">
        <w:r>
          <w:rPr>
            <w:rStyle w:val="Hyperlink"/>
            <w:color w:val="0000EE"/>
            <w:u w:color="0000EE"/>
            <w:lang w:val="el" w:eastAsia="el"/>
          </w:rPr>
          <w:t>Τροποποίηση 4286/2014, Άρθρο 18</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8" w:history="1">
        <w:r>
          <w:rPr>
            <w:rStyle w:val="Hyperlink"/>
            <w:color w:val="0000EE"/>
            <w:u w:color="0000EE"/>
            <w:lang w:val="el" w:eastAsia="el"/>
          </w:rPr>
          <w:t>Τροποποίηση 4286/2014, Άρθρο 18</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97" w:anchor="art_18" w:history="1">
        <w:r>
          <w:rPr>
            <w:rStyle w:val="Hyperlink"/>
            <w:color w:val="0000EE"/>
            <w:u w:color="0000EE"/>
            <w:lang w:val="el" w:eastAsia="el"/>
          </w:rPr>
          <w:t>Τροποποίηση 4286/2014, Άρθρο 18</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8" w:history="1">
        <w:r>
          <w:rPr>
            <w:rStyle w:val="Hyperlink"/>
            <w:color w:val="0000EE"/>
            <w:u w:color="0000EE"/>
            <w:lang w:val="el" w:eastAsia="el"/>
          </w:rPr>
          <w:t>Τροποποίηση 4286/2014, Άρθρο 18</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8" w:history="1">
        <w:r>
          <w:rPr>
            <w:rStyle w:val="Hyperlink"/>
            <w:color w:val="0000EE"/>
            <w:u w:color="0000EE"/>
            <w:lang w:val="el" w:eastAsia="el"/>
          </w:rPr>
          <w:t>Τροποποίηση 4286/2014, Άρθρο 18</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4931/2022, Άρθρο 67; Τροποποίηση 4916/2022, Άρθρο 46; </w:t>
      </w:r>
      <w:hyperlink r:id="rId100" w:anchor="art_153" w:history="1">
        <w:r>
          <w:rPr>
            <w:rStyle w:val="Hyperlink"/>
            <w:color w:val="0000EE"/>
            <w:u w:color="0000EE"/>
            <w:lang w:val="el" w:eastAsia="el"/>
          </w:rPr>
          <w:t>Τροποποίηση 4808/2021, Άρθρο 153</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101" w:anchor="art_1" w:history="1">
        <w:r>
          <w:rPr>
            <w:rStyle w:val="Hyperlink"/>
            <w:color w:val="0000EE"/>
            <w:u w:color="0000EE"/>
            <w:lang w:val="el" w:eastAsia="el"/>
          </w:rPr>
          <w:t>Τροποποίηση 4621/2019, Άρθρο 1</w:t>
        </w:r>
      </w:hyperlink>
      <w:r>
        <w:rPr>
          <w:lang w:val="el" w:eastAsia="el"/>
        </w:rPr>
        <w:t xml:space="preserve">; </w:t>
      </w:r>
      <w:hyperlink r:id="rId102" w:anchor="art_3" w:history="1">
        <w:r>
          <w:rPr>
            <w:rStyle w:val="Hyperlink"/>
            <w:color w:val="0000EE"/>
            <w:u w:color="0000EE"/>
            <w:lang w:val="el" w:eastAsia="el"/>
          </w:rPr>
          <w:t>Τροποποίηση 4613/2019, Άρθρο 3</w:t>
        </w:r>
      </w:hyperlink>
      <w:r>
        <w:rPr>
          <w:lang w:val="el" w:eastAsia="el"/>
        </w:rPr>
        <w:t xml:space="preserve">; </w:t>
      </w:r>
      <w:hyperlink r:id="rId103" w:anchor="art_24" w:history="1">
        <w:r>
          <w:rPr>
            <w:rStyle w:val="Hyperlink"/>
            <w:color w:val="0000EE"/>
            <w:u w:color="0000EE"/>
            <w:lang w:val="el" w:eastAsia="el"/>
          </w:rPr>
          <w:t>Προσθήκη 4579/2018, Άρθρο 24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8" w:history="1">
        <w:r>
          <w:rPr>
            <w:rStyle w:val="Hyperlink"/>
            <w:color w:val="0000EE"/>
            <w:u w:color="0000EE"/>
            <w:lang w:val="el" w:eastAsia="el"/>
          </w:rPr>
          <w:t>Τροποποίηση 4286/2014, Άρθρο 18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8" w:history="1">
        <w:r>
          <w:rPr>
            <w:rStyle w:val="Hyperlink"/>
            <w:color w:val="0000EE"/>
            <w:u w:color="0000EE"/>
            <w:lang w:val="el" w:eastAsia="el"/>
          </w:rPr>
          <w:t>Τροποποίηση 4286/2014, Άρθρο 18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3" w:history="1">
        <w:r>
          <w:rPr>
            <w:rStyle w:val="Hyperlink"/>
            <w:color w:val="0000EE"/>
            <w:u w:color="0000EE"/>
            <w:lang w:val="el" w:eastAsia="el"/>
          </w:rPr>
          <w:t>Προσθήκη 4484/2017, Άρθρο 13</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 Προσθήκη P.N.P 26/07/2018, Άρθρο 7</w:t>
      </w:r>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107" w:anchor="art_13" w:history="1">
        <w:r>
          <w:rPr>
            <w:rStyle w:val="Hyperlink"/>
            <w:color w:val="0000EE"/>
            <w:u w:color="0000EE"/>
            <w:lang w:val="el" w:eastAsia="el"/>
          </w:rPr>
          <w:t>Τροποποίηση 4484/2017, Άρθρο 13</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5087/2024, Άρθρο 55; </w:t>
      </w:r>
      <w:hyperlink r:id="rId108" w:anchor="art_24" w:history="1">
        <w:r>
          <w:rPr>
            <w:rStyle w:val="Hyperlink"/>
            <w:color w:val="0000EE"/>
            <w:u w:color="0000EE"/>
            <w:lang w:val="el" w:eastAsia="el"/>
          </w:rPr>
          <w:t>Τροποποίηση 4935/2022, Άρθρο 24</w:t>
        </w:r>
      </w:hyperlink>
      <w:r>
        <w:rPr>
          <w:lang w:val="el" w:eastAsia="el"/>
        </w:rPr>
        <w:t xml:space="preserve">; Τροποποίηση 4931/2022, Άρθρο 67; Τροποποίηση 4916/2022, Άρθρο 47; </w:t>
      </w:r>
      <w:hyperlink r:id="rId109" w:anchor="art_54" w:history="1">
        <w:r>
          <w:rPr>
            <w:rStyle w:val="Hyperlink"/>
            <w:color w:val="0000EE"/>
            <w:u w:color="0000EE"/>
            <w:lang w:val="el" w:eastAsia="el"/>
          </w:rPr>
          <w:t>Τροποποίηση 4839/2021, Άρθρο 54</w:t>
        </w:r>
      </w:hyperlink>
      <w:r>
        <w:rPr>
          <w:lang w:val="el" w:eastAsia="el"/>
        </w:rPr>
        <w:t xml:space="preserve">; </w:t>
      </w:r>
      <w:hyperlink r:id="rId110" w:anchor="art_77" w:history="1">
        <w:r>
          <w:rPr>
            <w:rStyle w:val="Hyperlink"/>
            <w:color w:val="0000EE"/>
            <w:u w:color="0000EE"/>
            <w:lang w:val="el" w:eastAsia="el"/>
          </w:rPr>
          <w:t>Τροποποίηση 4821/2021, Άρθρο 77</w:t>
        </w:r>
      </w:hyperlink>
      <w:r>
        <w:rPr>
          <w:lang w:val="el" w:eastAsia="el"/>
        </w:rPr>
        <w:t xml:space="preserve">; </w:t>
      </w:r>
      <w:hyperlink r:id="rId111" w:anchor="art_9" w:history="1">
        <w:r>
          <w:rPr>
            <w:rStyle w:val="Hyperlink"/>
            <w:color w:val="0000EE"/>
            <w:u w:color="0000EE"/>
            <w:lang w:val="el" w:eastAsia="el"/>
          </w:rPr>
          <w:t>Τροποποίηση 4728/2020, Άρθρο 9</w:t>
        </w:r>
      </w:hyperlink>
      <w:r>
        <w:rPr>
          <w:lang w:val="el" w:eastAsia="el"/>
        </w:rPr>
        <w:t xml:space="preserve">; </w:t>
      </w:r>
      <w:hyperlink r:id="rId112" w:anchor="art_82" w:history="1">
        <w:r>
          <w:rPr>
            <w:rStyle w:val="Hyperlink"/>
            <w:color w:val="0000EE"/>
            <w:u w:color="0000EE"/>
            <w:lang w:val="el" w:eastAsia="el"/>
          </w:rPr>
          <w:t>Τροποποίηση 4706/2020, Άρθρο 82</w:t>
        </w:r>
      </w:hyperlink>
      <w:r>
        <w:rPr>
          <w:lang w:val="el" w:eastAsia="el"/>
        </w:rPr>
        <w:t xml:space="preserve">; </w:t>
      </w:r>
      <w:hyperlink r:id="rId113" w:anchor="art_1" w:history="1">
        <w:r>
          <w:rPr>
            <w:rStyle w:val="Hyperlink"/>
            <w:color w:val="0000EE"/>
            <w:u w:color="0000EE"/>
            <w:lang w:val="el" w:eastAsia="el"/>
          </w:rPr>
          <w:t>Τροποποίηση 4621/2019, Άρθρο 1</w:t>
        </w:r>
      </w:hyperlink>
      <w:r>
        <w:rPr>
          <w:lang w:val="el" w:eastAsia="el"/>
        </w:rPr>
        <w:t xml:space="preserve">; </w:t>
      </w:r>
      <w:hyperlink r:id="rId114" w:anchor="art_126" w:history="1">
        <w:r>
          <w:rPr>
            <w:rStyle w:val="Hyperlink"/>
            <w:color w:val="0000EE"/>
            <w:u w:color="0000EE"/>
            <w:lang w:val="el" w:eastAsia="el"/>
          </w:rPr>
          <w:t>Τροποποίηση 4549/2018, Άρθρο 126</w:t>
        </w:r>
      </w:hyperlink>
      <w:r>
        <w:rPr>
          <w:lang w:val="el" w:eastAsia="el"/>
        </w:rPr>
        <w:t xml:space="preserve">; </w:t>
      </w:r>
      <w:hyperlink r:id="rId115" w:anchor="art_126" w:history="1">
        <w:r>
          <w:rPr>
            <w:rStyle w:val="Hyperlink"/>
            <w:color w:val="0000EE"/>
            <w:u w:color="0000EE"/>
            <w:lang w:val="el" w:eastAsia="el"/>
          </w:rPr>
          <w:t>Τροποποίηση 4549/2018, Άρθρο 126</w:t>
        </w:r>
      </w:hyperlink>
      <w:r>
        <w:rPr>
          <w:lang w:val="el" w:eastAsia="el"/>
        </w:rPr>
        <w:t xml:space="preserve">; </w:t>
      </w:r>
      <w:hyperlink r:id="rId116" w:anchor="art_76" w:history="1">
        <w:r>
          <w:rPr>
            <w:rStyle w:val="Hyperlink"/>
            <w:color w:val="0000EE"/>
            <w:u w:color="0000EE"/>
            <w:lang w:val="el" w:eastAsia="el"/>
          </w:rPr>
          <w:t>Τροποποίηση 4484/2017, Άρθρο 76</w:t>
        </w:r>
      </w:hyperlink>
      <w:r>
        <w:rPr>
          <w:lang w:val="el" w:eastAsia="el"/>
        </w:rPr>
        <w:t xml:space="preserve">; </w:t>
      </w:r>
      <w:hyperlink r:id="rId117" w:anchor="art_64" w:history="1">
        <w:r>
          <w:rPr>
            <w:rStyle w:val="Hyperlink"/>
            <w:color w:val="0000EE"/>
            <w:u w:color="0000EE"/>
            <w:lang w:val="el" w:eastAsia="el"/>
          </w:rPr>
          <w:t>Τροποποίηση 4410/2016, Άρθρο 64</w:t>
        </w:r>
      </w:hyperlink>
      <w:r>
        <w:rPr>
          <w:lang w:val="el" w:eastAsia="el"/>
        </w:rPr>
        <w:t xml:space="preserve">; </w:t>
      </w:r>
      <w:hyperlink r:id="rId118" w:anchor="art_2" w:history="1">
        <w:r>
          <w:rPr>
            <w:rStyle w:val="Hyperlink"/>
            <w:color w:val="0000EE"/>
            <w:u w:color="0000EE"/>
            <w:lang w:val="el" w:eastAsia="el"/>
          </w:rPr>
          <w:t>Τροποποίηση 4337/2015, Άρθρο 2</w:t>
        </w:r>
      </w:hyperlink>
      <w:r>
        <w:rPr>
          <w:lang w:val="el" w:eastAsia="el"/>
        </w:rPr>
        <w:t xml:space="preserve">; </w:t>
      </w:r>
      <w:hyperlink r:id="rId119" w:anchor="art_2" w:history="1">
        <w:r>
          <w:rPr>
            <w:rStyle w:val="Hyperlink"/>
            <w:color w:val="0000EE"/>
            <w:u w:color="0000EE"/>
            <w:lang w:val="el" w:eastAsia="el"/>
          </w:rPr>
          <w:t>Τροποποίηση 4336/2015, Άρθρο 2</w:t>
        </w:r>
      </w:hyperlink>
      <w:r>
        <w:rPr>
          <w:lang w:val="el" w:eastAsia="el"/>
        </w:rPr>
        <w:t xml:space="preserve">; </w:t>
      </w:r>
      <w:hyperlink r:id="rId120" w:anchor="art_18" w:history="1">
        <w:r>
          <w:rPr>
            <w:rStyle w:val="Hyperlink"/>
            <w:color w:val="0000EE"/>
            <w:u w:color="0000EE"/>
            <w:lang w:val="el" w:eastAsia="el"/>
          </w:rPr>
          <w:t>Τροποποίηση 4286/2014, Άρθρο 18</w:t>
        </w:r>
      </w:hyperlink>
      <w:r>
        <w:rPr>
          <w:lang w:val="el" w:eastAsia="el"/>
        </w:rPr>
        <w:t xml:space="preserve">; </w:t>
      </w:r>
      <w:hyperlink r:id="rId121" w:anchor="art_18" w:history="1">
        <w:r>
          <w:rPr>
            <w:rStyle w:val="Hyperlink"/>
            <w:color w:val="0000EE"/>
            <w:u w:color="0000EE"/>
            <w:lang w:val="el" w:eastAsia="el"/>
          </w:rPr>
          <w:t>Τροποποίηση 4286/2014, Άρθρο 18</w:t>
        </w:r>
      </w:hyperlink>
      <w:r>
        <w:rPr>
          <w:lang w:val="el" w:eastAsia="el"/>
        </w:rPr>
        <w:t xml:space="preserve">; </w:t>
      </w:r>
      <w:hyperlink r:id="rId122" w:anchor="art_232" w:history="1">
        <w:r>
          <w:rPr>
            <w:rStyle w:val="Hyperlink"/>
            <w:color w:val="0000EE"/>
            <w:u w:color="0000EE"/>
            <w:lang w:val="el" w:eastAsia="el"/>
          </w:rPr>
          <w:t>Τροποποίηση 4281/2014, Άρθρο 232</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1" w:history="1">
        <w:r>
          <w:rPr>
            <w:rStyle w:val="Hyperlink"/>
            <w:color w:val="0000EE"/>
            <w:u w:color="0000EE"/>
            <w:lang w:val="el" w:eastAsia="el"/>
          </w:rPr>
          <w:t>Προσθήκη 4282/2014, Άρθρο 31</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52" w:history="1">
        <w:r>
          <w:rPr>
            <w:rStyle w:val="Hyperlink"/>
            <w:color w:val="0000EE"/>
            <w:u w:color="0000EE"/>
            <w:lang w:val="el" w:eastAsia="el"/>
          </w:rPr>
          <w:t>Προσθήκη 4276/2014, Άρθρο 52</w:t>
        </w:r>
      </w:hyperlink>
      <w:r>
        <w:rPr>
          <w:lang w:val="el" w:eastAsia="el"/>
        </w:rPr>
        <w:t xml:space="preserve">; </w:t>
      </w:r>
      <w:hyperlink r:id="rId125" w:anchor="art_49" w:history="1">
        <w:r>
          <w:rPr>
            <w:rStyle w:val="Hyperlink"/>
            <w:color w:val="0000EE"/>
            <w:u w:color="0000EE"/>
            <w:lang w:val="el" w:eastAsia="el"/>
          </w:rPr>
          <w:t>Προσθήκη 4250/2014, Άρθρο 49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94" w:history="1">
        <w:r>
          <w:rPr>
            <w:rStyle w:val="Hyperlink"/>
            <w:color w:val="0000EE"/>
            <w:u w:color="0000EE"/>
            <w:lang w:val="el" w:eastAsia="el"/>
          </w:rPr>
          <w:t>Προσθήκη 5036/2023, Άρθρο 94</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94" w:history="1">
        <w:r>
          <w:rPr>
            <w:rStyle w:val="Hyperlink"/>
            <w:color w:val="0000EE"/>
            <w:u w:color="0000EE"/>
            <w:lang w:val="el" w:eastAsia="el"/>
          </w:rPr>
          <w:t>Προσθήκη 5036/2023, Άρθρο 94</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2" w:history="1">
        <w:r>
          <w:rPr>
            <w:rStyle w:val="Hyperlink"/>
            <w:color w:val="0000EE"/>
            <w:u w:color="0000EE"/>
            <w:lang w:val="el" w:eastAsia="el"/>
          </w:rPr>
          <w:t>Τροποποίηση 4301/2014, Άρθρο 42</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2" w:history="1">
        <w:r>
          <w:rPr>
            <w:rStyle w:val="Hyperlink"/>
            <w:color w:val="0000EE"/>
            <w:u w:color="0000EE"/>
            <w:lang w:val="el" w:eastAsia="el"/>
          </w:rPr>
          <w:t>Τροποποίηση 4301/2014, Άρθρο 42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2" w:history="1">
        <w:r>
          <w:rPr>
            <w:rStyle w:val="Hyperlink"/>
            <w:color w:val="0000EE"/>
            <w:u w:color="0000EE"/>
            <w:lang w:val="el" w:eastAsia="el"/>
          </w:rPr>
          <w:t>Τροποποίηση 4301/2014, Άρθρο 42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42" w:history="1">
        <w:r>
          <w:rPr>
            <w:rStyle w:val="Hyperlink"/>
            <w:color w:val="0000EE"/>
            <w:u w:color="0000EE"/>
            <w:lang w:val="el" w:eastAsia="el"/>
          </w:rPr>
          <w:t>Τροποποίηση 4301/2014, Άρθρο 42</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42" w:history="1">
        <w:r>
          <w:rPr>
            <w:rStyle w:val="Hyperlink"/>
            <w:color w:val="0000EE"/>
            <w:u w:color="0000EE"/>
            <w:lang w:val="el" w:eastAsia="el"/>
          </w:rPr>
          <w:t>Τροποποίηση 4301/2014, Άρθρο 42</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42" w:history="1">
        <w:r>
          <w:rPr>
            <w:rStyle w:val="Hyperlink"/>
            <w:color w:val="0000EE"/>
            <w:u w:color="0000EE"/>
            <w:lang w:val="el" w:eastAsia="el"/>
          </w:rPr>
          <w:t>Τροποποίηση 4301/2014, Άρθρο 42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42" w:history="1">
        <w:r>
          <w:rPr>
            <w:rStyle w:val="Hyperlink"/>
            <w:color w:val="0000EE"/>
            <w:u w:color="0000EE"/>
            <w:lang w:val="el" w:eastAsia="el"/>
          </w:rPr>
          <w:t>Τροποποίηση 4301/2014, Άρθρο 42</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42" w:history="1">
        <w:r>
          <w:rPr>
            <w:rStyle w:val="Hyperlink"/>
            <w:color w:val="0000EE"/>
            <w:u w:color="0000EE"/>
            <w:lang w:val="el" w:eastAsia="el"/>
          </w:rPr>
          <w:t>Τροποποίηση 4301/2014, Άρθρο 42</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2" w:history="1">
        <w:r>
          <w:rPr>
            <w:rStyle w:val="Hyperlink"/>
            <w:color w:val="0000EE"/>
            <w:u w:color="0000EE"/>
            <w:lang w:val="el" w:eastAsia="el"/>
          </w:rPr>
          <w:t>Τροποποίηση 4301/2014, Άρθρο 42</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42" w:history="1">
        <w:r>
          <w:rPr>
            <w:rStyle w:val="Hyperlink"/>
            <w:color w:val="0000EE"/>
            <w:u w:color="0000EE"/>
            <w:lang w:val="el" w:eastAsia="el"/>
          </w:rPr>
          <w:t>Τροποποίηση 4301/2014, Άρθρο 42</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2" w:history="1">
        <w:r>
          <w:rPr>
            <w:rStyle w:val="Hyperlink"/>
            <w:color w:val="0000EE"/>
            <w:u w:color="0000EE"/>
            <w:lang w:val="el" w:eastAsia="el"/>
          </w:rPr>
          <w:t>Τροποποίηση 4301/2014, Άρθρο 42</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2" w:history="1">
        <w:r>
          <w:rPr>
            <w:rStyle w:val="Hyperlink"/>
            <w:color w:val="0000EE"/>
            <w:u w:color="0000EE"/>
            <w:lang w:val="el" w:eastAsia="el"/>
          </w:rPr>
          <w:t>Τροποποίηση 4301/2014, Άρθρο 42</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3" w:history="1">
        <w:r>
          <w:rPr>
            <w:rStyle w:val="Hyperlink"/>
            <w:color w:val="0000EE"/>
            <w:u w:color="0000EE"/>
            <w:lang w:val="el" w:eastAsia="el"/>
          </w:rPr>
          <w:t>Αφαίρεση 4254/2014, Άρθρο 3</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3" w:history="1">
        <w:r>
          <w:rPr>
            <w:rStyle w:val="Hyperlink"/>
            <w:color w:val="0000EE"/>
            <w:u w:color="0000EE"/>
            <w:lang w:val="el" w:eastAsia="el"/>
          </w:rPr>
          <w:t>Τροποποίηση 4254/2014, Άρθρο 3</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77" w:history="1">
        <w:r>
          <w:rPr>
            <w:rStyle w:val="Hyperlink"/>
            <w:color w:val="0000EE"/>
            <w:u w:color="0000EE"/>
            <w:lang w:val="el" w:eastAsia="el"/>
          </w:rPr>
          <w:t>Αφαίρεση 4941/2022, Άρθρο 77</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77" w:history="1">
        <w:r>
          <w:rPr>
            <w:rStyle w:val="Hyperlink"/>
            <w:color w:val="0000EE"/>
            <w:u w:color="0000EE"/>
            <w:lang w:val="el" w:eastAsia="el"/>
          </w:rPr>
          <w:t>Αφαίρεση 4941/2022, Άρθρο 77</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77" w:history="1">
        <w:r>
          <w:rPr>
            <w:rStyle w:val="Hyperlink"/>
            <w:color w:val="0000EE"/>
            <w:u w:color="0000EE"/>
            <w:lang w:val="el" w:eastAsia="el"/>
          </w:rPr>
          <w:t>Αφαίρεση 4941/2022, Άρθρο 77</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78" w:history="1">
        <w:r>
          <w:rPr>
            <w:rStyle w:val="Hyperlink"/>
            <w:color w:val="0000EE"/>
            <w:u w:color="0000EE"/>
            <w:lang w:val="el" w:eastAsia="el"/>
          </w:rPr>
          <w:t>Τροποποίηση 4270/2014, Άρθρο 178</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78" w:history="1">
        <w:r>
          <w:rPr>
            <w:rStyle w:val="Hyperlink"/>
            <w:color w:val="0000EE"/>
            <w:u w:color="0000EE"/>
            <w:lang w:val="el" w:eastAsia="el"/>
          </w:rPr>
          <w:t>Τροποποίηση 4270/2014, Άρθρο 178</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78" w:history="1">
        <w:r>
          <w:rPr>
            <w:rStyle w:val="Hyperlink"/>
            <w:color w:val="0000EE"/>
            <w:u w:color="0000EE"/>
            <w:lang w:val="el" w:eastAsia="el"/>
          </w:rPr>
          <w:t>Τροποποίηση 4270/2014, Άρθρο 178</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78" w:history="1">
        <w:r>
          <w:rPr>
            <w:rStyle w:val="Hyperlink"/>
            <w:color w:val="0000EE"/>
            <w:u w:color="0000EE"/>
            <w:lang w:val="el" w:eastAsia="el"/>
          </w:rPr>
          <w:t>Τροποποίηση 4270/2014, Άρθρο 178</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78" w:history="1">
        <w:r>
          <w:rPr>
            <w:rStyle w:val="Hyperlink"/>
            <w:color w:val="0000EE"/>
            <w:u w:color="0000EE"/>
            <w:lang w:val="el" w:eastAsia="el"/>
          </w:rPr>
          <w:t>Τροποποίηση 4270/2014, Άρθρο 178</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08" w:history="1">
        <w:r>
          <w:rPr>
            <w:rStyle w:val="Hyperlink"/>
            <w:color w:val="0000EE"/>
            <w:u w:color="0000EE"/>
            <w:lang w:val="el" w:eastAsia="el"/>
          </w:rPr>
          <w:t>Τροποποίηση 4446/2016, Άρθρο 108</w:t>
        </w:r>
      </w:hyperlink>
      <w:r>
        <w:rPr>
          <w:lang w:val="el" w:eastAsia="el"/>
        </w:rPr>
        <w:t xml:space="preserve">; </w:t>
      </w:r>
      <w:hyperlink r:id="rId151" w:anchor="art_100" w:history="1">
        <w:r>
          <w:rPr>
            <w:rStyle w:val="Hyperlink"/>
            <w:color w:val="0000EE"/>
            <w:u w:color="0000EE"/>
            <w:lang w:val="el" w:eastAsia="el"/>
          </w:rPr>
          <w:t>Τροποποίηση 4316/2014, Άρθρο 100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77" w:history="1">
        <w:r>
          <w:rPr>
            <w:rStyle w:val="Hyperlink"/>
            <w:color w:val="0000EE"/>
            <w:u w:color="0000EE"/>
            <w:lang w:val="el" w:eastAsia="el"/>
          </w:rPr>
          <w:t>Αφαίρεση 4941/2022, Άρθρο 77</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99" w:history="1">
        <w:r>
          <w:rPr>
            <w:rStyle w:val="Hyperlink"/>
            <w:color w:val="0000EE"/>
            <w:u w:color="0000EE"/>
            <w:lang w:val="el" w:eastAsia="el"/>
          </w:rPr>
          <w:t>Αφαίρεση 4583/2018, Άρθρο 99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99" w:history="1">
        <w:r>
          <w:rPr>
            <w:rStyle w:val="Hyperlink"/>
            <w:color w:val="0000EE"/>
            <w:u w:color="0000EE"/>
            <w:lang w:val="el" w:eastAsia="el"/>
          </w:rPr>
          <w:t>Αφαίρεση 4583/2018, Άρθρο 99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99" w:history="1">
        <w:r>
          <w:rPr>
            <w:rStyle w:val="Hyperlink"/>
            <w:color w:val="0000EE"/>
            <w:u w:color="0000EE"/>
            <w:lang w:val="el" w:eastAsia="el"/>
          </w:rPr>
          <w:t>Αφαίρεση 4583/2018, Άρθρο 99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99" w:history="1">
        <w:r>
          <w:rPr>
            <w:rStyle w:val="Hyperlink"/>
            <w:color w:val="0000EE"/>
            <w:u w:color="0000EE"/>
            <w:lang w:val="el" w:eastAsia="el"/>
          </w:rPr>
          <w:t>Αφαίρεση 4583/2018, Άρθρο 99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5" w:history="1">
        <w:r>
          <w:rPr>
            <w:rStyle w:val="Hyperlink"/>
            <w:color w:val="0000EE"/>
            <w:u w:color="0000EE"/>
            <w:lang w:val="el" w:eastAsia="el"/>
          </w:rPr>
          <w:t>Αφαίρεση 4440/2016, Άρθρο 15</w:t>
        </w:r>
      </w:hyperlink>
      <w:r>
        <w:rPr>
          <w:lang w:val="el" w:eastAsia="el"/>
        </w:rPr>
        <w:t xml:space="preserve">; </w:t>
      </w:r>
      <w:hyperlink r:id="rId158" w:anchor="art_3" w:history="1">
        <w:r>
          <w:rPr>
            <w:rStyle w:val="Hyperlink"/>
            <w:color w:val="0000EE"/>
            <w:u w:color="0000EE"/>
            <w:lang w:val="el" w:eastAsia="el"/>
          </w:rPr>
          <w:t>Τροποποίηση 4254/2014, Άρθρο 3</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48" w:history="1">
        <w:r>
          <w:rPr>
            <w:rStyle w:val="Hyperlink"/>
            <w:color w:val="0000EE"/>
            <w:u w:color="0000EE"/>
            <w:lang w:val="el" w:eastAsia="el"/>
          </w:rPr>
          <w:t>Τροποποίηση 4274/2014, Άρθρο 48</w:t>
        </w:r>
      </w:hyperlink>
      <w:r>
        <w:rPr>
          <w:lang w:val="el" w:eastAsia="el"/>
        </w:rPr>
        <w:t xml:space="preserve">; </w:t>
      </w:r>
      <w:hyperlink r:id="rId160" w:anchor="art_51" w:history="1">
        <w:r>
          <w:rPr>
            <w:rStyle w:val="Hyperlink"/>
            <w:color w:val="0000EE"/>
            <w:u w:color="0000EE"/>
            <w:lang w:val="el" w:eastAsia="el"/>
          </w:rPr>
          <w:t>Τροποποίηση 4250/2014, Άρθρο 51</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51" w:history="1">
        <w:r>
          <w:rPr>
            <w:rStyle w:val="Hyperlink"/>
            <w:color w:val="0000EE"/>
            <w:u w:color="0000EE"/>
            <w:lang w:val="el" w:eastAsia="el"/>
          </w:rPr>
          <w:t>Τροποποίηση 4250/2014, Άρθρο 51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51" w:history="1">
        <w:r>
          <w:rPr>
            <w:rStyle w:val="Hyperlink"/>
            <w:color w:val="0000EE"/>
            <w:u w:color="0000EE"/>
            <w:lang w:val="el" w:eastAsia="el"/>
          </w:rPr>
          <w:t>Τροποποίηση 4250/2014, Άρθρο 51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48" w:history="1">
        <w:r>
          <w:rPr>
            <w:rStyle w:val="Hyperlink"/>
            <w:color w:val="0000EE"/>
            <w:u w:color="0000EE"/>
            <w:lang w:val="el" w:eastAsia="el"/>
          </w:rPr>
          <w:t>Αφαίρεση 4274/2014, Άρθρο 48</w:t>
        </w:r>
      </w:hyperlink>
      <w:r>
        <w:rPr>
          <w:lang w:val="el" w:eastAsia="el"/>
        </w:rPr>
        <w:t xml:space="preserve">; </w:t>
      </w:r>
      <w:hyperlink r:id="rId164" w:anchor="art_51" w:history="1">
        <w:r>
          <w:rPr>
            <w:rStyle w:val="Hyperlink"/>
            <w:color w:val="0000EE"/>
            <w:u w:color="0000EE"/>
            <w:lang w:val="el" w:eastAsia="el"/>
          </w:rPr>
          <w:t>Τροποποίηση 4250/2014, Άρθρο 51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51" w:history="1">
        <w:r>
          <w:rPr>
            <w:rStyle w:val="Hyperlink"/>
            <w:color w:val="0000EE"/>
            <w:u w:color="0000EE"/>
            <w:lang w:val="el" w:eastAsia="el"/>
          </w:rPr>
          <w:t>Τροποποίηση 4250/2014, Άρθρο 51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92" w:history="1">
        <w:r>
          <w:rPr>
            <w:rStyle w:val="Hyperlink"/>
            <w:color w:val="0000EE"/>
            <w:u w:color="0000EE"/>
            <w:lang w:val="el" w:eastAsia="el"/>
          </w:rPr>
          <w:t>Τροποποίηση 4310/2014, Άρθρο 92</w:t>
        </w:r>
      </w:hyperlink>
      <w:r>
        <w:rPr>
          <w:lang w:val="el" w:eastAsia="el"/>
        </w:rPr>
        <w:t xml:space="preserve">; </w:t>
      </w:r>
      <w:hyperlink r:id="rId167" w:anchor="art_9" w:history="1">
        <w:r>
          <w:rPr>
            <w:rStyle w:val="Hyperlink"/>
            <w:color w:val="0000EE"/>
            <w:u w:color="0000EE"/>
            <w:lang w:val="el" w:eastAsia="el"/>
          </w:rPr>
          <w:t>Τροποποίηση 4285/2014, Άρθρο 9</w:t>
        </w:r>
      </w:hyperlink>
      <w:r>
        <w:rPr>
          <w:lang w:val="el" w:eastAsia="el"/>
        </w:rPr>
        <w:t xml:space="preserve">; </w:t>
      </w:r>
      <w:hyperlink r:id="rId168" w:anchor="art_63" w:history="1">
        <w:r>
          <w:rPr>
            <w:rStyle w:val="Hyperlink"/>
            <w:color w:val="0000EE"/>
            <w:u w:color="0000EE"/>
            <w:lang w:val="el" w:eastAsia="el"/>
          </w:rPr>
          <w:t>Τροποποίηση 4277/2014, Άρθρο 63</w:t>
        </w:r>
      </w:hyperlink>
      <w:r>
        <w:rPr>
          <w:lang w:val="el" w:eastAsia="el"/>
        </w:rPr>
        <w:t xml:space="preserve">; </w:t>
      </w:r>
      <w:hyperlink r:id="rId169" w:anchor="art_24" w:history="1">
        <w:r>
          <w:rPr>
            <w:rStyle w:val="Hyperlink"/>
            <w:color w:val="0000EE"/>
            <w:u w:color="0000EE"/>
            <w:lang w:val="el" w:eastAsia="el"/>
          </w:rPr>
          <w:t>Τροποποίηση 4255/2014, Άρθρο 24</w:t>
        </w:r>
      </w:hyperlink>
      <w:r>
        <w:rPr>
          <w:lang w:val="el" w:eastAsia="el"/>
        </w:rPr>
        <w:t xml:space="preserve">; </w:t>
      </w:r>
      <w:hyperlink r:id="rId170" w:anchor="art_51" w:history="1">
        <w:r>
          <w:rPr>
            <w:rStyle w:val="Hyperlink"/>
            <w:color w:val="0000EE"/>
            <w:u w:color="0000EE"/>
            <w:lang w:val="el" w:eastAsia="el"/>
          </w:rPr>
          <w:t>Τροποποίηση 4250/2014, Άρθρο 51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51" w:history="1">
        <w:r>
          <w:rPr>
            <w:rStyle w:val="Hyperlink"/>
            <w:color w:val="0000EE"/>
            <w:u w:color="0000EE"/>
            <w:lang w:val="el" w:eastAsia="el"/>
          </w:rPr>
          <w:t>Τροποποίηση 4250/2014, Άρθρο 51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51" w:history="1">
        <w:r>
          <w:rPr>
            <w:rStyle w:val="Hyperlink"/>
            <w:color w:val="0000EE"/>
            <w:u w:color="0000EE"/>
            <w:lang w:val="el" w:eastAsia="el"/>
          </w:rPr>
          <w:t>Τροποποίηση 4250/2014, Άρθρο 51</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51" w:history="1">
        <w:r>
          <w:rPr>
            <w:rStyle w:val="Hyperlink"/>
            <w:color w:val="0000EE"/>
            <w:u w:color="0000EE"/>
            <w:lang w:val="el" w:eastAsia="el"/>
          </w:rPr>
          <w:t>Τροποποίηση 4250/2014, Άρθρο 51</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51" w:history="1">
        <w:r>
          <w:rPr>
            <w:rStyle w:val="Hyperlink"/>
            <w:color w:val="0000EE"/>
            <w:u w:color="0000EE"/>
            <w:lang w:val="el" w:eastAsia="el"/>
          </w:rPr>
          <w:t>Τροποποίηση 4250/2014, Άρθρο 51</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51" w:history="1">
        <w:r>
          <w:rPr>
            <w:rStyle w:val="Hyperlink"/>
            <w:color w:val="0000EE"/>
            <w:u w:color="0000EE"/>
            <w:lang w:val="el" w:eastAsia="el"/>
          </w:rPr>
          <w:t>Τροποποίηση 4250/2014, Άρθρο 51</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71" w:history="1">
        <w:r>
          <w:rPr>
            <w:rStyle w:val="Hyperlink"/>
            <w:color w:val="0000EE"/>
            <w:u w:color="0000EE"/>
            <w:lang w:val="el" w:eastAsia="el"/>
          </w:rPr>
          <w:t>Αφαίρεση 4261/2014, Άρθρο 171</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73" w:history="1">
        <w:r>
          <w:rPr>
            <w:rStyle w:val="Hyperlink"/>
            <w:color w:val="0000EE"/>
            <w:u w:color="0000EE"/>
            <w:lang w:val="el" w:eastAsia="el"/>
          </w:rPr>
          <w:t>Τροποποίηση 4261/2014, Άρθρο 173</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78" w:history="1">
        <w:r>
          <w:rPr>
            <w:rStyle w:val="Hyperlink"/>
            <w:color w:val="0000EE"/>
            <w:u w:color="0000EE"/>
            <w:lang w:val="el" w:eastAsia="el"/>
          </w:rPr>
          <w:t>Τροποποίηση 4261/2014, Άρθρο 178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78" w:history="1">
        <w:r>
          <w:rPr>
            <w:rStyle w:val="Hyperlink"/>
            <w:color w:val="0000EE"/>
            <w:u w:color="0000EE"/>
            <w:lang w:val="el" w:eastAsia="el"/>
          </w:rPr>
          <w:t>Τροποποίηση 4261/2014, Άρθρο 178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34</w:t>
      </w:r>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41" w:history="1">
        <w:r>
          <w:rPr>
            <w:rStyle w:val="Hyperlink"/>
            <w:color w:val="0000EE"/>
            <w:u w:color="0000EE"/>
            <w:lang w:val="el" w:eastAsia="el"/>
          </w:rPr>
          <w:t>Προσθήκη 4238/2014, Άρθρο 41</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41" w:history="1">
        <w:r>
          <w:rPr>
            <w:rStyle w:val="Hyperlink"/>
            <w:color w:val="0000EE"/>
            <w:u w:color="0000EE"/>
            <w:lang w:val="el" w:eastAsia="el"/>
          </w:rPr>
          <w:t>Τροποποίηση 4238/2014, Άρθρο 41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 w:history="1">
        <w:r>
          <w:rPr>
            <w:rStyle w:val="Hyperlink"/>
            <w:color w:val="0000EE"/>
            <w:u w:color="0000EE"/>
            <w:lang w:val="el" w:eastAsia="el"/>
          </w:rPr>
          <w:t>Αφαίρεση 4254/2014, Άρθρο 1</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 w:history="1">
        <w:r>
          <w:rPr>
            <w:rStyle w:val="Hyperlink"/>
            <w:color w:val="0000EE"/>
            <w:u w:color="0000EE"/>
            <w:lang w:val="el" w:eastAsia="el"/>
          </w:rPr>
          <w:t>Αφαίρεση 4254/2014, Άρθρο 1</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 w:history="1">
        <w:r>
          <w:rPr>
            <w:rStyle w:val="Hyperlink"/>
            <w:color w:val="0000EE"/>
            <w:u w:color="0000EE"/>
            <w:lang w:val="el" w:eastAsia="el"/>
          </w:rPr>
          <w:t>Αφαίρεση 4254/2014, Άρθρο 1</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 w:history="1">
        <w:r>
          <w:rPr>
            <w:rStyle w:val="Hyperlink"/>
            <w:color w:val="0000EE"/>
            <w:u w:color="0000EE"/>
            <w:lang w:val="el" w:eastAsia="el"/>
          </w:rPr>
          <w:t>Αφαίρεση 4254/2014, Άρθρο 1</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8/14/4336" TargetMode="External" /><Relationship Id="rId100" Type="http://schemas.openxmlformats.org/officeDocument/2006/relationships/hyperlink" Target="http://data.aade.gr/eli/pri/law/2021/06/19/4808" TargetMode="External" /><Relationship Id="rId101" Type="http://schemas.openxmlformats.org/officeDocument/2006/relationships/hyperlink" Target="http://data.aade.gr/eli/pri/law/2019/07/31/4621" TargetMode="External" /><Relationship Id="rId102" Type="http://schemas.openxmlformats.org/officeDocument/2006/relationships/hyperlink" Target="http://data.aade.gr/eli/pri/law/2019/05/24/4613" TargetMode="External" /><Relationship Id="rId103" Type="http://schemas.openxmlformats.org/officeDocument/2006/relationships/hyperlink" Target="http://data.aade.gr/eli/pri/law/2018/12/03/4579" TargetMode="External" /><Relationship Id="rId104" Type="http://schemas.openxmlformats.org/officeDocument/2006/relationships/hyperlink" Target="http://data.aade.gr/eli/pri/law/2014/09/19/4286" TargetMode="External" /><Relationship Id="rId105" Type="http://schemas.openxmlformats.org/officeDocument/2006/relationships/hyperlink" Target="http://data.aade.gr/eli/pri/law/2014/09/19/4286" TargetMode="External" /><Relationship Id="rId106" Type="http://schemas.openxmlformats.org/officeDocument/2006/relationships/hyperlink" Target="http://data.aade.gr/eli/pri/law/2017/08/01/4484" TargetMode="External" /><Relationship Id="rId107" Type="http://schemas.openxmlformats.org/officeDocument/2006/relationships/hyperlink" Target="http://data.aade.gr/eli/pri/law/2017/08/01/4484" TargetMode="External" /><Relationship Id="rId108" Type="http://schemas.openxmlformats.org/officeDocument/2006/relationships/hyperlink" Target="http://data.aade.gr/eli/pri/law/2022/05/26/4935" TargetMode="External" /><Relationship Id="rId109" Type="http://schemas.openxmlformats.org/officeDocument/2006/relationships/hyperlink" Target="http://data.aade.gr/eli/pri/law/2021/10/02/4839" TargetMode="External" /><Relationship Id="rId11" Type="http://schemas.openxmlformats.org/officeDocument/2006/relationships/hyperlink" Target="http://data.aade.gr/eli/pri/law/2015/05/14/4328" TargetMode="External" /><Relationship Id="rId110" Type="http://schemas.openxmlformats.org/officeDocument/2006/relationships/hyperlink" Target="http://data.aade.gr/eli/pri/law/2021/07/31/4821" TargetMode="External" /><Relationship Id="rId111" Type="http://schemas.openxmlformats.org/officeDocument/2006/relationships/hyperlink" Target="http://data.aade.gr/eli/pri/law/2020/09/29/4728" TargetMode="External" /><Relationship Id="rId112" Type="http://schemas.openxmlformats.org/officeDocument/2006/relationships/hyperlink" Target="http://data.aade.gr/eli/pri/law/2020/07/17/4706" TargetMode="External" /><Relationship Id="rId113" Type="http://schemas.openxmlformats.org/officeDocument/2006/relationships/hyperlink" Target="http://data.aade.gr/eli/pri/law/2019/07/31/4621" TargetMode="External" /><Relationship Id="rId114" Type="http://schemas.openxmlformats.org/officeDocument/2006/relationships/hyperlink" Target="http://data.aade.gr/eli/pri/law/2018/06/14/4549" TargetMode="External" /><Relationship Id="rId115" Type="http://schemas.openxmlformats.org/officeDocument/2006/relationships/hyperlink" Target="http://data.aade.gr/eli/pri/law/2018/06/14/4549" TargetMode="External" /><Relationship Id="rId116" Type="http://schemas.openxmlformats.org/officeDocument/2006/relationships/hyperlink" Target="http://data.aade.gr/eli/pri/law/2017/08/01/4484" TargetMode="External" /><Relationship Id="rId117" Type="http://schemas.openxmlformats.org/officeDocument/2006/relationships/hyperlink" Target="http://data.aade.gr/eli/pri/law/2016/08/03/4410" TargetMode="External" /><Relationship Id="rId118" Type="http://schemas.openxmlformats.org/officeDocument/2006/relationships/hyperlink" Target="http://data.aade.gr/eli/pri/law/2015/10/17/4337" TargetMode="External" /><Relationship Id="rId119" Type="http://schemas.openxmlformats.org/officeDocument/2006/relationships/hyperlink" Target="http://data.aade.gr/eli/pri/law/2015/08/14/4336"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14/09/19/4286" TargetMode="External" /><Relationship Id="rId121" Type="http://schemas.openxmlformats.org/officeDocument/2006/relationships/hyperlink" Target="http://data.aade.gr/eli/pri/law/2014/09/19/4286" TargetMode="External" /><Relationship Id="rId122" Type="http://schemas.openxmlformats.org/officeDocument/2006/relationships/hyperlink" Target="http://data.aade.gr/eli/pri/law/2014/08/08/4281" TargetMode="External" /><Relationship Id="rId123" Type="http://schemas.openxmlformats.org/officeDocument/2006/relationships/hyperlink" Target="http://data.aade.gr/eli/pri/law/2014/08/29/4282" TargetMode="External" /><Relationship Id="rId124" Type="http://schemas.openxmlformats.org/officeDocument/2006/relationships/hyperlink" Target="http://data.aade.gr/eli/pri/law/2014/07/30/4276" TargetMode="External" /><Relationship Id="rId125" Type="http://schemas.openxmlformats.org/officeDocument/2006/relationships/hyperlink" Target="http://data.aade.gr/eli/pri/law/2014/03/26/4250" TargetMode="External" /><Relationship Id="rId126" Type="http://schemas.openxmlformats.org/officeDocument/2006/relationships/hyperlink" Target="http://data.aade.gr/eli/pri/law/2023/03/27/5036" TargetMode="External" /><Relationship Id="rId127" Type="http://schemas.openxmlformats.org/officeDocument/2006/relationships/hyperlink" Target="http://data.aade.gr/eli/pri/law/2023/03/27/5036" TargetMode="External" /><Relationship Id="rId128" Type="http://schemas.openxmlformats.org/officeDocument/2006/relationships/hyperlink" Target="http://data.aade.gr/eli/pri/law/2014/10/07/4301" TargetMode="External" /><Relationship Id="rId129" Type="http://schemas.openxmlformats.org/officeDocument/2006/relationships/hyperlink" Target="http://data.aade.gr/eli/pri/law/2014/10/07/4301" TargetMode="External" /><Relationship Id="rId13" Type="http://schemas.openxmlformats.org/officeDocument/2006/relationships/hyperlink" Target="http://data.aade.gr/eli/pri/law/2021/07/31/4821" TargetMode="External" /><Relationship Id="rId130" Type="http://schemas.openxmlformats.org/officeDocument/2006/relationships/hyperlink" Target="http://data.aade.gr/eli/pri/law/2014/10/07/4301" TargetMode="External" /><Relationship Id="rId131" Type="http://schemas.openxmlformats.org/officeDocument/2006/relationships/hyperlink" Target="http://data.aade.gr/eli/pri/law/2014/10/07/4301" TargetMode="External" /><Relationship Id="rId132" Type="http://schemas.openxmlformats.org/officeDocument/2006/relationships/hyperlink" Target="http://data.aade.gr/eli/pri/law/2014/10/07/4301" TargetMode="External" /><Relationship Id="rId133" Type="http://schemas.openxmlformats.org/officeDocument/2006/relationships/hyperlink" Target="http://data.aade.gr/eli/pri/law/2014/10/07/4301" TargetMode="External" /><Relationship Id="rId134" Type="http://schemas.openxmlformats.org/officeDocument/2006/relationships/hyperlink" Target="http://data.aade.gr/eli/pri/law/2014/10/07/4301" TargetMode="External" /><Relationship Id="rId135" Type="http://schemas.openxmlformats.org/officeDocument/2006/relationships/hyperlink" Target="http://data.aade.gr/eli/pri/law/2014/10/07/4301" TargetMode="External" /><Relationship Id="rId136" Type="http://schemas.openxmlformats.org/officeDocument/2006/relationships/hyperlink" Target="http://data.aade.gr/eli/pri/law/2014/10/07/4301" TargetMode="External" /><Relationship Id="rId137" Type="http://schemas.openxmlformats.org/officeDocument/2006/relationships/hyperlink" Target="http://data.aade.gr/eli/pri/law/2014/10/07/4301" TargetMode="External" /><Relationship Id="rId138" Type="http://schemas.openxmlformats.org/officeDocument/2006/relationships/hyperlink" Target="http://data.aade.gr/eli/pri/law/2014/10/07/4301" TargetMode="External" /><Relationship Id="rId139" Type="http://schemas.openxmlformats.org/officeDocument/2006/relationships/hyperlink" Target="http://data.aade.gr/eli/pri/law/2014/10/07/4301" TargetMode="External" /><Relationship Id="rId14" Type="http://schemas.openxmlformats.org/officeDocument/2006/relationships/hyperlink" Target="http://data.aade.gr/eli/pri/law/2015/10/17/4337" TargetMode="External" /><Relationship Id="rId140" Type="http://schemas.openxmlformats.org/officeDocument/2006/relationships/hyperlink" Target="http://data.aade.gr/eli/pri/law/2014/04/07/4254" TargetMode="External" /><Relationship Id="rId141" Type="http://schemas.openxmlformats.org/officeDocument/2006/relationships/hyperlink" Target="http://data.aade.gr/eli/pri/law/2014/04/07/4254" TargetMode="External" /><Relationship Id="rId142" Type="http://schemas.openxmlformats.org/officeDocument/2006/relationships/hyperlink" Target="http://data.aade.gr/eli/pri/law/2022/06/16/4941" TargetMode="External" /><Relationship Id="rId143" Type="http://schemas.openxmlformats.org/officeDocument/2006/relationships/hyperlink" Target="http://data.aade.gr/eli/pri/law/2022/06/16/4941" TargetMode="External" /><Relationship Id="rId144" Type="http://schemas.openxmlformats.org/officeDocument/2006/relationships/hyperlink" Target="http://data.aade.gr/eli/pri/law/2022/06/16/4941" TargetMode="External" /><Relationship Id="rId145" Type="http://schemas.openxmlformats.org/officeDocument/2006/relationships/hyperlink" Target="http://data.aade.gr/eli/pri/law/2014/06/28/4270" TargetMode="External" /><Relationship Id="rId146" Type="http://schemas.openxmlformats.org/officeDocument/2006/relationships/hyperlink" Target="http://data.aade.gr/eli/pri/law/2014/06/28/4270" TargetMode="External" /><Relationship Id="rId147" Type="http://schemas.openxmlformats.org/officeDocument/2006/relationships/hyperlink" Target="http://data.aade.gr/eli/pri/law/2014/06/28/4270" TargetMode="External" /><Relationship Id="rId148" Type="http://schemas.openxmlformats.org/officeDocument/2006/relationships/hyperlink" Target="http://data.aade.gr/eli/pri/law/2014/06/28/4270" TargetMode="External" /><Relationship Id="rId149" Type="http://schemas.openxmlformats.org/officeDocument/2006/relationships/hyperlink" Target="http://data.aade.gr/eli/pri/law/2014/06/28/4270" TargetMode="External" /><Relationship Id="rId15" Type="http://schemas.openxmlformats.org/officeDocument/2006/relationships/hyperlink" Target="http://data.aade.gr/eli/pri/law/2020/09/18/4726" TargetMode="External" /><Relationship Id="rId150" Type="http://schemas.openxmlformats.org/officeDocument/2006/relationships/hyperlink" Target="http://data.aade.gr/eli/pri/law/2016/12/22/4446" TargetMode="External" /><Relationship Id="rId151" Type="http://schemas.openxmlformats.org/officeDocument/2006/relationships/hyperlink" Target="http://data.aade.gr/eli/pri/law/2014/12/24/4316" TargetMode="External" /><Relationship Id="rId152" Type="http://schemas.openxmlformats.org/officeDocument/2006/relationships/hyperlink" Target="http://data.aade.gr/eli/pri/law/2022/06/16/4941" TargetMode="External" /><Relationship Id="rId153" Type="http://schemas.openxmlformats.org/officeDocument/2006/relationships/hyperlink" Target="http://data.aade.gr/eli/pri/law/2018/12/18/4583" TargetMode="External" /><Relationship Id="rId154" Type="http://schemas.openxmlformats.org/officeDocument/2006/relationships/hyperlink" Target="http://data.aade.gr/eli/pri/law/2018/12/18/4583" TargetMode="External" /><Relationship Id="rId155" Type="http://schemas.openxmlformats.org/officeDocument/2006/relationships/hyperlink" Target="http://data.aade.gr/eli/pri/law/2018/12/18/4583" TargetMode="External" /><Relationship Id="rId156" Type="http://schemas.openxmlformats.org/officeDocument/2006/relationships/hyperlink" Target="http://data.aade.gr/eli/pri/law/2018/12/18/4583" TargetMode="External" /><Relationship Id="rId157" Type="http://schemas.openxmlformats.org/officeDocument/2006/relationships/hyperlink" Target="http://data.aade.gr/eli/pri/law/2016/12/02/4440" TargetMode="External" /><Relationship Id="rId158" Type="http://schemas.openxmlformats.org/officeDocument/2006/relationships/hyperlink" Target="http://data.aade.gr/eli/pri/law/2014/04/07/4254" TargetMode="External" /><Relationship Id="rId159" Type="http://schemas.openxmlformats.org/officeDocument/2006/relationships/hyperlink" Target="http://data.aade.gr/eli/pri/law/2014/07/14/4274" TargetMode="External" /><Relationship Id="rId16" Type="http://schemas.openxmlformats.org/officeDocument/2006/relationships/hyperlink" Target="http://data.aade.gr/eli/pri/law/2021/12/16/4873" TargetMode="External" /><Relationship Id="rId160" Type="http://schemas.openxmlformats.org/officeDocument/2006/relationships/hyperlink" Target="http://data.aade.gr/eli/pri/law/2014/03/26/4250" TargetMode="External" /><Relationship Id="rId161" Type="http://schemas.openxmlformats.org/officeDocument/2006/relationships/hyperlink" Target="http://data.aade.gr/eli/pri/law/2014/03/26/4250" TargetMode="External" /><Relationship Id="rId162" Type="http://schemas.openxmlformats.org/officeDocument/2006/relationships/hyperlink" Target="http://data.aade.gr/eli/pri/law/2014/03/26/4250" TargetMode="External" /><Relationship Id="rId163" Type="http://schemas.openxmlformats.org/officeDocument/2006/relationships/hyperlink" Target="http://data.aade.gr/eli/pri/law/2014/07/14/4274" TargetMode="External" /><Relationship Id="rId164" Type="http://schemas.openxmlformats.org/officeDocument/2006/relationships/hyperlink" Target="http://data.aade.gr/eli/pri/law/2014/03/26/4250" TargetMode="External" /><Relationship Id="rId165" Type="http://schemas.openxmlformats.org/officeDocument/2006/relationships/hyperlink" Target="http://data.aade.gr/eli/pri/law/2014/03/26/4250" TargetMode="External" /><Relationship Id="rId166" Type="http://schemas.openxmlformats.org/officeDocument/2006/relationships/hyperlink" Target="http://data.aade.gr/eli/pri/law/2014/12/08/4310" TargetMode="External" /><Relationship Id="rId167" Type="http://schemas.openxmlformats.org/officeDocument/2006/relationships/hyperlink" Target="http://data.aade.gr/eli/pri/law/2014/09/10/4285" TargetMode="External" /><Relationship Id="rId168" Type="http://schemas.openxmlformats.org/officeDocument/2006/relationships/hyperlink" Target="http://data.aade.gr/eli/pri/law/2014/08/01/4277" TargetMode="External" /><Relationship Id="rId169" Type="http://schemas.openxmlformats.org/officeDocument/2006/relationships/hyperlink" Target="http://data.aade.gr/eli/pri/law/2014/04/11/4255" TargetMode="External" /><Relationship Id="rId17" Type="http://schemas.openxmlformats.org/officeDocument/2006/relationships/hyperlink" Target="http://data.aade.gr/eli/pri/law/2014/09/19/4286" TargetMode="External" /><Relationship Id="rId170" Type="http://schemas.openxmlformats.org/officeDocument/2006/relationships/hyperlink" Target="http://data.aade.gr/eli/pri/law/2014/03/26/4250" TargetMode="External" /><Relationship Id="rId171" Type="http://schemas.openxmlformats.org/officeDocument/2006/relationships/hyperlink" Target="http://data.aade.gr/eli/pri/law/2014/03/26/4250" TargetMode="External" /><Relationship Id="rId172" Type="http://schemas.openxmlformats.org/officeDocument/2006/relationships/hyperlink" Target="http://data.aade.gr/eli/pri/law/2014/03/26/4250" TargetMode="External" /><Relationship Id="rId173" Type="http://schemas.openxmlformats.org/officeDocument/2006/relationships/hyperlink" Target="http://data.aade.gr/eli/pri/law/2014/03/26/4250" TargetMode="External" /><Relationship Id="rId174" Type="http://schemas.openxmlformats.org/officeDocument/2006/relationships/hyperlink" Target="http://data.aade.gr/eli/pri/law/2014/03/26/4250" TargetMode="External" /><Relationship Id="rId175" Type="http://schemas.openxmlformats.org/officeDocument/2006/relationships/hyperlink" Target="http://data.aade.gr/eli/pri/law/2014/03/26/4250" TargetMode="External" /><Relationship Id="rId176" Type="http://schemas.openxmlformats.org/officeDocument/2006/relationships/hyperlink" Target="http://data.aade.gr/eli/pri/law/2014/05/05/4261" TargetMode="External" /><Relationship Id="rId177" Type="http://schemas.openxmlformats.org/officeDocument/2006/relationships/hyperlink" Target="http://data.aade.gr/eli/pri/law/2014/05/05/4261" TargetMode="External" /><Relationship Id="rId178" Type="http://schemas.openxmlformats.org/officeDocument/2006/relationships/hyperlink" Target="http://data.aade.gr/eli/pri/law/2014/05/05/4261" TargetMode="External" /><Relationship Id="rId179" Type="http://schemas.openxmlformats.org/officeDocument/2006/relationships/hyperlink" Target="http://data.aade.gr/eli/pri/law/2014/05/05/4261" TargetMode="External" /><Relationship Id="rId18" Type="http://schemas.openxmlformats.org/officeDocument/2006/relationships/hyperlink" Target="http://data.aade.gr/eli/pri/law/2017/08/01/4484" TargetMode="External" /><Relationship Id="rId180" Type="http://schemas.openxmlformats.org/officeDocument/2006/relationships/hyperlink" Target="http://data.aade.gr/eli/pri/law/2014/02/17/4238" TargetMode="External" /><Relationship Id="rId181" Type="http://schemas.openxmlformats.org/officeDocument/2006/relationships/hyperlink" Target="http://data.aade.gr/eli/pri/law/2014/02/17/4238" TargetMode="External" /><Relationship Id="rId182" Type="http://schemas.openxmlformats.org/officeDocument/2006/relationships/hyperlink" Target="http://data.aade.gr/eli/pri/law/2014/04/07/4254" TargetMode="External" /><Relationship Id="rId183" Type="http://schemas.openxmlformats.org/officeDocument/2006/relationships/hyperlink" Target="http://data.aade.gr/eli/pri/law/2014/04/07/4254" TargetMode="External" /><Relationship Id="rId184" Type="http://schemas.openxmlformats.org/officeDocument/2006/relationships/hyperlink" Target="http://data.aade.gr/eli/pri/law/2014/04/07/4254" TargetMode="External" /><Relationship Id="rId185" Type="http://schemas.openxmlformats.org/officeDocument/2006/relationships/hyperlink" Target="http://data.aade.gr/eli/pri/law/2014/04/07/4254" TargetMode="External" /><Relationship Id="rId186" Type="http://schemas.openxmlformats.org/officeDocument/2006/relationships/hyperlink" Target="http://data.aade.gr/eli/pri/law/2014/10/02/4296" TargetMode="External" /><Relationship Id="rId19" Type="http://schemas.openxmlformats.org/officeDocument/2006/relationships/hyperlink" Target="http://data.aade.gr/eli/pri/law/2016/05/12/4387"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4/09/19/4286" TargetMode="External" /><Relationship Id="rId21" Type="http://schemas.openxmlformats.org/officeDocument/2006/relationships/hyperlink" Target="http://data.aade.gr/eli/pri/law/2014/04/07/4254" TargetMode="External" /><Relationship Id="rId22" Type="http://schemas.openxmlformats.org/officeDocument/2006/relationships/hyperlink" Target="http://data.aade.gr/eli/pri/law/2015/08/14/4336" TargetMode="External" /><Relationship Id="rId23" Type="http://schemas.openxmlformats.org/officeDocument/2006/relationships/hyperlink" Target="http://data.aade.gr/eli/pri/law/2014/09/19/4286" TargetMode="External" /><Relationship Id="rId24" Type="http://schemas.openxmlformats.org/officeDocument/2006/relationships/hyperlink" Target="http://data.aade.gr/eli/pri/law/2023/04/24/5024" TargetMode="External" /><Relationship Id="rId25" Type="http://schemas.openxmlformats.org/officeDocument/2006/relationships/hyperlink" Target="http://data.aade.gr/eli/pri/law/2020/07/31/4714" TargetMode="External" /><Relationship Id="rId26" Type="http://schemas.openxmlformats.org/officeDocument/2006/relationships/hyperlink" Target="http://data.aade.gr/eli/pri/law/2019/04/24/4607" TargetMode="External" /><Relationship Id="rId27" Type="http://schemas.openxmlformats.org/officeDocument/2006/relationships/hyperlink" Target="http://data.aade.gr/eli/pri/law/2019/01/29/4589" TargetMode="External" /><Relationship Id="rId28" Type="http://schemas.openxmlformats.org/officeDocument/2006/relationships/hyperlink" Target="http://data.aade.gr/eli/pri/law/2018/10/11/4569" TargetMode="External" /><Relationship Id="rId29" Type="http://schemas.openxmlformats.org/officeDocument/2006/relationships/hyperlink" Target="http://data.aade.gr/eli/pri/law/2023/04/24/5024"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21/06/19/4808" TargetMode="External" /><Relationship Id="rId31" Type="http://schemas.openxmlformats.org/officeDocument/2006/relationships/hyperlink" Target="http://data.aade.gr/eli/pri/law/2023/04/24/5024" TargetMode="External" /><Relationship Id="rId32" Type="http://schemas.openxmlformats.org/officeDocument/2006/relationships/hyperlink" Target="http://data.aade.gr/eli/pri/law/2023/04/24/5024" TargetMode="External" /><Relationship Id="rId33" Type="http://schemas.openxmlformats.org/officeDocument/2006/relationships/hyperlink" Target="http://data.aade.gr/eli/pri/law/2021/10/01/4837" TargetMode="External" /><Relationship Id="rId34" Type="http://schemas.openxmlformats.org/officeDocument/2006/relationships/hyperlink" Target="http://data.aade.gr/eli/pri/law/2021/10/01/4837" TargetMode="External" /><Relationship Id="rId35" Type="http://schemas.openxmlformats.org/officeDocument/2006/relationships/hyperlink" Target="http://data.aade.gr/eli/pri/law/2024/04/05/5100" TargetMode="External" /><Relationship Id="rId36" Type="http://schemas.openxmlformats.org/officeDocument/2006/relationships/hyperlink" Target="http://data.aade.gr/eli/pri/law/2023/04/24/5024" TargetMode="External" /><Relationship Id="rId37" Type="http://schemas.openxmlformats.org/officeDocument/2006/relationships/hyperlink" Target="http://data.aade.gr/eli/pri/law/2023/04/24/5024" TargetMode="External" /><Relationship Id="rId38" Type="http://schemas.openxmlformats.org/officeDocument/2006/relationships/hyperlink" Target="http://data.aade.gr/eli/pri/law/2023/07/29/5045" TargetMode="External" /><Relationship Id="rId39" Type="http://schemas.openxmlformats.org/officeDocument/2006/relationships/hyperlink" Target="http://data.aade.gr/eli/pri/law/2023/07/29/5045"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23/07/29/5045" TargetMode="External" /><Relationship Id="rId41" Type="http://schemas.openxmlformats.org/officeDocument/2006/relationships/hyperlink" Target="http://data.aade.gr/eli/pri/law/2018/06/14/4549" TargetMode="External" /><Relationship Id="rId42" Type="http://schemas.openxmlformats.org/officeDocument/2006/relationships/hyperlink" Target="http://data.aade.gr/eli/pri/law/2024/04/05/5100" TargetMode="External" /><Relationship Id="rId43" Type="http://schemas.openxmlformats.org/officeDocument/2006/relationships/hyperlink" Target="http://data.aade.gr/eli/pri/law/2014/07/30/4276" TargetMode="External" /><Relationship Id="rId44" Type="http://schemas.openxmlformats.org/officeDocument/2006/relationships/hyperlink" Target="http://data.aade.gr/eli/pri/law/2024/04/05/5100" TargetMode="External" /><Relationship Id="rId45" Type="http://schemas.openxmlformats.org/officeDocument/2006/relationships/hyperlink" Target="http://data.aade.gr/eli/pri/law/2023/03/27/5036" TargetMode="External" /><Relationship Id="rId46" Type="http://schemas.openxmlformats.org/officeDocument/2006/relationships/hyperlink" Target="http://data.aade.gr/eli/pri/law/2024/04/05/5100" TargetMode="External" /><Relationship Id="rId47" Type="http://schemas.openxmlformats.org/officeDocument/2006/relationships/hyperlink" Target="http://data.aade.gr/eli/pri/law/2023/03/27/5036" TargetMode="External" /><Relationship Id="rId48" Type="http://schemas.openxmlformats.org/officeDocument/2006/relationships/hyperlink" Target="http://data.aade.gr/eli/pri/law/2016/05/27/4389" TargetMode="External" /><Relationship Id="rId49" Type="http://schemas.openxmlformats.org/officeDocument/2006/relationships/hyperlink" Target="http://data.aade.gr/eli/pri/law/2014/09/19/4286"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14/07/30/4276" TargetMode="External" /><Relationship Id="rId51" Type="http://schemas.openxmlformats.org/officeDocument/2006/relationships/hyperlink" Target="http://data.aade.gr/eli/pri/law/2014/07/30/4276" TargetMode="External" /><Relationship Id="rId52" Type="http://schemas.openxmlformats.org/officeDocument/2006/relationships/hyperlink" Target="http://data.aade.gr/eli/pri/law/2014/09/19/4286" TargetMode="External" /><Relationship Id="rId53" Type="http://schemas.openxmlformats.org/officeDocument/2006/relationships/hyperlink" Target="http://data.aade.gr/eli/pri/law/2022/05/26/4935" TargetMode="External" /><Relationship Id="rId54" Type="http://schemas.openxmlformats.org/officeDocument/2006/relationships/hyperlink" Target="http://data.aade.gr/eli/pri/law/2023/04/24/5024" TargetMode="External" /><Relationship Id="rId55" Type="http://schemas.openxmlformats.org/officeDocument/2006/relationships/hyperlink" Target="http://data.aade.gr/eli/pri/law/2022/05/26/4935" TargetMode="External" /><Relationship Id="rId56" Type="http://schemas.openxmlformats.org/officeDocument/2006/relationships/hyperlink" Target="http://data.aade.gr/eli/pri/law/2024/04/19/5104" TargetMode="External" /><Relationship Id="rId57" Type="http://schemas.openxmlformats.org/officeDocument/2006/relationships/hyperlink" Target="http://data.aade.gr/eli/pri/law/2023/04/24/5024" TargetMode="External" /><Relationship Id="rId58" Type="http://schemas.openxmlformats.org/officeDocument/2006/relationships/hyperlink" Target="http://data.aade.gr/eli/pri/law/2022/05/26/4935" TargetMode="External" /><Relationship Id="rId59" Type="http://schemas.openxmlformats.org/officeDocument/2006/relationships/hyperlink" Target="http://data.aade.gr/eli/pri/law/2024/04/19/5104"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23/04/24/5024" TargetMode="External" /><Relationship Id="rId61" Type="http://schemas.openxmlformats.org/officeDocument/2006/relationships/hyperlink" Target="http://data.aade.gr/eli/pri/law/2016/05/27/4389" TargetMode="External" /><Relationship Id="rId62" Type="http://schemas.openxmlformats.org/officeDocument/2006/relationships/hyperlink" Target="http://data.aade.gr/eli/pri/law/2018/06/14/4549" TargetMode="External" /><Relationship Id="rId63" Type="http://schemas.openxmlformats.org/officeDocument/2006/relationships/hyperlink" Target="http://data.aade.gr/eli/pri/law/2016/05/27/4389" TargetMode="External" /><Relationship Id="rId64" Type="http://schemas.openxmlformats.org/officeDocument/2006/relationships/hyperlink" Target="http://data.aade.gr/eli/pri/law/2016/05/27/4389" TargetMode="External" /><Relationship Id="rId65" Type="http://schemas.openxmlformats.org/officeDocument/2006/relationships/hyperlink" Target="http://data.aade.gr/eli/pri/law/2015/08/14/4336" TargetMode="External" /><Relationship Id="rId66" Type="http://schemas.openxmlformats.org/officeDocument/2006/relationships/hyperlink" Target="http://data.aade.gr/eli/pri/law/2014/12/24/4316" TargetMode="External" /><Relationship Id="rId67" Type="http://schemas.openxmlformats.org/officeDocument/2006/relationships/hyperlink" Target="http://data.aade.gr/eli/pri/law/2021/06/19/4808" TargetMode="External" /><Relationship Id="rId68" Type="http://schemas.openxmlformats.org/officeDocument/2006/relationships/hyperlink" Target="http://data.aade.gr/eli/pri/law/2020/06/30/4701" TargetMode="External" /><Relationship Id="rId69" Type="http://schemas.openxmlformats.org/officeDocument/2006/relationships/hyperlink" Target="http://data.aade.gr/eli/pri/law/2018/12/03/4579" TargetMode="External" /><Relationship Id="rId7" Type="http://schemas.openxmlformats.org/officeDocument/2006/relationships/hyperlink" Target="http://data.aade.gr/eli/pri/law/2020/12/04/4758" TargetMode="External" /><Relationship Id="rId70" Type="http://schemas.openxmlformats.org/officeDocument/2006/relationships/hyperlink" Target="http://data.aade.gr/eli/pri/law/2017/06/07/4474" TargetMode="External" /><Relationship Id="rId71" Type="http://schemas.openxmlformats.org/officeDocument/2006/relationships/hyperlink" Target="http://data.aade.gr/eli/pri/law/2016/08/03/4410" TargetMode="External" /><Relationship Id="rId72" Type="http://schemas.openxmlformats.org/officeDocument/2006/relationships/hyperlink" Target="http://data.aade.gr/eli/pri/law/2016/06/06/4393" TargetMode="External" /><Relationship Id="rId73" Type="http://schemas.openxmlformats.org/officeDocument/2006/relationships/hyperlink" Target="http://data.aade.gr/eli/pri/law/2016/05/27/4389" TargetMode="External" /><Relationship Id="rId74" Type="http://schemas.openxmlformats.org/officeDocument/2006/relationships/hyperlink" Target="http://data.aade.gr/eli/pri/law/2016/05/27/4389" TargetMode="External" /><Relationship Id="rId75" Type="http://schemas.openxmlformats.org/officeDocument/2006/relationships/hyperlink" Target="http://data.aade.gr/eli/pri/law/2016/05/27/4389" TargetMode="External" /><Relationship Id="rId76" Type="http://schemas.openxmlformats.org/officeDocument/2006/relationships/hyperlink" Target="http://data.aade.gr/eli/pri/law/2016/05/27/4389" TargetMode="External" /><Relationship Id="rId77" Type="http://schemas.openxmlformats.org/officeDocument/2006/relationships/hyperlink" Target="http://data.aade.gr/eli/pri/law/2016/05/27/4389" TargetMode="External" /><Relationship Id="rId78" Type="http://schemas.openxmlformats.org/officeDocument/2006/relationships/hyperlink" Target="http://data.aade.gr/eli/pri/law/2014/12/24/4316" TargetMode="External" /><Relationship Id="rId79" Type="http://schemas.openxmlformats.org/officeDocument/2006/relationships/hyperlink" Target="http://data.aade.gr/eli/pri/law/2014/09/19/4286" TargetMode="External" /><Relationship Id="rId8" Type="http://schemas.openxmlformats.org/officeDocument/2006/relationships/hyperlink" Target="http://data.aade.gr/eli/pri/law/2017/06/07/4474" TargetMode="External" /><Relationship Id="rId80" Type="http://schemas.openxmlformats.org/officeDocument/2006/relationships/hyperlink" Target="http://data.aade.gr/eli/pri/law/2014/09/19/4286" TargetMode="External" /><Relationship Id="rId81" Type="http://schemas.openxmlformats.org/officeDocument/2006/relationships/hyperlink" Target="http://data.aade.gr/eli/pri/law/2014/09/19/4286" TargetMode="External" /><Relationship Id="rId82" Type="http://schemas.openxmlformats.org/officeDocument/2006/relationships/hyperlink" Target="http://data.aade.gr/eli/pri/law/2014/04/07/4254" TargetMode="External" /><Relationship Id="rId83" Type="http://schemas.openxmlformats.org/officeDocument/2006/relationships/hyperlink" Target="http://data.aade.gr/eli/pri/law/2019/12/12/4646" TargetMode="External" /><Relationship Id="rId84" Type="http://schemas.openxmlformats.org/officeDocument/2006/relationships/hyperlink" Target="http://data.aade.gr/eli/pri/law/2014/12/24/4316" TargetMode="External" /><Relationship Id="rId85" Type="http://schemas.openxmlformats.org/officeDocument/2006/relationships/hyperlink" Target="http://data.aade.gr/eli/pri/law/2014/07/30/4276" TargetMode="External" /><Relationship Id="rId86" Type="http://schemas.openxmlformats.org/officeDocument/2006/relationships/hyperlink" Target="http://data.aade.gr/eli/pri/law/2014/12/24/4316" TargetMode="External" /><Relationship Id="rId87" Type="http://schemas.openxmlformats.org/officeDocument/2006/relationships/hyperlink" Target="http://data.aade.gr/eli/pri/law/2014/11/24/4308" TargetMode="External" /><Relationship Id="rId88" Type="http://schemas.openxmlformats.org/officeDocument/2006/relationships/hyperlink" Target="http://data.aade.gr/eli/pri/law/2014/07/30/4276" TargetMode="External" /><Relationship Id="rId89" Type="http://schemas.openxmlformats.org/officeDocument/2006/relationships/hyperlink" Target="http://data.aade.gr/eli/pri/law/2023/03/27/5036" TargetMode="External" /><Relationship Id="rId9" Type="http://schemas.openxmlformats.org/officeDocument/2006/relationships/hyperlink" Target="http://data.aade.gr/eli/pri/law/2016/10/31/4430" TargetMode="External" /><Relationship Id="rId90" Type="http://schemas.openxmlformats.org/officeDocument/2006/relationships/hyperlink" Target="http://data.aade.gr/eli/pri/law/2023/03/27/5036" TargetMode="External" /><Relationship Id="rId91" Type="http://schemas.openxmlformats.org/officeDocument/2006/relationships/hyperlink" Target="http://data.aade.gr/eli/pri/law/2023/03/27/5036" TargetMode="External" /><Relationship Id="rId92" Type="http://schemas.openxmlformats.org/officeDocument/2006/relationships/hyperlink" Target="http://data.aade.gr/eli/pri/law/2023/03/27/5036" TargetMode="External" /><Relationship Id="rId93" Type="http://schemas.openxmlformats.org/officeDocument/2006/relationships/hyperlink" Target="http://data.aade.gr/eli/pri/law/2014/07/30/4276" TargetMode="External" /><Relationship Id="rId94" Type="http://schemas.openxmlformats.org/officeDocument/2006/relationships/hyperlink" Target="http://data.aade.gr/eli/pri/law/2014/09/19/4286" TargetMode="External" /><Relationship Id="rId95" Type="http://schemas.openxmlformats.org/officeDocument/2006/relationships/hyperlink" Target="http://data.aade.gr/eli/pri/law/2014/09/19/4286" TargetMode="External" /><Relationship Id="rId96" Type="http://schemas.openxmlformats.org/officeDocument/2006/relationships/hyperlink" Target="http://data.aade.gr/eli/pri/law/2014/09/19/4286" TargetMode="External" /><Relationship Id="rId97" Type="http://schemas.openxmlformats.org/officeDocument/2006/relationships/hyperlink" Target="http://data.aade.gr/eli/pri/law/2014/09/19/4286" TargetMode="External" /><Relationship Id="rId98" Type="http://schemas.openxmlformats.org/officeDocument/2006/relationships/hyperlink" Target="http://data.aade.gr/eli/pri/law/2014/09/19/4286" TargetMode="External" /><Relationship Id="rId99" Type="http://schemas.openxmlformats.org/officeDocument/2006/relationships/hyperlink" Target="http://data.aade.gr/eli/pri/law/2014/09/19/42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