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w:t>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31 του Κώδικα Φορολογικής Διαδικασίας (Ν. 4174/2013, Α΄ 170). </w:t>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εννέα χιλιάδες (9.000)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 και</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w:t>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δώδεκα χιλιάδες (12.000)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 και</w:t>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ενός έτους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δεν έχει ή δεν ευθύνεται για ληξιπρόθεσμες οφειλές προς το Δημόσιο και τα Ασφαλιστικά Ταμεία.</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w:t>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Το τρίτο εδάφιο της παρ. 17 του άρθρου 11 του Ν. 4110/2013 καταργείται.</w:t>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εφόσον δεν μπορεί να εκπεστεί ολόκληρη η αξία των αποκτηθέντων παγίων περιουσιακών στοιχείων εντός της χρήσεως, στην οποία αυτά αποκτήθηκαν.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Τμήμα Β΄ - Προϋπολογισμού και Εξυπηρέτησης Δημοσίου Χρέους,</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Οι αναγκαίες πιστώσεις για την εξυπηρέτηση και διαχείριση του Δημοσίου Χρέους (χρεολύσια - τόκοι -συναφείς δαπάνες) εγγράφονται στον Κρατικό Προϋπολογισμό σε ειδικό φορέα του Υπουργείου Οικονομικών μετά από εισήγηση του Ο.Δ.ΔΗ.Χ.. Οι πληρωμές διενεργούνται από την αρμόδια Διεύθυνση των Λογαριασμών του Δημοσίου του Γενικού Λογιστηρίου του Κράτους (Δ24) σύμφωνα με την πρόταση του Ο.Δ.ΔΗ.Χ. και τακτοποιούνται με την έκδοση τακτικών συμψηφιστικών χρηματικών ενταλμάτων, σύμφωνα με τις ισχύουσες διατάξεις.</w:t>
      </w:r>
    </w:p>
    <w:p>
      <w:pPr>
        <w:spacing w:before="240" w:after="240"/>
        <w:rPr>
          <w:lang w:val="el" w:eastAsia="el"/>
        </w:rPr>
      </w:pPr>
      <w:r>
        <w:rPr>
          <w:lang w:val="el" w:eastAsia="el"/>
        </w:rPr>
        <w:t>Με την ίδια ως άνω διαδικασία διενεργούνται και οι εγγραφές των πιστωτικών εσόδων στον Κρατικό Προϋπολογισμό.</w:t>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κατά το στάδιο κατάρτισης του Κρατικού Προϋπολογισμού. Ειδικά για το έτος 2014 οι απαιτούμενες πιστώσεις μεταφέρονται κατά το πρώτο δίμηνο του έτους αυτού.</w:t>
      </w:r>
    </w:p>
    <w:p>
      <w:pPr>
        <w:spacing w:before="240" w:after="240"/>
        <w:rPr>
          <w:lang w:val="el" w:eastAsia="el"/>
        </w:rPr>
      </w:pPr>
      <w:r>
        <w:rPr>
          <w:lang w:val="el" w:eastAsia="el"/>
        </w:rPr>
        <w:t>Το ποσό ή ποσοστό παρακράτησης επί των ανωτέρω μεταβιβάσεων καθορίζεται με κοινή απόφαση των Υπουργών Οικονομικών, Διοικητικής Μεταρρύθμισης και Ηλεκτρονικής Διακυβέρνησης και του καθ΄ ύλην αρμόδιου υπουργού και μεταφέρεται σε ειδικούς κωδικούς εξόδων του προϋπολογισμού του Υπουργείου Οικονομικών. Με την ίδια απόφαση καθορίζεται κάθε αναγκαία λεπτομέρεια επί της ακολουθούμενης διαδικασίας.</w:t>
      </w:r>
    </w:p>
    <w:p>
      <w:pPr>
        <w:spacing w:before="240" w:after="240"/>
        <w:rPr>
          <w:lang w:val="el" w:eastAsia="el"/>
        </w:rPr>
      </w:pPr>
      <w:r>
        <w:rPr>
          <w:lang w:val="el" w:eastAsia="el"/>
        </w:rPr>
        <w:t>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βαθμού, της Κεντρικής Ένωσης Δήμων Ελλάδος, της Ένωσης Περιφερειών Ελλάδος, των Περιφερειακών Ενώσεων Δήμων και του Ινστιτούτου Τοπικής Αυτοδιοίκησης σε κενές ή συνιστώμενες, με την πράξη μετάταξης, θέσεις αντίστοιχου κλάδου ή ειδικότητας άλλων Ο.Τ.Α. α΄ και β΄ βαθμού, της Κεντρικής Ένωσης Δήμων Ελλάδος, της Ένωσης Περιφερειών Ελλάδος και των Περιφερειακών Ενώσεων Δήμων.</w:t>
      </w:r>
    </w:p>
    <w:p>
      <w:pPr>
        <w:spacing w:before="240" w:after="240"/>
        <w:rPr>
          <w:lang w:val="el" w:eastAsia="el"/>
        </w:rPr>
      </w:pPr>
      <w:r>
        <w:rPr>
          <w:lang w:val="el" w:eastAsia="el"/>
        </w:rPr>
        <w:t>Για τη μετάταξη εκδίδεται ανακοίνωση του Υπουργείου Εσωτερικών, κατόπιν υποβολής αιτιολογημένων αιτημάτων των φορέων υποδοχής, στα οποία θα βεβαιώνεται η ύπαρξη των αναγκαίων πιστώσεων.</w:t>
      </w:r>
    </w:p>
    <w:p>
      <w:pPr>
        <w:spacing w:before="240" w:after="240"/>
        <w:rPr>
          <w:lang w:val="el" w:eastAsia="el"/>
        </w:rPr>
      </w:pPr>
      <w:r>
        <w:rPr>
          <w:lang w:val="el" w:eastAsia="el"/>
        </w:rPr>
        <w:t>Με κοινή απόφαση των Υπουργών Εσωτερικών και Διοικητικής Μεταρρύθμισης και Ηλεκτρονικής Διακυβέρνησης καθορίζονται τα κριτήρια επιλογής των υποψηφίων προς μετάταξη, καθώς και κάθε άλλη αναγκαία λεπτομέρεια σχετικά με τη διαδικασία μετάταξης.</w:t>
      </w:r>
    </w:p>
    <w:p>
      <w:pPr>
        <w:spacing w:before="240" w:after="240"/>
        <w:rPr>
          <w:lang w:val="el" w:eastAsia="el"/>
        </w:rPr>
      </w:pPr>
      <w:r>
        <w:rPr>
          <w:lang w:val="el" w:eastAsia="el"/>
        </w:rPr>
        <w:t>Οι υποψήφιοι υποβάλλουν αίτηση, συνοδευόμενη από τα απαιτούμενα δικαιολογητικά, στις Διευθύνσεις Διοικητικού των φορέων προέλευσης, εντός αποκλειστικής προθεσμίας δέκα (10) ημερών από την έκδοση της ανακοίνωσης.</w:t>
      </w:r>
    </w:p>
    <w:p>
      <w:pPr>
        <w:spacing w:before="240" w:after="240"/>
        <w:rPr>
          <w:lang w:val="el" w:eastAsia="el"/>
        </w:rPr>
      </w:pPr>
      <w:r>
        <w:rPr>
          <w:lang w:val="el" w:eastAsia="el"/>
        </w:rPr>
        <w:t>Οι ανωτέρω Διευθύνσεις εντός προθεσμίας δέκα (10) ημερών συντάσσουν πίνακες συνδρομής κριτηρίων σε ειδικό λογισμικό του Α.Σ.Ε.Π., τους οποίους αποστέλλουν στους φορείς υποδοχής και στο Α.Σ.Ε.Π..</w:t>
      </w:r>
    </w:p>
    <w:p>
      <w:pPr>
        <w:spacing w:before="240" w:after="240"/>
        <w:rPr>
          <w:lang w:val="el" w:eastAsia="el"/>
        </w:rPr>
      </w:pPr>
      <w:r>
        <w:rPr>
          <w:lang w:val="el" w:eastAsia="el"/>
        </w:rPr>
        <w:t>Το Α.Σ.Ε.Π. εντός προθεσμίας δεκαπέντε (15) ημερών, κατ΄ αναλογική εφαρμογή των διατάξεων του άρθρου 18 του Ν. 2190/1994 (Α΄ 28), ως ισχύει, συντάσσει Ενιαίο Πίνακα Κατάταξης και Διάθεσης, με βάση τους πίνακες συνδρομής κριτηρίων, τη μοριοδότηση και τις δηλώσεις προτίμησης των υποψηφίων, τον οποίο αποστέλλει στο Υπουργείο Εσωτερικών.</w:t>
      </w:r>
    </w:p>
    <w:p>
      <w:pPr>
        <w:spacing w:before="240" w:after="240"/>
        <w:rPr>
          <w:lang w:val="el" w:eastAsia="el"/>
        </w:rPr>
      </w:pPr>
      <w:r>
        <w:rPr>
          <w:lang w:val="el" w:eastAsia="el"/>
        </w:rPr>
        <w:t>Το Υπουργείο Εσωτερικών αποστέλλει αμελλητί τον πίνακα στους φορείς προέλευσης και υποδοχής.</w:t>
      </w:r>
    </w:p>
    <w:p>
      <w:pPr>
        <w:spacing w:before="240" w:after="240"/>
        <w:rPr>
          <w:lang w:val="el" w:eastAsia="el"/>
        </w:rPr>
      </w:pPr>
      <w:r>
        <w:rPr>
          <w:lang w:val="el" w:eastAsia="el"/>
        </w:rPr>
        <w:t>Για την ολοκλήρωση της μετάταξης απαιτείται η σύμφωνη γνώμη του αρμόδιου προς διορισμό οργάνου του φορέα προέλευσης. Η γνώμη του αρμόδιου προς διορι</w:t>
      </w:r>
      <w:r>
        <w:rPr>
          <w:lang w:val="el" w:eastAsia="el"/>
        </w:rPr>
        <w:softHyphen/>
        <w:t>σμό οργάνου του φορέα προέλευσης αποστέλλεται εντός προθεσμίας πέντε (5) ημερών από τη λήψη του πίνακα του προηγούμενου εδαφίου, στο φορέα υποδοχής και στον οικείο Γενικό Γραμματέα Αποκεντρωμένης Διοίκησης του φορέα υποδοχής, με κοινοποίηση στο Υπουργείο Εσωτερικών. Εάν εντός της προθεσμίας των πέντε (5) ημερών δεν εκδοθεί σύμφωνη ή αρνητική γνώμη, τεκμαίρεται η σύμφωνη γνώμη του φορέα προέλευσης για την ολοκλήρωση της μετάταξης.</w:t>
      </w:r>
    </w:p>
    <w:p>
      <w:pPr>
        <w:spacing w:before="240" w:after="240"/>
        <w:rPr>
          <w:lang w:val="el" w:eastAsia="el"/>
        </w:rPr>
      </w:pPr>
      <w:r>
        <w:rPr>
          <w:lang w:val="el" w:eastAsia="el"/>
        </w:rPr>
        <w:t>Η απόφαση για τη μετάταξη εκδίδεται από το αρμόδιο προς διορισμό όργανο του φορέα υποδοχής, εντός προθεσμίας πέντε (5) ημερών από τη λήψη ή την κατά τεκμήριο έκδοση της σύμφωνης γνώμης του φορέα προέλευσης. Η απόφαση δημοσιεύεται στην Εφημερίδα της Κυβερνήσεως, με μέριμνα του οικείου Γενικού Γραμματέα Αποκεντρωμένης Διοίκησης.</w:t>
      </w:r>
    </w:p>
    <w:p>
      <w:pPr>
        <w:pStyle w:val="MainText"/>
        <w:spacing w:before="120" w:after="0"/>
        <w:rPr>
          <w:lang w:val="el" w:eastAsia="el"/>
        </w:rPr>
      </w:pPr>
      <w:r>
        <w:rPr>
          <w:b/>
          <w:bCs/>
          <w:lang w:val="el" w:eastAsia="el"/>
        </w:rPr>
        <w:t>2.</w:t>
      </w:r>
      <w:r>
        <w:rPr>
          <w:lang w:val="el" w:eastAsia="el"/>
        </w:rPr>
        <w:t xml:space="preserve"> Το προσωπικό που μετατάσσεται βάσει του παρόντος άρθρου τίθεται σε διαθεσιμότητα χρονικής διάρκειας ενός μηνός, αρχομένης από την ημερομηνία δημοσίευσης της σχετικής πράξης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w:t>
      </w:r>
    </w:p>
    <w:p>
      <w:pPr>
        <w:spacing w:before="240" w:after="240"/>
        <w:rPr>
          <w:lang w:val="el" w:eastAsia="el"/>
        </w:rPr>
      </w:pPr>
      <w:r>
        <w:rPr>
          <w:lang w:val="el" w:eastAsia="el"/>
        </w:rPr>
        <w:t>Κατά τη διάρκεια της διαθεσιμότητας, η μισθοδοσία του προσωπικού βαρύνει το φορέα προέλευσης και μετά το πέρας της διαθεσιμότητας βαρύνει το φορέα υποδοχής.</w:t>
      </w:r>
    </w:p>
    <w:p>
      <w:pPr>
        <w:spacing w:before="240" w:after="240"/>
        <w:rPr>
          <w:lang w:val="el" w:eastAsia="el"/>
        </w:rPr>
      </w:pPr>
      <w:r>
        <w:rPr>
          <w:lang w:val="el" w:eastAsia="el"/>
        </w:rPr>
        <w:t>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p>
    <w:p>
      <w:pPr>
        <w:pStyle w:val="MainText"/>
        <w:spacing w:before="120" w:after="0"/>
        <w:rPr>
          <w:lang w:val="el" w:eastAsia="el"/>
        </w:rPr>
      </w:pPr>
      <w:r>
        <w:rPr>
          <w:b/>
          <w:bCs/>
          <w:lang w:val="el" w:eastAsia="el"/>
        </w:rPr>
        <w:t>3.</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τριών (3) μηνών από την έναρξη ισχύος του παρόντος. </w:t>
      </w:r>
    </w:p>
    <w:p>
      <w:pPr>
        <w:pStyle w:val="MainText"/>
        <w:spacing w:before="120" w:after="0"/>
        <w:rPr>
          <w:lang w:val="el" w:eastAsia="el"/>
        </w:rPr>
      </w:pPr>
      <w:r>
        <w:rPr>
          <w:b/>
          <w:bCs/>
          <w:lang w:val="el" w:eastAsia="el"/>
        </w:rPr>
        <w:t>4.</w:t>
      </w:r>
      <w:r>
        <w:rPr>
          <w:lang w:val="el" w:eastAsia="el"/>
        </w:rPr>
        <w:t xml:space="preserve"> Οι ανωτέρω μετατάξεις εξαιρούνται των διατάξεων της παρ.1 του άρθρου 68 του Ν. 4002/2011 (Α΄ 180), ως ισχύει.</w:t>
      </w:r>
    </w:p>
    <w:p>
      <w:pPr>
        <w:pStyle w:val="MainText"/>
        <w:spacing w:before="120" w:after="0"/>
        <w:rPr>
          <w:lang w:val="el" w:eastAsia="el"/>
        </w:rPr>
      </w:pPr>
      <w:r>
        <w:rPr>
          <w:b/>
          <w:bCs/>
          <w:lang w:val="el" w:eastAsia="el"/>
        </w:rPr>
        <w:t>5.</w:t>
      </w:r>
      <w:r>
        <w:rPr>
          <w:lang w:val="el" w:eastAsia="el"/>
        </w:rPr>
        <w:t xml:space="preserve"> Οι διατάξεις του άρθρου 17 του Ν. 3870/2010 (Α΄ 138) δεν ισχύουν για τις μετατάξεις του παρόντος άρθρου.</w:t>
      </w:r>
    </w:p>
    <w:p>
      <w:pPr>
        <w:pStyle w:val="MainText"/>
        <w:spacing w:before="120" w:after="0"/>
        <w:rPr>
          <w:lang w:val="el" w:eastAsia="el"/>
        </w:rPr>
      </w:pPr>
      <w:r>
        <w:rPr>
          <w:b/>
          <w:bCs/>
          <w:lang w:val="el" w:eastAsia="el"/>
        </w:rPr>
        <w:t>6.</w:t>
      </w:r>
      <w:r>
        <w:rPr>
          <w:lang w:val="el" w:eastAsia="el"/>
        </w:rPr>
        <w:t xml:space="preserve"> Οι μετατάξεις του παρόντος άρθρου διενεργούνται κατά παρέκκλιση κάθε άλλης γενικής ή ειδικής διάταξης.</w:t>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α. Οι παράγραφοι 1 και 2 του άρθρου 36 του Ν. 4182/2013 αντικαθίστανται από μία νέα παράγραφο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 Για τα θέματα ανοικοδόμησης ή ουσιώδους ανακατασκευής ακινήτων της περιουσίας εφαρμόζεται η παράγραφος 4 του άρθρου 42.»</w:t>
      </w:r>
    </w:p>
    <w:p>
      <w:pPr>
        <w:spacing w:before="240" w:after="240"/>
        <w:rPr>
          <w:lang w:val="el" w:eastAsia="el"/>
        </w:rPr>
      </w:pPr>
      <w:r>
        <w:rPr>
          <w:lang w:val="el" w:eastAsia="el"/>
        </w:rPr>
        <w:t>β. Οι παράγραφοι 3 και 4 του άρθρου 36 του Ν. 4182/2013 αναριθμούνται σε παραγράφους 2 και 3 αντίστοιχα.</w:t>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για διάστημα έξι μηνών από την έναρξη ισχύος του παρόντος νόμου, κατά παρέκκλιση της παρ. 16 του άρθρου ένατου του Ν. 4057/2012 (Α΄ 54).</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έκτο εδάφιο της παρ. 6 του άρθρου 1 του Ν. 1667/1986 (Α΄ 196) αντικαθίσταται ως εξής:</w:t>
      </w:r>
    </w:p>
    <w:p>
      <w:pPr>
        <w:spacing w:before="240" w:after="240"/>
        <w:rPr>
          <w:lang w:val="el" w:eastAsia="el"/>
        </w:rPr>
      </w:pPr>
      <w:r>
        <w:rPr>
          <w:lang w:val="el" w:eastAsia="el"/>
        </w:rPr>
        <w:t>« 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Αναστέλλεται έως την 31η Δεκεμβρίου 2014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2.</w:t>
      </w:r>
      <w:r>
        <w:rPr>
          <w:lang w:val="el" w:eastAsia="el"/>
        </w:rPr>
        <w:t xml:space="preserve"> Αναστέλλεται έως την 31η Δεκεμβρίου 2014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9η Μαΐου 2013 είχε κατατεθεί πλήρης φάκελος για την υπογραφή σύμβασης πώλησης.</w:t>
      </w:r>
    </w:p>
    <w:p>
      <w:pPr>
        <w:pStyle w:val="MainText"/>
        <w:spacing w:before="120" w:after="0"/>
        <w:rPr>
          <w:lang w:val="el" w:eastAsia="el"/>
        </w:rPr>
      </w:pPr>
      <w:r>
        <w:rPr>
          <w:b/>
          <w:bCs/>
          <w:lang w:val="el" w:eastAsia="el"/>
        </w:rPr>
        <w:t>3.</w:t>
      </w:r>
      <w:r>
        <w:rPr>
          <w:lang w:val="el" w:eastAsia="el"/>
        </w:rPr>
        <w:t xml:space="preserve"> Η αναστολή σύναψης συμβάσεων των δύο προηγούμενων παραγράφων μπορεί να αίρεται πριν από την 31 η Δεκεμβρίου 2014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p>
    <w:p>
      <w:pPr>
        <w:pStyle w:val="MainText"/>
        <w:spacing w:before="120" w:after="0"/>
        <w:rPr>
          <w:lang w:val="el" w:eastAsia="el"/>
        </w:rPr>
      </w:pPr>
      <w:r>
        <w:rPr>
          <w:b/>
          <w:bCs/>
          <w:lang w:val="el" w:eastAsia="el"/>
        </w:rPr>
        <w:t>4.</w:t>
      </w:r>
      <w:r>
        <w:rPr>
          <w:lang w:val="el" w:eastAsia="el"/>
        </w:rPr>
        <w:t xml:space="preserve"> Από την αναστολή της παραγράφου 1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 καθώς και οι φωτοβολταϊκές εγκαταστάσεις που εντάσσονται στην κατηγορία του αυτοπαραγωγού και αποτελούν μέρος επιχειρηματικού σχεδίου που συγχρηματοδοτείται από πόρους της Ευρωπαϊκής Ένωσης.</w:t>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Ειδικά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η 30ή Σεπτεμβρίου 2014.</w:t>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