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Ειδικά, το πρώτο Δ.Σ. που επελέγη σύμφωνα με τις προηγούμενες παραγράφους διορίζεται με απόφαση του Υπουργού Οικονομικών που εκδίδεται έως το τέλος Ιουλίου 2014. </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κατά την έννοια των παραγράφων 1, 2,3 και 6 του άρθρου 1 του ν. 3429/2005 (Α΄314).</w:t>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δικαίου (ΝΠΔΔ), καθώς και τα νομικά πρόσωπα ιδιωτικού δικαίου που περιλαμβάνονται στη Γενική Κυβέρνηση και δεν ανήκουν στους υποτομείς των ΟΤΑ και των ΟΚΑ.</w:t>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της Γενικής Κυβέρνησης. Ειδικότερα, ο Υπουργός Οικονομικών έχει τις ακόλουθες αρμοδιότητες:</w:t>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σε τράπεζες και λοιπά πιστωτικά ιδρύματα λογαριασμών φορέων της Κεντρικής Διοίκησης, σύμφωνα με τους όρους και τις προϋποθέσεις του παρόντος νόμου.</w:t>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σε βάρος του Κρατικού Προϋπολογισμού, του Προϋπολογισμού φορέων της Γενικής Κυβέρνησης, καθώς και του προϋπολογισμού φορέων εκτός Γενικής Κυβέρνησης που επιχορηγούνται από τον Κρατικό Προϋπολογισμό.</w:t>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w:t>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κεντρικό λογαριασμό του Δημοσίου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τραπεζικών λογαριασμών από φορείς της Κεντρικής Διοίκησης σύμφωνα με τους όρους και τις προϋποθέσεις που καθορίζονται στον παρόντα νόμο.</w:t>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Ασκεί έλεγχο επί των δημόσιων δαπανών κατά τις διατάξεις του άρθρου 94 και παρέχει οδηγίες για την ορθή εφαρμογή των δημοσιολογιστικών διατάξεων από όλους τους φορείς της Γενικής Κυβέρνησης.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αιτήματα για συγχρηματοδότηση έργων δημοσίων επενδύσεων από τα Ταμεία της Ευρωπαϊκής Ένωσης, σύμφωνα με το θεσμικό πλαίσιο της Ευρωπαϊκής Ένωσης.</w:t>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που αφορούν σε θέματα υλοποίησης του Προγράμματος Δημοσίων Επενδύσεων.</w:t>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w:t>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3.</w:t>
      </w:r>
      <w:r>
        <w:rPr>
          <w:lang w:val="el" w:eastAsia="el"/>
        </w:rPr>
        <w:t xml:space="preserve"> Κατ΄ εξαίρεση των οριζόμενων στις παραγράφους 1 και 2, ειδικά στο Υπουργείο Εθνικής Άμυνας και μέχρι τη συγκρότηση και έναρξη λειτουργίας της οικείας ΓΔΟΥ, τα καθήκοντα και τις αρμοδιότητες των παραγράφων 4 και 5 ασκεί ο Γενικός Διευθυντής Οικονομικού Σχεδιασμού και Υποστήριξης. Επίσης, κατ΄ εξαίρεση των οριζόμενων στις παραγράφους 1 και 2, τα καθήκοντα και τις αρμοδιότητες των παραγράφων 4 και 5 ασκούν ο προϊστάμενος της Γενικής Διεύθυνσης Οικονομικών και Επιτελικού Σχεδιασμού και ο προϊστάμενος της Διεύθυνσης Οικονομικών Υπηρεσιών, Διοικητικής Υποστήριξης και Ηλεκτρονικής Διακυβέρνησης, αντίστοιχα. Στα Υπουργεία Δημόσιας Τάξης και Προστασίας του Πολίτη και Ναυτιλίας και Αιγαίου,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σύμφωνα με τις κείμενες, γι΄ αυτούς, διατάξεις.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w:t>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w:t>
      </w:r>
      <w:r>
        <w:rPr>
          <w:lang w:val="el" w:eastAsia="el"/>
        </w:rPr>
        <w:softHyphen/>
        <w:t>μενων από αυτό φορέων της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και τη διενέργεια δαπανών μόνο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p>
    <w:p>
      <w:pPr>
        <w:spacing w:before="240" w:after="240"/>
        <w:rPr>
          <w:lang w:val="el" w:eastAsia="el"/>
        </w:rPr>
      </w:pPr>
      <w:r>
        <w:rPr>
          <w:lang w:val="el" w:eastAsia="el"/>
        </w:rPr>
        <w:t>δ. την τήρηση των υποχρεωτικών οδηγιών και εγκυκλίων που εκδίδει το ΓΛΚ,</w:t>
      </w:r>
    </w:p>
    <w:p>
      <w:pPr>
        <w:spacing w:before="240" w:after="240"/>
        <w:rPr>
          <w:lang w:val="el" w:eastAsia="el"/>
        </w:rPr>
      </w:pPr>
      <w:r>
        <w:rPr>
          <w:lang w:val="el" w:eastAsia="el"/>
        </w:rPr>
        <w:t>ε. τη διαβίβαση στο ΓΛΚ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το Υπουργείο φορέων, σύμφωνα με τις οδηγίες που παρέχονται από το ΓΛΚ, και για την υποβολή των προβλέψεων στο ΓΛΚ,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ΓΛΚ, διατυπώνοντας τις απόψεις του. Σε κάθε περίπτωση, η κατάρτιση του Μ.Π.Δ.Σ. και του ετήσιου προϋπολογισμού του Υπουργείου του και των εποπτευόμενων από το Υπουργείο φορέων, γίνεται σύμφωνα με τις διαδικασίες των άρθρων 45, 54, 63 και 64.</w:t>
      </w:r>
    </w:p>
    <w:p>
      <w:pPr>
        <w:spacing w:before="240" w:after="240"/>
        <w:rPr>
          <w:lang w:val="el" w:eastAsia="el"/>
        </w:rPr>
      </w:pPr>
      <w:r>
        <w:rPr>
          <w:lang w:val="el" w:eastAsia="el"/>
        </w:rPr>
        <w:t>β. Οφείλει να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με τον Υπουργό Οικονομικών.</w:t>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δεσμεύσεις στο Ελεγκτικό Συνέδριο και το ΓΛΚ.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pPr>
        <w:spacing w:before="240" w:after="240"/>
        <w:rPr>
          <w:lang w:val="el" w:eastAsia="el"/>
        </w:rPr>
      </w:pPr>
      <w:r>
        <w:rPr>
          <w:lang w:val="el" w:eastAsia="el"/>
        </w:rPr>
        <w:t>δ. Ο προϊστάμενος οικονομικών υπηρεσιών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ΓΛΚ,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p>
    <w:p>
      <w:pPr>
        <w:spacing w:before="240" w:after="240"/>
        <w:rPr>
          <w:lang w:val="el" w:eastAsia="el"/>
        </w:rPr>
      </w:pPr>
      <w:r>
        <w:rPr>
          <w:lang w:val="el" w:eastAsia="el"/>
        </w:rPr>
        <w:t>ε. Ο προϊστάμενος οικονομικών υπηρεσιών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επίπτωση στο ΜΠΔΣ ή στον προϋπολογισμό του Υπουργείου ή των εποπτευόμενων φορέων. Η εν λόγω εισήγηση κοινοποιείται στον Υπουργό και τον Γενικό Γραμματέα του Υπουργείου, καθώς και στο ΓΛΚ.</w:t>
      </w:r>
    </w:p>
    <w:p>
      <w:pPr>
        <w:spacing w:before="240" w:after="240"/>
        <w:rPr>
          <w:lang w:val="el" w:eastAsia="el"/>
        </w:rPr>
      </w:pPr>
      <w:r>
        <w:rPr>
          <w:lang w:val="el" w:eastAsia="el"/>
        </w:rPr>
        <w:t>στ. Ο προϊστάμενος οικονομικών υπηρεσιών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p>
    <w:p>
      <w:pPr>
        <w:spacing w:before="240" w:after="240"/>
        <w:rPr>
          <w:lang w:val="el" w:eastAsia="el"/>
        </w:rPr>
      </w:pPr>
      <w:r>
        <w:rPr>
          <w:lang w:val="el" w:eastAsia="el"/>
        </w:rPr>
        <w:t>ζ. Οι προϊστάμενοι των οικονομικών υπηρεσιών των φορέων της Κεντρικής Διοίκησης, για την εφαρμογή του τρίτου εδαφίου της παραγράφου 3 του άρθρου 77, αποστέλλουν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w:t>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αποφάσεις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 </w:t>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2 και της περίπτωσης γ΄ της παραγράφου 3.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καθώς και την ανάληψη υποχρεώσεων από το φορέα αυτό, ώστε να διενεργούνται δαπάνες μόνο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εκτέλεσης δαπάνης που υπερβαίνει τα όρια του προϋπολογισμού και των ποσοστών διάθεσης ή του Μ.Π.Δ.Σ.,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 </w:t>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Επίσης, ο προϊστάμενος οικονομικών υπηρεσιών υπέχει αστική ευθύνη και για κάθε ζημία που προξένησε στον οικείο φορέα από δόλο ή βαριά αμέλεια.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Διαχείριση των ταμειακών διαθεσίμων του Ελληνικού Δημοσίου.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w:t>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δύναται να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w:t>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Το σχέδιο αυτό:</w:t>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w:t>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w:t>
      </w:r>
      <w:r>
        <w:rPr>
          <w:lang w:val="el" w:eastAsia="el"/>
        </w:rPr>
        <w:softHyphen/>
        <w:t>μικής προσαρμογής, σύμφωνα με το άρθρο 7 του Κανονισμού (ΕΕ) 472/2013, η εφαρμογή των διατάξεων του παρόντος Κεφαλαίου γίνεται σύμφωνα με όσα ορίζει το ως άνω άρθρο 7 και με το ρυθμιστικό πλαίσιο που καθορίζει η Ευρωπαϊκή Ένωση. 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w:t>
      </w:r>
      <w:r>
        <w:rPr>
          <w:lang w:val="el" w:eastAsia="el"/>
        </w:rPr>
        <w:softHyphen/>
        <w:t>οικονομικών προβλέψεων, πάνω στις οποίες βασίζονται το Μ.Π.Δ.Σ. και ο ετήσιος Κρατικός Προϋπολογισμός, είναι η Διεύθυνση Μακροοικονομικών Αναλύσεων του Υπουργείου Οικονομικών. Αντίστοιχα, το ΓΛΚ καταρτίζει τις δημοσιονομικές προβλέψεις.</w:t>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Ο νόμος περιλαμβάνει συνοπτικούς πίνακες των εξόδων του Τακτικού Προϋπολογισμού και Δημοσίων Επενδύσεων ανά Υπουργείο, ανά Αποκεντρωμένη Διοίκηση και ανά Περιφερειακή Υπηρεσία Υπουργείου συγκεντρωτικά, καθώς και συνοπτικό πίνακα με τους προϋπολογισμούς φορέων που από ειδικές διατάξεις προβλέπεται η προσάρτησή τους στον Κρατικό Προϋπολογισμό.</w:t>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31η Ιουλίου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χωρίς αυτό να συνιστά παραβίαση της ανεξαρτησίας τους. </w:t>
      </w:r>
    </w:p>
    <w:p>
      <w:pPr>
        <w:pStyle w:val="MainText"/>
        <w:spacing w:before="120" w:after="0"/>
        <w:rPr>
          <w:lang w:val="el" w:eastAsia="el"/>
        </w:rPr>
      </w:pPr>
      <w:r>
        <w:rPr>
          <w:b/>
          <w:bCs/>
          <w:lang w:val="el" w:eastAsia="el"/>
        </w:rPr>
        <w:t>5.</w:t>
      </w:r>
      <w:r>
        <w:rPr>
          <w:lang w:val="el" w:eastAsia="el"/>
        </w:rPr>
        <w:t xml:space="preserve"> Κάθε εποπτευόμενος φορέας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w:t>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4, δεν είναι συμβατό με το δεσμευτικό στόχο, το επιδιωκόμενο αποτέλεσμα ή το ανώτατο όριο του εκάστοτε ισχύοντος Μ.Π.Δ.Σ.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Α.Δ.Α., μαζί με τις οδηγίες.</w:t>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Στην περίπτωση των Α.Δ.Α. που αποτελούν ξεχωριστά νομικά πρόσωπα, το Γενικό Λογιστήριο του Κράτους επικοινωνεί με την Α.Δ.Α, για την πιθανή επανυποβολή του σχεδίου συνοπτικού προϋπολογισμού, σύμφωνα με την παράγραφο 5. </w:t>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υποβληθέντες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και η διαδικασία κατανομής των αναλυτικών πιστώσεων, καθώς και κάθε άλλο σχετικό θέμα για την εφαρμογή της παρούσας παραγράφου.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και των προϋπολογισμών των λοιπών φορέων της Γενικής Κυβέρνησης, καθώς και κάθε άλλο σχετικό θέμα για την εφαρμογή της παρούσας παραγράφου. </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74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w:t>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Ν.Π.Δ.Δ.</w:t>
      </w:r>
    </w:p>
    <w:p>
      <w:pPr>
        <w:spacing w:before="240" w:after="240"/>
        <w:rPr>
          <w:lang w:val="el" w:eastAsia="el"/>
        </w:rPr>
      </w:pPr>
      <w:r>
        <w:rPr>
          <w:lang w:val="el" w:eastAsia="el"/>
        </w:rPr>
        <w:t>Κατά την κατάρτιση των προϋπολογισμών Ν.Π.Δ.Δ., εφαρμόζεται η αρχή της ειδίκευσης του προϋπολογισμού και της ειδικότητας των πιστώσεων της παραγράφου 2 του άρθρου 51, καθώς και οι γενικές αρχές που αναφέρονται στο άρθρο 49.</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υιοθετούνται από το αρμόδιο όργανο διοίκησης του φορέα και εγκρίνονται από τον εποπτεύοντα Υπουργό έως την 31η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w:t>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φορέων της Γενικής Κυβέρνησης παρά μόνον αν είναι συνεπείς με τα σχέδια των συνοπτικών προϋπολογι</w:t>
      </w:r>
      <w:r>
        <w:rPr>
          <w:lang w:val="el" w:eastAsia="el"/>
        </w:rPr>
        <w:softHyphen/>
        <w:t>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αναθεώρηση του προϋπολογισμού του μόλις αυτό είναι εφικτό. Για την αναθεώρηση των προϋπολογισμών των φορέων του Κεφαλαίου Α΄ του ν. 3429/2005 (Α΄ 314), ισχύουν και τα όσα ειδικότερα ορίζονται στην παρ. 4 του άρθρου 3 του ν. 4111/2013 (Α΄18).</w:t>
      </w:r>
    </w:p>
    <w:p>
      <w:pPr>
        <w:pStyle w:val="MainText"/>
        <w:spacing w:before="120" w:after="0"/>
        <w:rPr>
          <w:lang w:val="el" w:eastAsia="el"/>
        </w:rPr>
      </w:pPr>
      <w:r>
        <w:rPr>
          <w:b/>
          <w:bCs/>
          <w:lang w:val="el" w:eastAsia="el"/>
        </w:rPr>
        <w:t>4.</w:t>
      </w:r>
      <w:r>
        <w:rPr>
          <w:lang w:val="el" w:eastAsia="el"/>
        </w:rPr>
        <w:t xml:space="preserve"> Αν ο προϋπολογισμός φορέα της Γενικής Κυβέρνη</w:t>
      </w:r>
      <w:r>
        <w:rPr>
          <w:lang w:val="el" w:eastAsia="el"/>
        </w:rPr>
        <w:softHyphen/>
        <w:t xml:space="preserve">σης, πλην Ο.Τ.Α., δεν εγκριθεί μέχρι την έναρξη του οικονομικού έτους, ο λόγος της μη έγκρισης γνωστοποιείται από το εποπτεύον Υπουργείο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w:t>
      </w:r>
    </w:p>
    <w:p>
      <w:pPr>
        <w:pStyle w:val="MainText"/>
        <w:spacing w:before="120" w:after="0"/>
        <w:rPr>
          <w:lang w:val="el" w:eastAsia="el"/>
        </w:rPr>
      </w:pPr>
      <w:r>
        <w:rPr>
          <w:b/>
          <w:bCs/>
          <w:lang w:val="el" w:eastAsia="el"/>
        </w:rPr>
        <w:t>5.</w:t>
      </w:r>
      <w:r>
        <w:rPr>
          <w:lang w:val="el" w:eastAsia="el"/>
        </w:rPr>
        <w:t xml:space="preserve"> Οι φορείς του Κεφαλαίου Α΄ του ν. 3429/2005 υποβάλλουν σχέδιο του αναλυτικού προϋπολογισμού τους στην αρμόδια Διεύθυνση του Γενικού Λογιστηρίου του Κράτους, σύμφωνα με τα οριζόμενα στην περίπτωση α΄ της παρ. 1 του άρθρου 7 του ν. 3429/2005. Το υποβαλλόμενο σχέδιο πρέπει να είναι συνεπές με το σχέδιο του συνοπτικού προϋπολογισμού που διαμορφώθηκε σύμφωνα με τις διατάξεις του άρθρου 54.</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w:t>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άμεση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p>
    <w:p>
      <w:pPr>
        <w:spacing w:before="240" w:after="240"/>
        <w:rPr>
          <w:lang w:val="el" w:eastAsia="el"/>
        </w:rPr>
      </w:pPr>
      <w:r>
        <w:rPr>
          <w:lang w:val="el" w:eastAsia="el"/>
        </w:rPr>
        <w:t>β. Για τους φορείς της περίπτωσης α΄, για τις πληρωμές λογαριασμών κοινής ωφελείας και τηλεφωνίας, με εξαίρεση τις δαπάνες κινητής τηλεφωνίας, και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κατ΄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 </w:t>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ετήσιο ποσό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w:t>
      </w:r>
    </w:p>
    <w:p>
      <w:pPr>
        <w:pStyle w:val="MainText"/>
        <w:spacing w:before="120" w:after="0"/>
        <w:rPr>
          <w:lang w:val="el" w:eastAsia="el"/>
        </w:rPr>
      </w:pPr>
      <w:r>
        <w:rPr>
          <w:b/>
          <w:bCs/>
          <w:lang w:val="el" w:eastAsia="el"/>
        </w:rPr>
        <w:t>9.</w:t>
      </w:r>
      <w:r>
        <w:rPr>
          <w:lang w:val="el" w:eastAsia="el"/>
        </w:rPr>
        <w:t xml:space="preserve">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 </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των δαπανών των Ενόπλων Δυνάμεων.</w:t>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w:t>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μισθώσεις ακινήτων και υπερβαίνουν ετησίως το ποσό των εκατό χιλιάδων (100.000) ευρώ κατά Κ.Α.Ε. του προϋπολογισμού, απαιτείται προηγούμενη έγκριση του Υπουργού Οικονομικών για τους φορείς της Κεντρικής Διοίκησης.</w:t>
      </w:r>
    </w:p>
    <w:p>
      <w:pPr>
        <w:spacing w:before="240" w:after="240"/>
        <w:rPr>
          <w:lang w:val="el" w:eastAsia="el"/>
        </w:rPr>
      </w:pPr>
      <w:r>
        <w:rPr>
          <w:lang w:val="el" w:eastAsia="el"/>
        </w:rPr>
        <w:t>Για τους λοιπούς φορείς της Γενικής Κυβέρνησης απαιτείται έγκριση του εποπτεύοντος Υπουργού, εφόσον η αναλαμβανόμενη υποχρέωση υπερβαίνει το ποσό των πενήντα χιλιάδων (50.000) ευρώ.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Ο.Τ.Α., προκειμένου να λαμβάνεται υπόψη κατά τον έλεγχο νομιμότητας του προϋπολογισμού του οικονομικού έτους που αφορά η σχετική δαπάνη.</w:t>
      </w:r>
    </w:p>
    <w:p>
      <w:pPr>
        <w:pStyle w:val="MainText"/>
        <w:spacing w:before="120" w:after="0"/>
        <w:rPr>
          <w:lang w:val="el" w:eastAsia="el"/>
        </w:rPr>
      </w:pPr>
      <w:r>
        <w:rPr>
          <w:b/>
          <w:bCs/>
          <w:lang w:val="el" w:eastAsia="el"/>
        </w:rPr>
        <w:t>2.</w:t>
      </w:r>
      <w:r>
        <w:rPr>
          <w:lang w:val="el" w:eastAsia="el"/>
        </w:rPr>
        <w:t xml:space="preserve"> Η έγκριση της ανωτέρω παραγράφου δίνεται αφού το εγκριτικό όργανο ελέγξει ότι δεν γίνεται υπέρβαση των δεσμευτικών ορίων του Μεσοπρόθεσμου Πλαισίου Δημοσιονομικής Στρατηγικής.</w:t>
      </w:r>
    </w:p>
    <w:p>
      <w:pPr>
        <w:pStyle w:val="MainText"/>
        <w:spacing w:before="120" w:after="0"/>
        <w:rPr>
          <w:lang w:val="el" w:eastAsia="el"/>
        </w:rPr>
      </w:pPr>
      <w:r>
        <w:rPr>
          <w:b/>
          <w:bCs/>
          <w:lang w:val="el" w:eastAsia="el"/>
        </w:rPr>
        <w:t>3.</w:t>
      </w:r>
      <w:r>
        <w:rPr>
          <w:lang w:val="el" w:eastAsia="el"/>
        </w:rPr>
        <w:t xml:space="preserve"> Το συνολικό ποσό και η διάρκεια της επιβάρυνσης αναφέρονται:</w:t>
      </w:r>
    </w:p>
    <w:p>
      <w:pPr>
        <w:pStyle w:val="StructureList1"/>
        <w:spacing w:before="120" w:after="0"/>
        <w:rPr>
          <w:lang w:val="el" w:eastAsia="el"/>
        </w:rPr>
      </w:pPr>
      <w:r>
        <w:rPr>
          <w:lang w:val="el" w:eastAsia="el"/>
        </w:rPr>
        <w:t>α)</w:t>
      </w:r>
      <w:r>
        <w:rPr>
          <w:lang w:val="en" w:eastAsia="en"/>
        </w:rPr>
        <w:tab/>
      </w:r>
      <w:r>
        <w:rPr>
          <w:lang w:val="el" w:eastAsia="el"/>
        </w:rPr>
        <w:t>στη διοικητική πράξη ανάληψης της υποχρέωσης και</w:t>
      </w:r>
    </w:p>
    <w:p>
      <w:pPr>
        <w:pStyle w:val="StructureList1"/>
        <w:spacing w:before="120" w:after="0"/>
        <w:rPr>
          <w:lang w:val="el" w:eastAsia="el"/>
        </w:rPr>
      </w:pPr>
      <w:r>
        <w:rPr>
          <w:lang w:val="el" w:eastAsia="el"/>
        </w:rPr>
        <w:t>β)</w:t>
      </w:r>
      <w:r>
        <w:rPr>
          <w:lang w:val="en" w:eastAsia="en"/>
        </w:rPr>
        <w:tab/>
      </w:r>
      <w:r>
        <w:rPr>
          <w:lang w:val="el" w:eastAsia="el"/>
        </w:rPr>
        <w:t>στο διαπιστωτικό έγγραφο της αρμόδιας οικονομικής υπηρεσίας του φορέα που εξετάζει τη νομιμότητα και κανονικότητα της δαπάνης.</w:t>
      </w:r>
    </w:p>
    <w:p>
      <w:pPr>
        <w:spacing w:before="240" w:after="240"/>
        <w:rPr>
          <w:lang w:val="el" w:eastAsia="el"/>
        </w:rPr>
      </w:pPr>
      <w:r>
        <w:rPr>
          <w:lang w:val="el" w:eastAsia="el"/>
        </w:rPr>
        <w:t>Το ανωτέρω ποσό μπορεί να αναπροσαρμόζεται με απόφαση του Υπουργού Οικονομικών.</w:t>
      </w:r>
    </w:p>
    <w:p>
      <w:pPr>
        <w:spacing w:before="240" w:after="240"/>
        <w:rPr>
          <w:lang w:val="el" w:eastAsia="el"/>
        </w:rPr>
      </w:pPr>
      <w:r>
        <w:rPr>
          <w:lang w:val="el" w:eastAsia="el"/>
        </w:rPr>
        <w:t>Οι διατάξεις της παραγράφου αυτής δεν έχουν εφαρμογή για τις δαπάνες του Προϋπολογισμού Δημοσίων Επενδύσεων.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σαφής ορισμός της ανάληψης υποχρεώσεων και των κατηγοριών τους,</w:t>
      </w:r>
    </w:p>
    <w:p>
      <w:pPr>
        <w:spacing w:before="240" w:after="240"/>
        <w:rPr>
          <w:lang w:val="el" w:eastAsia="el"/>
        </w:rPr>
      </w:pPr>
      <w:r>
        <w:rPr>
          <w:lang w:val="el" w:eastAsia="el"/>
        </w:rPr>
        <w:t>(β) διαδικασίες των αρμόδιων φορέων της Κεντρικής Διοίκησης και άλλων φορέων για να αναλαμβάνουν υποχρεώσεις που αφορούν στον προϋπολογισμό ενός έτους ή πολλών ετών,</w:t>
      </w:r>
    </w:p>
    <w:p>
      <w:pPr>
        <w:spacing w:before="240" w:after="240"/>
        <w:rPr>
          <w:lang w:val="el" w:eastAsia="el"/>
        </w:rPr>
      </w:pPr>
      <w:r>
        <w:rPr>
          <w:lang w:val="el" w:eastAsia="el"/>
        </w:rPr>
        <w:t>(γ) διαδικασίες για την ανάληψη υποχρεώσεων δαπανών σε έργα της Ε.Ε. και άλλων διεθνών υποχρεώσεων,</w:t>
      </w:r>
    </w:p>
    <w:p>
      <w:pPr>
        <w:spacing w:before="240" w:after="240"/>
        <w:rPr>
          <w:lang w:val="el" w:eastAsia="el"/>
        </w:rPr>
      </w:pPr>
      <w:r>
        <w:rPr>
          <w:lang w:val="el" w:eastAsia="el"/>
        </w:rPr>
        <w:t>(δ) μητρώο ανάληψης υποχρεώσεων και άλλα αντίστοιχα έντυπα για την καταγραφή, τον έλεγχο και την αναφορά των εκκρεμών υποχρεώσεων και των οφειλών σε μηνιαία βάση,</w:t>
      </w:r>
    </w:p>
    <w:p>
      <w:pPr>
        <w:spacing w:before="240" w:after="240"/>
        <w:rPr>
          <w:lang w:val="el" w:eastAsia="el"/>
        </w:rPr>
      </w:pPr>
      <w:r>
        <w:rPr>
          <w:lang w:val="el" w:eastAsia="el"/>
        </w:rPr>
        <w:t>(ε) διαδικασίες για τη μεταφορά στο τέλος του έτους των εκκρεμών υποχρεώσεων και οφειλών, στο επόμενο οικονομικό έτος και την εκκαθάρισή τους,</w:t>
      </w:r>
    </w:p>
    <w:p>
      <w:pPr>
        <w:spacing w:before="240" w:after="240"/>
        <w:rPr>
          <w:lang w:val="el" w:eastAsia="el"/>
        </w:rPr>
      </w:pPr>
      <w:r>
        <w:rPr>
          <w:lang w:val="el" w:eastAsia="el"/>
        </w:rPr>
        <w:t>(στ) κυρώσεις για μη συμμόρφωση και</w:t>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υπόκεινται στον όρο της διαθεσιμότητας επαρκούς υπολοίπου πιστώσεων υπό το συγκεκριμένο κωδικό του προϋπολογισμού,</w:t>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εγκαίρως,</w:t>
      </w:r>
    </w:p>
    <w:p>
      <w:pPr>
        <w:spacing w:before="240" w:after="240"/>
        <w:rPr>
          <w:lang w:val="el" w:eastAsia="el"/>
        </w:rPr>
      </w:pPr>
      <w:r>
        <w:rPr>
          <w:lang w:val="el" w:eastAsia="el"/>
        </w:rPr>
        <w:t>δ. δεν συσσωρεύονται ληξιπρόθεσμες οφειλές και ε. όλες οι εκκρεμείς υποχρεώσεις και τα ανεξόφλητα τιμολόγια στο τέλος του έτους μεταφέρονται στο επόμενο οικονομικό έτος και εξοφλούνται κατά χρονική προτεραιότητα.</w:t>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την 31η Δεκεμβρίου κάθε έτους, με στόχο την ομαλή εκτέλεση του προϋπολογισμού και τη χρηστή δημοσιονομική διαχείριση. Στα μνημόνια περιλαμβάνονται τουλάχιστον:</w:t>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μείζονων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μείζονων κατηγοριών δαπανών εντός του προϋπολογισμού του φορέα της Κεντρικής Διοίκησης. </w:t>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w:t>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p>
    <w:p>
      <w:pPr>
        <w:spacing w:before="240" w:after="240"/>
        <w:rPr>
          <w:lang w:val="el" w:eastAsia="el"/>
        </w:rPr>
      </w:pPr>
      <w:r>
        <w:rPr>
          <w:lang w:val="el" w:eastAsia="el"/>
        </w:rPr>
        <w:t>α. Η μεταφορά πιστώσεων αποδοχών από ένα φορέα της Κεντρικής Διοίκησης σε άλλο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 φορέα της Κεντρικής Διοίκησης σε άλλο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 για την υλοποίηση προγραμμάτων που αφορούν περισσότερους από έναν φορείς της Κεντρικής Διοίκησης.</w:t>
      </w:r>
    </w:p>
    <w:p>
      <w:pPr>
        <w:spacing w:before="240" w:after="240"/>
        <w:rPr>
          <w:lang w:val="el" w:eastAsia="el"/>
        </w:rPr>
      </w:pPr>
      <w:r>
        <w:rPr>
          <w:lang w:val="el" w:eastAsia="el"/>
        </w:rPr>
        <w:t>δ. Η μεταφορά πιστώσεων από ένα φορέα της Κεντρικής Διοίκησης σε άλλο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εκπλήρωση υποχρεώσεων που απορρέουν από διεθνείς συμβάσεις ή συνθήκες,</w:t>
      </w:r>
    </w:p>
    <w:p>
      <w:pPr>
        <w:spacing w:before="240" w:after="240"/>
        <w:rPr>
          <w:lang w:val="el" w:eastAsia="el"/>
        </w:rPr>
      </w:pPr>
      <w:r>
        <w:rPr>
          <w:lang w:val="el" w:eastAsia="el"/>
        </w:rPr>
        <w:t>γ. για προγράμματα χρηματοδοτούμενα από τον προϋπολογισμό της Ευρωπαϊκής Ένωσης, δ. για αποδόσεις προς την Ευρωπαϊκή Ένωση, ε. πάγιου χαρακτήρα για αποδοχές και συντάξεις και στ.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παραγράφου 1 του άρθρου 43 κατά το χρόνο της διάθεσης της εν λόγω πίστωσης.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προϋπολογισμού</w:t>
      </w:r>
    </w:p>
    <w:p>
      <w:pPr>
        <w:pStyle w:val="MainText"/>
        <w:spacing w:before="120" w:after="0"/>
        <w:rPr>
          <w:lang w:val="el" w:eastAsia="el"/>
        </w:rPr>
      </w:pPr>
      <w:r>
        <w:rPr>
          <w:b/>
          <w:bCs/>
          <w:lang w:val="el" w:eastAsia="el"/>
        </w:rPr>
        <w:t>1.</w:t>
      </w:r>
      <w:r>
        <w:rPr>
          <w:lang w:val="el" w:eastAsia="el"/>
        </w:rPr>
        <w:t xml:space="preserve"> Βεβαιωθέντα έσοδα του Κρατικού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 </w:t>
      </w:r>
    </w:p>
    <w:p>
      <w:pPr>
        <w:pStyle w:val="MainText"/>
        <w:spacing w:before="120" w:after="0"/>
        <w:rPr>
          <w:lang w:val="el" w:eastAsia="el"/>
        </w:rPr>
      </w:pPr>
      <w:r>
        <w:rPr>
          <w:b/>
          <w:bCs/>
          <w:lang w:val="el" w:eastAsia="el"/>
        </w:rPr>
        <w:t>2.</w:t>
      </w:r>
      <w:r>
        <w:rPr>
          <w:lang w:val="el" w:eastAsia="el"/>
        </w:rPr>
        <w:t xml:space="preserve"> Εισπραχθέντα έσοδα του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 </w:t>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προϋπολογισμού</w:t>
      </w:r>
    </w:p>
    <w:p>
      <w:pPr>
        <w:pStyle w:val="MainText"/>
        <w:spacing w:before="120" w:after="0"/>
        <w:rPr>
          <w:lang w:val="el" w:eastAsia="el"/>
        </w:rPr>
      </w:pPr>
      <w:r>
        <w:rPr>
          <w:b/>
          <w:bCs/>
          <w:lang w:val="el" w:eastAsia="el"/>
        </w:rPr>
        <w:t>1.</w:t>
      </w:r>
      <w:r>
        <w:rPr>
          <w:lang w:val="el" w:eastAsia="el"/>
        </w:rPr>
        <w:t xml:space="preserve"> Έξοδα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w:t>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Δημόσιες δαπάνες</w:t>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συγχρηματοδοτούμενου σκέλους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Για τις πληρωμές της περίπτωσης α΄ ή της περίπτωσης β΄ που πραγματοποιούνται μέσω του Κεντρικού Λογαριασμού ΕΣΠΑ, με τις πληρωμές που έχει πραγματοποιήσει η αρμόδια οικονομική υπηρεσία, με βάση τα αποδεικτικά στοιχεία πραγματοποίησης της πληρωμής.</w:t>
      </w:r>
    </w:p>
    <w:p>
      <w:pPr>
        <w:spacing w:before="240" w:after="240"/>
        <w:rPr>
          <w:lang w:val="el" w:eastAsia="el"/>
        </w:rPr>
      </w:pPr>
      <w:r>
        <w:rPr>
          <w:lang w:val="el" w:eastAsia="el"/>
        </w:rPr>
        <w:t>ββ. Για τις πληρωμές των νομικών προσώπων της περίπτωσης β΄ που πραγματοποιούνται εκτός Κεντρικού Λογαριασμού ΕΣΠΑ, με τη χρηματοδότηση των τριτοβάθμιων λογαριασμών που τηρούνται στην Τράπεζα της Ελλάδος για κάθε έργο, με αποδεικτικά την οικεία εντολή χρηματοδότησης και το αποδεικτικό εκτέλεσης της πληρωμής από την Τράπεζα της Ελλάδος.</w:t>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για χρονικό διάστημα και για τις περιπτώσεις που καθορίζονται με την υπουργική απόφαση της περίπτωσης η΄.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 διαχειριστές των έργων του ΠΔΕ ευθύνονται κατά τις διατάξεις του άρθρου 152 περί δημοσίων υπολόγων.</w:t>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επιτρέπεται η ανάληψη προκαταβολών από τον διαχειριστή έργου του ΠΔΕ βάσει διαταγής του προϊσταμένου της αρμόδιας υπηρεσιακής μονάδας.</w:t>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μόνο με εντολές πληρωμής που απευθύνονται στην ίδια τράπεζα.</w:t>
      </w:r>
    </w:p>
    <w:p>
      <w:pPr>
        <w:spacing w:before="240" w:after="240"/>
        <w:rPr>
          <w:lang w:val="el" w:eastAsia="el"/>
        </w:rPr>
      </w:pPr>
      <w:r>
        <w:rPr>
          <w:lang w:val="el" w:eastAsia="el"/>
        </w:rPr>
        <w:t>η. Με κοινή απόφαση των Υπουργών Οικονομικών και Ανάπτυξης και Ανταγωνιστικότητας,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της παρ. 7 του άρθρου 282 του ν. 3852/2010.</w:t>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Λειτουργία, λογιστικό σύστημα των Δημόσιων Οικονομικών Υπηρεσιών</w:t>
      </w:r>
    </w:p>
    <w:p>
      <w:pPr>
        <w:pStyle w:val="MainText"/>
        <w:spacing w:before="120" w:after="0"/>
        <w:rPr>
          <w:lang w:val="el" w:eastAsia="el"/>
        </w:rPr>
      </w:pPr>
      <w:r>
        <w:rPr>
          <w:b/>
          <w:bCs/>
          <w:lang w:val="el" w:eastAsia="el"/>
        </w:rPr>
        <w:t>1.</w:t>
      </w:r>
      <w:r>
        <w:rPr>
          <w:lang w:val="el" w:eastAsia="el"/>
        </w:rPr>
        <w:t xml:space="preserve"> Με την επιφύλαξη ειδικών διατάξεων με προεδρικά διατάγματα, που εκδίδονται μετά από πρόταση του Υπουργού Οικονομικών, καθορίζονται:</w:t>
      </w:r>
    </w:p>
    <w:p>
      <w:pPr>
        <w:spacing w:before="240" w:after="240"/>
        <w:rPr>
          <w:lang w:val="el" w:eastAsia="el"/>
        </w:rPr>
      </w:pPr>
      <w:r>
        <w:rPr>
          <w:lang w:val="el" w:eastAsia="el"/>
        </w:rPr>
        <w:t>α. Η διάρθρωση και οι κανόνες που διέπουν τη λειτουργία των Δ.Ο.Υ..</w:t>
      </w:r>
    </w:p>
    <w:p>
      <w:pPr>
        <w:spacing w:before="240" w:after="240"/>
        <w:rPr>
          <w:lang w:val="el" w:eastAsia="el"/>
        </w:rPr>
      </w:pPr>
      <w:r>
        <w:rPr>
          <w:lang w:val="el" w:eastAsia="el"/>
        </w:rPr>
        <w:t>β. Τα καθήκοντα και οι ευθύνες των προϊσταμένων των Δ.Ο.Υ., του προσωπικού αυτών και των υπολόγων.</w:t>
      </w:r>
    </w:p>
    <w:p>
      <w:pPr>
        <w:spacing w:before="240" w:after="240"/>
        <w:rPr>
          <w:lang w:val="el" w:eastAsia="el"/>
        </w:rPr>
      </w:pPr>
      <w:r>
        <w:rPr>
          <w:lang w:val="el" w:eastAsia="el"/>
        </w:rPr>
        <w:t>γ. Το λογιστικό σύστημα των Δ.Ο.Υ., τα τηρούμενα από αυτές λογιστικά και διαχειριστικά βιβλία και ο τρόπος τηρήσεως αυτών.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Δ.Ο.Υ. κατατίθενται στην Τράπεζα της Ελλάδος και σε λογαριασμούς που ορίζονται από τον Υπουργό Οικονομικών. Σε χρέωση των λογαριασμών αυτών πραγματοποιούνται οι αναλήψεις των χρηματικών ποσών που απαιτούνται για την πληρωμή των δημόσιων δαπανών.</w:t>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και ο χρηματικός εφοδιασμός των δημόσιων οικονομικών υπηρεσιών, στις οποίες δεν εδρεύει πράκτορας ή διαχειριστής της Τράπεζας της Ελλάδος, μπορεί να πραγματοποιείται και μέσω των Εμπορικών Τραπεζών ή πιστωτικών ιδρυμάτων.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των Δ.Ο.Υ.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απόδοσης στο Δημόσιο των εισπραττόμενων, από τους Ειδικούς Ταμίες, εσόδων.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5 του άρθρου 91 για τις δαπάνες που αναφέρονται στην παράγραφο αυτή.</w:t>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και μετατάξεων των υπαλλήλων του Δημοσίου για την ύπαρξη σχετικών προβλέψεων στον προϋπολογισμό.</w:t>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στη Γενική Διεύθυνση Θησαυροφυλακίου και Προϋπολογισμού του Υπουργείου Οικονομικών σχετικά με τις υπό πληρωμή δαπάνες.</w:t>
      </w:r>
    </w:p>
    <w:p>
      <w:pPr>
        <w:spacing w:before="240" w:after="240"/>
        <w:rPr>
          <w:lang w:val="el" w:eastAsia="el"/>
        </w:rPr>
      </w:pPr>
      <w:r>
        <w:rPr>
          <w:lang w:val="el" w:eastAsia="el"/>
        </w:rPr>
        <w:t>ζ. Εξοφλούν τα χρηματικά εντάλματα του άρθρου 92.</w:t>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τους σκοπούς του οικείου φορέα και</w:t>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ανάλογα με το ύψος ή τη φύση της δαπάνης, η ευθύνη αυτών, ο τύπος των ενταλμάτων, τα τηρούμενα βιβλία και στοιχεία, ως και κάθε άλλο σχετικό θέμα,</w:t>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τα αρμόδια για την πληρωμή όργανα ασκούν έλεγχο και ευθύνονται:</w:t>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δεύτερου παρ. ιβ΄ του ν. 3845/2010 (Α΄ 65).</w:t>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είναι ο διατάκτης και τα κατά νόμο αρμόδια όργανα που έχουν διαπιστώσει την παράνομη πληρωμή και σε κάθε περίπτωση το Ελεγκτικό Συνέδριο.</w:t>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ή στο Τελωνείο του ποσού που αναγράφεται σε αυτά και</w:t>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στα Ελληνικά Ταχυδρομεία. </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30 Νοεμβρίου κάθε έτους.</w:t>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κάθε περίπτωση καταλογισμού, το χρηματικό ένταλμα αποκαταστάσεως της πάγιας προκαταβολής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 προκειμένου περί ελλειμμάτων, σε βάρος ειδικής πίστωσης του προϋπολογισμού των εξόδων του Υπουργείου Οικονομικών. Αν απολεσθούν χρήματα ή δικαιολογητικά, το χρηματικό ένταλμα αποκαταστάσεως της πάγιας προκαταβολής εκδίδεται σε βάρος της ανωτέρω ειδικής πίστωσης του προϋπολογισμού του Υπουργείου Οικονομικών, βάσει της απαλλακτικής για τον υπόλογο πράξης του Ελεγκτικού Συνεδρίου.</w:t>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καταστάσεως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w:t>
      </w:r>
    </w:p>
    <w:p>
      <w:pPr>
        <w:spacing w:before="240" w:after="240"/>
        <w:rPr>
          <w:lang w:val="el" w:eastAsia="el"/>
        </w:rPr>
      </w:pPr>
      <w:r>
        <w:rPr>
          <w:lang w:val="el" w:eastAsia="el"/>
        </w:rPr>
        <w:t>Παρέκκλιση του κανόνα αυτού μπορεί να θεσπισθεί με κοινή απόφαση του Υπουργού Οικονομικών και του αρμόδιου Υπουργού.</w:t>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Επιθεώρηση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 - ΤΡΑΠΕΖΙΚΟΙ ΛΟΓΑΡΙΑΣΜΟΙ ΚΑΙ ΔΙΑΧΕΙΡΙΣΗ ΔΙΑΘΕΣΙΜΩΝ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και στο Ταμείο Κοινωνικής Ανάπτυξης (Τ.Κ.Α.Σ.Ε.) για δάνεια που χορηγούν σε δημόσιες επιχειρήσεις και οργανισμούς και πιστωτικά ιδρύματα και μόνο για επενδυτικούς σκοπούς,</w:t>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Σύσταση και κίνηση τραπεζικών λογαριασμών</w:t>
      </w:r>
    </w:p>
    <w:p>
      <w:pPr>
        <w:pStyle w:val="MainText"/>
        <w:spacing w:before="120" w:after="0"/>
        <w:rPr>
          <w:lang w:val="el" w:eastAsia="el"/>
        </w:rPr>
      </w:pPr>
      <w:r>
        <w:rPr>
          <w:b/>
          <w:bCs/>
          <w:lang w:val="el" w:eastAsia="el"/>
        </w:rPr>
        <w:t>1.</w:t>
      </w:r>
      <w:r>
        <w:rPr>
          <w:lang w:val="el" w:eastAsia="el"/>
        </w:rPr>
        <w:t xml:space="preserve"> Απαγορεύεται η σύσταση σε τράπεζες ή άλλα πιστωτικά ιδρύματα οποιουδήποτε λογαριασμού του Δημοσίου, χωρίς απόφαση του Υπουργού Οικονομικών και χωρίς την εμφάνιση του λογαριασμού στη δημόσια ληψοδοσία, κατά τα οριζόμενα με αποφάσεις του Υπουργού αυτού.</w:t>
      </w:r>
    </w:p>
    <w:p>
      <w:pPr>
        <w:pStyle w:val="MainText"/>
        <w:spacing w:before="120" w:after="0"/>
        <w:rPr>
          <w:lang w:val="el" w:eastAsia="el"/>
        </w:rPr>
      </w:pPr>
      <w:r>
        <w:rPr>
          <w:b/>
          <w:bCs/>
          <w:lang w:val="el" w:eastAsia="el"/>
        </w:rPr>
        <w:t>2.</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σχετικό θέμα.</w:t>
      </w:r>
    </w:p>
    <w:p>
      <w:pPr>
        <w:pStyle w:val="MainText"/>
        <w:spacing w:before="120" w:after="0"/>
        <w:rPr>
          <w:lang w:val="el" w:eastAsia="el"/>
        </w:rPr>
      </w:pPr>
      <w:r>
        <w:rPr>
          <w:b/>
          <w:bCs/>
          <w:lang w:val="el" w:eastAsia="el"/>
        </w:rPr>
        <w:t>3.</w:t>
      </w:r>
      <w:r>
        <w:rPr>
          <w:lang w:val="el" w:eastAsia="el"/>
        </w:rPr>
        <w:t xml:space="preserve"> Η διαδικασία της προηγούμενης παραγράφου δεν εφαρμόζεται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Διαχείριση διαθεσίμων του Δημοσίου</w:t>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p>
    <w:p>
      <w:pPr>
        <w:spacing w:before="240" w:after="240"/>
        <w:rPr>
          <w:lang w:val="el" w:eastAsia="el"/>
        </w:rPr>
      </w:pPr>
      <w:r>
        <w:rPr>
          <w:lang w:val="el" w:eastAsia="el"/>
        </w:rPr>
        <w:t>α. να συνιστά έντοκους λογαριασμούς σε εμπορικές τράπεζες ή άλλα πιστωτικά ιδρύματα του εσωτερικού ή του εξωτερικού για την κατάθεση αυτών,</w:t>
      </w:r>
    </w:p>
    <w:p>
      <w:pPr>
        <w:spacing w:before="240" w:after="240"/>
        <w:rPr>
          <w:lang w:val="el" w:eastAsia="el"/>
        </w:rPr>
      </w:pPr>
      <w:r>
        <w:rPr>
          <w:lang w:val="el" w:eastAsia="el"/>
        </w:rPr>
        <w:t>β. να αναθέτει τη διαχείριση αυτών, καθώς και τη διεξαγωγή των συναλλαγών του,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p>
    <w:p>
      <w:pPr>
        <w:spacing w:before="240" w:after="240"/>
        <w:rPr>
          <w:lang w:val="el" w:eastAsia="el"/>
        </w:rPr>
      </w:pPr>
      <w:r>
        <w:rPr>
          <w:lang w:val="el" w:eastAsia="el"/>
        </w:rPr>
        <w:t>Η διαχείριση των διαθεσίμων αυτών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που τηρούνται στην Τράπεζα της Ελλάδος σε συνάλλαγμα και προέρχονται από αδιάθετες χρηματοδοτήσεις της Ευρωπαϊκής Ένωσης.</w:t>
      </w:r>
    </w:p>
    <w:p>
      <w:pPr>
        <w:spacing w:before="240" w:after="240"/>
        <w:rPr>
          <w:lang w:val="el" w:eastAsia="el"/>
        </w:rPr>
      </w:pPr>
      <w:r>
        <w:rPr>
          <w:lang w:val="el" w:eastAsia="el"/>
        </w:rPr>
        <w:t>Η αξία σε ευρώ των υπολοίπων αυτών υπολογίζεται με βάση την ισοτιμία μέσης τιμής Fixing ευρώ - ξένου νομίσματος, που διαμορφώνεται κατά την ημέρα του υπολογισμού.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των προηγούμενων παραγράφων του παρόντος, καθώς και κάθε άλλο σχετικό θέμα για την εφαρμογή των διατάξεων του άρθρου αυτού.</w:t>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w:t>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pPr>
        <w:spacing w:before="240" w:after="240"/>
        <w:rPr>
          <w:lang w:val="el" w:eastAsia="el"/>
        </w:rPr>
      </w:pPr>
      <w:r>
        <w:rPr>
          <w:lang w:val="el" w:eastAsia="el"/>
        </w:rPr>
        <w:t>Κατ΄ εξαίρεση επιτρέπεται η σύναψη συμβάσεων προμήθειας προϊόντων, παροχής υπηρεσιών ή εκτέλεσης έργων με συνοπτική διαδικασία ή διαπραγμάτευση.</w:t>
      </w:r>
    </w:p>
    <w:p>
      <w:pPr>
        <w:pStyle w:val="MainText"/>
        <w:spacing w:before="120" w:after="0"/>
        <w:rPr>
          <w:lang w:val="el" w:eastAsia="el"/>
        </w:rPr>
      </w:pPr>
      <w:r>
        <w:rPr>
          <w:b/>
          <w:bCs/>
          <w:lang w:val="el" w:eastAsia="el"/>
        </w:rPr>
        <w:t>2.</w:t>
      </w:r>
      <w:r>
        <w:rPr>
          <w:lang w:val="el" w:eastAsia="el"/>
        </w:rPr>
        <w:t xml:space="preserve">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pPr>
        <w:pStyle w:val="MainText"/>
        <w:spacing w:before="120" w:after="0"/>
        <w:rPr>
          <w:lang w:val="el" w:eastAsia="el"/>
        </w:rPr>
      </w:pPr>
      <w:r>
        <w:rPr>
          <w:b/>
          <w:bCs/>
          <w:lang w:val="el" w:eastAsia="el"/>
        </w:rPr>
        <w:t>3.</w:t>
      </w:r>
      <w:r>
        <w:rPr>
          <w:lang w:val="el" w:eastAsia="el"/>
        </w:rPr>
        <w:t xml:space="preserve">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pPr>
        <w:pStyle w:val="MainText"/>
        <w:spacing w:before="120" w:after="0"/>
        <w:rPr>
          <w:lang w:val="el" w:eastAsia="el"/>
        </w:rPr>
      </w:pPr>
      <w:r>
        <w:rPr>
          <w:b/>
          <w:bCs/>
          <w:lang w:val="el" w:eastAsia="el"/>
        </w:rPr>
        <w:t>4.</w:t>
      </w:r>
      <w:r>
        <w:rPr>
          <w:lang w:val="el" w:eastAsia="el"/>
        </w:rPr>
        <w:t xml:space="preserve">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Διαγωνισμός - Εξαιρέσεις</w:t>
      </w:r>
    </w:p>
    <w:p>
      <w:pPr>
        <w:pStyle w:val="MainText"/>
        <w:spacing w:before="120" w:after="0"/>
        <w:rPr>
          <w:lang w:val="el" w:eastAsia="el"/>
        </w:rPr>
      </w:pPr>
      <w:r>
        <w:rPr>
          <w:b/>
          <w:bCs/>
          <w:lang w:val="el" w:eastAsia="el"/>
        </w:rPr>
        <w:t>1.</w:t>
      </w:r>
      <w:r>
        <w:rPr>
          <w:lang w:val="el" w:eastAsia="el"/>
        </w:rPr>
        <w:t xml:space="preserve">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pPr>
        <w:spacing w:before="240" w:after="240"/>
        <w:rPr>
          <w:lang w:val="el" w:eastAsia="el"/>
        </w:rPr>
      </w:pPr>
      <w:r>
        <w:rPr>
          <w:lang w:val="el" w:eastAsia="el"/>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pPr>
        <w:spacing w:before="240" w:after="240"/>
        <w:rPr>
          <w:lang w:val="el" w:eastAsia="el"/>
        </w:rPr>
      </w:pPr>
      <w:r>
        <w:rPr>
          <w:lang w:val="el" w:eastAsia="el"/>
        </w:rPr>
        <w:t>Άνω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pPr>
        <w:spacing w:before="240" w:after="240"/>
        <w:rPr>
          <w:lang w:val="el" w:eastAsia="el"/>
        </w:rPr>
      </w:pPr>
      <w:r>
        <w:rPr>
          <w:lang w:val="el" w:eastAsia="el"/>
        </w:rPr>
        <w:t>Με απόφαση του Υπουργού Οικονομικών τα ανωτέρω ποσά δύναται να αναπροσαρμόζονται.</w:t>
      </w:r>
    </w:p>
    <w:p>
      <w:pPr>
        <w:spacing w:before="240" w:after="240"/>
        <w:rPr>
          <w:lang w:val="el" w:eastAsia="el"/>
        </w:rPr>
      </w:pPr>
      <w:r>
        <w:rPr>
          <w:lang w:val="el" w:eastAsia="el"/>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pPr>
        <w:pStyle w:val="MainText"/>
        <w:spacing w:before="120" w:after="0"/>
        <w:rPr>
          <w:lang w:val="el" w:eastAsia="el"/>
        </w:rPr>
      </w:pPr>
      <w:r>
        <w:rPr>
          <w:b/>
          <w:bCs/>
          <w:lang w:val="el" w:eastAsia="el"/>
        </w:rPr>
        <w:t>2.</w:t>
      </w:r>
      <w:r>
        <w:rPr>
          <w:lang w:val="el" w:eastAsia="el"/>
        </w:rPr>
        <w:t xml:space="preserve"> Επιτρέπεται με έγκριση του αρμόδιου οργάνου η σύναψη σύμβασης παροχής υπηρεσιών με διαπραγμάτευση ύστερα από δημοσίευση σχετικής προκήρυξης:</w:t>
      </w:r>
    </w:p>
    <w:p>
      <w:pPr>
        <w:spacing w:before="240" w:after="240"/>
        <w:rPr>
          <w:lang w:val="el" w:eastAsia="el"/>
        </w:rPr>
      </w:pPr>
      <w:r>
        <w:rPr>
          <w:lang w:val="el" w:eastAsia="el"/>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pPr>
        <w:spacing w:before="240" w:after="240"/>
        <w:rPr>
          <w:lang w:val="el" w:eastAsia="el"/>
        </w:rPr>
      </w:pPr>
      <w:r>
        <w:rPr>
          <w:lang w:val="el" w:eastAsia="el"/>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pPr>
        <w:spacing w:before="240" w:after="240"/>
        <w:rPr>
          <w:lang w:val="el" w:eastAsia="el"/>
        </w:rPr>
      </w:pPr>
      <w:r>
        <w:rPr>
          <w:lang w:val="el" w:eastAsia="el"/>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pPr>
        <w:spacing w:before="240" w:after="240"/>
        <w:rPr>
          <w:lang w:val="el" w:eastAsia="el"/>
        </w:rPr>
      </w:pPr>
      <w:r>
        <w:rPr>
          <w:lang w:val="el" w:eastAsia="el"/>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pPr>
        <w:pStyle w:val="MainText"/>
        <w:spacing w:before="120" w:after="0"/>
        <w:rPr>
          <w:lang w:val="el" w:eastAsia="el"/>
        </w:rPr>
      </w:pPr>
      <w:r>
        <w:rPr>
          <w:b/>
          <w:bCs/>
          <w:lang w:val="el" w:eastAsia="el"/>
        </w:rPr>
        <w:t>3.</w:t>
      </w:r>
      <w:r>
        <w:rPr>
          <w:lang w:val="el" w:eastAsia="el"/>
        </w:rPr>
        <w:t xml:space="preserve"> Επιτρέπεται με έγκριση του αρμόδιου οργάνου η σύναψη σύμβασης παροχής υπηρεσιών με διαπραγμάτευση χωρίς δημοσίευση σχετικής προκήρυξης:</w:t>
      </w:r>
    </w:p>
    <w:p>
      <w:pPr>
        <w:spacing w:before="240" w:after="240"/>
        <w:rPr>
          <w:lang w:val="el" w:eastAsia="el"/>
        </w:rPr>
      </w:pPr>
      <w:r>
        <w:rPr>
          <w:lang w:val="el" w:eastAsia="el"/>
        </w:rPr>
        <w:t>α. στην περίπτωση που δεν έχει υποβληθεί καμιά προσφορά ή καμία κατάλληλη προσφορά σε διαγωνισμό ανοικτό ή κλειστό,</w:t>
      </w:r>
    </w:p>
    <w:p>
      <w:pPr>
        <w:spacing w:before="240" w:after="240"/>
        <w:rPr>
          <w:lang w:val="el" w:eastAsia="el"/>
        </w:rPr>
      </w:pPr>
      <w:r>
        <w:rPr>
          <w:lang w:val="el" w:eastAsia="el"/>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pPr>
        <w:spacing w:before="240" w:after="240"/>
        <w:rPr>
          <w:lang w:val="el" w:eastAsia="el"/>
        </w:rPr>
      </w:pPr>
      <w:r>
        <w:rPr>
          <w:lang w:val="el" w:eastAsia="el"/>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pPr>
        <w:spacing w:before="240" w:after="240"/>
        <w:rPr>
          <w:lang w:val="el" w:eastAsia="el"/>
        </w:rPr>
      </w:pPr>
      <w:r>
        <w:rPr>
          <w:lang w:val="el" w:eastAsia="el"/>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pPr>
        <w:spacing w:before="240" w:after="240"/>
        <w:rPr>
          <w:lang w:val="el" w:eastAsia="el"/>
        </w:rPr>
      </w:pPr>
      <w:r>
        <w:rPr>
          <w:lang w:val="el" w:eastAsia="el"/>
        </w:rPr>
        <w:t>ε. στην περίπτωση συμπληρωματικών υπηρεσιών που δεν περιλαμβάνονται στην πρώτη σύμβαση, αναγκαίων 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pPr>
        <w:spacing w:before="240" w:after="240"/>
        <w:rPr>
          <w:lang w:val="el" w:eastAsia="el"/>
        </w:rPr>
      </w:pPr>
      <w:r>
        <w:rPr>
          <w:lang w:val="el" w:eastAsia="el"/>
        </w:rPr>
        <w:t>Οι συμπληρωματικές αυτές υπηρεσίες δεν μπορούν να υπερβαίνουν το πενήντα τοις εκατό (50%) της αξίας της κύριας σύμβασης.</w:t>
      </w:r>
    </w:p>
    <w:p>
      <w:pPr>
        <w:spacing w:before="240" w:after="240"/>
        <w:rPr>
          <w:lang w:val="el" w:eastAsia="el"/>
        </w:rPr>
      </w:pPr>
      <w:r>
        <w:rPr>
          <w:lang w:val="el" w:eastAsia="el"/>
        </w:rPr>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ανάλογα και για τη σύναψη συμβάσεων προμηθειών ή έργων, σε συνδυασμό με τις ειδικές γι΄ αυτές ισχύουσες διατάξεις.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Προκαταβολές του Δημοσίου</w:t>
      </w:r>
    </w:p>
    <w:p>
      <w:pPr>
        <w:spacing w:before="240" w:after="240"/>
        <w:rPr>
          <w:lang w:val="el" w:eastAsia="el"/>
        </w:rPr>
      </w:pPr>
      <w:r>
        <w:rPr>
          <w:lang w:val="el" w:eastAsia="el"/>
        </w:rPr>
        <w:t>Επιτρέπεται η χορήγηση προκαταβολής με την υπογραφή της σύμβασης προμήθειας προϊόντων, παροχής υπηρεσιών ή εκτέλεσης έργων, εφόσον προβλέπεται απ’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pPr>
        <w:spacing w:before="240" w:after="240"/>
        <w:rPr>
          <w:lang w:val="el" w:eastAsia="el"/>
        </w:rPr>
      </w:pPr>
      <w:r>
        <w:rPr>
          <w:lang w:val="el" w:eastAsia="el"/>
        </w:rPr>
        <w:t>Με απόφαση του Υπουργού Οικονομικών καθορίζεται το ύψος του επιτοκίου.</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Πρωθυπουργού και του Υπουργού Οικονομικών, δύνανται να συνιστώνται στο Γενικό Λογιστήριο του Κράτους, Υ.Δ.Ε. για τον έλεγχο, την εκκαθάριση και την εντολή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που εποπτεύονται από αυτό, πλην Ο.Τ.Α., δύνανται να συνάπτονται μνημόνια συνεργασίας, με την εφαρμογή των διατάξεων της παραγράφου 1 του άρθρου 70, ως προς το υποχρεωτικό, κατ΄ ελάχιστον, περιεχόμενό τους.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 </w:t>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των οποίων ο προϋπολογισμός υπερβαίνει συγκεκριμένο ποσό που καθορίζεται με απόφαση του Υπουργού</w:t>
      </w:r>
    </w:p>
    <w:p>
      <w:pPr>
        <w:spacing w:before="240" w:after="240"/>
        <w:rPr>
          <w:lang w:val="el" w:eastAsia="el"/>
        </w:rPr>
      </w:pPr>
      <w:r>
        <w:rPr>
          <w:lang w:val="el" w:eastAsia="el"/>
        </w:rPr>
        <w:t>Οικονομικών και δύναται να αναπροσαρμόζεται κατ΄ έτος, υποβάλλουν, μέχρι την 31η Ιανουαρίου κάθε έτους, πρόγραμμα εκτέλεσης του προϋπολογισμού τους στον προϊστάμενο οικονομικών υπηρεσιών του εποπτεύοντος Υπουργείου, ο οποίος το διαβιβάζει στο Γενικό Λογιστήριο του Κράτους, κατ΄ εφαρμογή των διατάξεων της παραγράφου 2 του άρθρου 70.</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εξειδικεύονται τα στοιχεία που υποβάλλονται από τους φορείς και να καθορίζεται κάθε άλλο σχετικό θέμα σχετικά με τη διαδικασία παρακολούθησης της εκτέλεσης των προϋπολογισμών που έχουν εγκριθεί.</w:t>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Παρακολούθηση, αναθεώρηση προϋπολογισμών του Κεφαλαίου Α΄ του ν. 3429/2005</w:t>
      </w:r>
    </w:p>
    <w:p>
      <w:pPr>
        <w:pStyle w:val="MainText"/>
        <w:spacing w:before="120" w:after="0"/>
        <w:rPr>
          <w:lang w:val="el" w:eastAsia="el"/>
        </w:rPr>
      </w:pPr>
      <w:r>
        <w:rPr>
          <w:b/>
          <w:bCs/>
          <w:lang w:val="el" w:eastAsia="el"/>
        </w:rPr>
        <w:t>1.</w:t>
      </w:r>
      <w:r>
        <w:rPr>
          <w:lang w:val="el" w:eastAsia="el"/>
        </w:rPr>
        <w:t xml:space="preserve"> Οι Δ.Ε.Κ.Ο. και τα Ν.Π.Ι.Δ. του Κεφαλαίου Α΄ του ν. 3429/2005 (Α΄ 314) υποβάλλουν στις αρμόδιες Διευθύνσεις του Γενικού Λογιστηρίου τους Κράτους τους ετήσιους προϋπολογισμούς τους, οι οποίοι πρέπει να είναι σύμφωνοι με τους δημοσιονομικούς στόχους του Μεσοπρόθεσμου Πλαισίου Δημοσιονομικής Στρατηγικής, όπως τροποποιείται και ισχύει κάθε φορά, καθώς και τους τριμηνιαίους στόχους για τις βασικές κατηγορίες εσόδων και εξόδων. Πέραν των οριζομένων στο άρθρο 7 του ν. 3429/2005 , εντός ενός μηνός από την ημερομηνία ψήφισης του Κρατικού Προϋπολογισμού, οι ετήσιοι προϋπολογισμοί των ως άνω φορέων εξειδικεύονται σε μηνιαία και τριμηνιαία βάση από την αρμόδια Διεύθυνση του Γενικού Λογιστηρίου τους Κράτους, σε συνεργασία με τις διοικήσεις των φορέων, και κοινοποιούνται στις αρμόδιες υπηρεσίες των Υπουργείων που ασκούν εποπτεία και του Γενικού Λογιστηρίου του Κράτους.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 Η εκτέλεση των ετήσιων εγκεκριμένων προϋπολογισμών των προαναφερόμενων φορέων παρακολουθείται σε μηνιαία και τριμηνιαία βάση από τις αρμόδιες διευθύνσεις του Γενικού Λογιστηρίου τους Κράτους.</w:t>
      </w:r>
    </w:p>
    <w:p>
      <w:pPr>
        <w:pStyle w:val="MainText"/>
        <w:spacing w:before="120" w:after="0"/>
        <w:rPr>
          <w:lang w:val="el" w:eastAsia="el"/>
        </w:rPr>
      </w:pPr>
      <w:r>
        <w:rPr>
          <w:b/>
          <w:bCs/>
          <w:lang w:val="el" w:eastAsia="el"/>
        </w:rPr>
        <w:t>2.</w:t>
      </w:r>
      <w:r>
        <w:rPr>
          <w:lang w:val="el" w:eastAsia="el"/>
        </w:rPr>
        <w:t xml:space="preserve"> Ως προς τις προϋποθέσεις και τη διαδικασία αναθεώρησης των προϋπολογισμών των φορέων του κεφαλαίου Α΄ του ν. 3429/2005 εφαρμόζονται οι διατάξεις της παραγράφου 4 του άρθρου 3 του ν. 4111/2013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εξειδικεύονται οι λεπτομέρειες σχετικά με τη διαδικασία παρακολούθησης της εκτέλεσης των προϋπολογισμών που έχουν ήδη εγκριθεί, τα στοιχεία που υποβάλλονται από τους φορείς και κάθε άλλο σχετικό θέμα για την εφαρμογή της παρούσας παραγράφου.</w:t>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Γενικής Κυβέρνησης με ομοιόμορφο τρόπο, η αληθής και ορθή απεικόνιση της οικονομικής καταστάσεως και της περιουσιακής διάρθρωσης της Γενικής Κυβέρνησης, η ορθή εκτίμηση της πιστοληπτικής ικανότητάς της, η διευκόλυνση των συναλλασσομένων με αυτή, η άντληση αξιόπιστων πληροφοριών κάθε φύσης για αξιοποίηση, τόσο από τις διάφορες υπηρεσίες όσο και από τους διεθνείς οργανισμούς, η απλούστευση και διευκόλυνση των κάθε μορφής ελέγχων, η αύξηση της παραγωγικότητας και η σύνδεση αυτού με το Γενικό Λογιστικό Σχέδιο του ιδιωτικού τομέα.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αρχές του Λογιστικού Σχεδίου της Γενικής Κυβέρνησης και το περιεχόμενό του. Με το ίδιο προεδρικό διάταγμα καθορίζονται, μέσα στα πλαίσια του Γενικού Λογιστικού Σχεδιασμού της Γενικής Κυβέρνησης, οι επιμέρους λογαριασμοί, τα τηρούμενα βιβλία και ο τρόπος τήρησης αυτών και κάθε άλλο σχετικό θέμα. </w:t>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καθορίζεται κάθε σχετικό θέμα για την εφαρμογή της παρούσας παραγράφου.</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σε ταμειακή βάση,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τα άρθρα 147 και 148.</w:t>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Για τις ανάγκες της λογιστικής καταγραφής και παρακολούθησης του συνόλου των χρηματοοικονομικών συναλλαγών της Κεντρικής Διοίκησης, ως λογαριασμοί του Δημοσίου νοούνται οι λογαριασμοί του Λογιστικού Σχεδίου της Κεντρικής Διοίκησης που εισάγεται με το εκδιδόμενο με τις διατάξεις του παρόντος άρθρου προεδρικό διάταγμα. Με απόφαση του Υπουργού των Οικονομικών:</w:t>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αρμόδιο προϊστάμενο οικονομικών υπηρεσιών ή τον προϊστάμενο οικονομικών υπηρεσιών του εποπτεύοντος Υπουργείου, ότι φορέας της Γενικής Κυβέρνησης:</w:t>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στον Υπουργό Οικονομικών προς έγκριση ένα σχέδιο δράσεων που να αποκαθιστά τις υπερβάσεις, παραβιάσεις ή αποκλίσεις.</w:t>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της Γενικής Κυβέρνησης, τα οποία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w:t>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w:t>
      </w:r>
      <w:r>
        <w:rPr>
          <w:lang w:val="el" w:eastAsia="el"/>
        </w:rPr>
        <w:softHyphen/>
        <w:t xml:space="preserve">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w:t>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εμφανίζουν στα μηνιαία στοιχεία εκτέλεσης των προϋπολογισμών τους αρνητικές αποκλίσεις μεγαλύτερες του 10% σε σχέση με την εξειδίκευση των προϋπολογισμών σε τριμηνιαία βάση, που γίνεται σύμφωνα με τα οριζόμενα στην παράγραφο 1 του άρθρου 148, ισχύουν και τα εξής:</w:t>
      </w:r>
    </w:p>
    <w:p>
      <w:pPr>
        <w:spacing w:before="240" w:after="240"/>
        <w:rPr>
          <w:lang w:val="el" w:eastAsia="el"/>
        </w:rPr>
      </w:pPr>
      <w:r>
        <w:rPr>
          <w:lang w:val="el" w:eastAsia="el"/>
        </w:rPr>
        <w:t>α. για τα Ν.Π.Ι.Δ. και ΔΕΚΟ που είναι Φορείς Γενικής Κυβέρνησης μειώνεται ισόποσα και το εγκεκριμένο ποσό ακαθάριστου δανεισμού από την αρμόδια Διεύθυνση του Γενικού Λογιστηρίου του Κράτους, η οποία υποχρεούται να ενημερώσει σχετικά την 25η Διεύθυνση του Γενικού Λογιστηρίου του Κράτους, αρμόδια για τις εγγυήσεις του Ελληνικού Δημοσίου. Εάν, βάσει των τριμηνιαίων απολογιστικών στοιχείων, ο προϋπολογισμός εξισορ</w:t>
      </w:r>
      <w:r>
        <w:rPr>
          <w:lang w:val="el" w:eastAsia="el"/>
        </w:rPr>
        <w:softHyphen/>
        <w:t>ροπηθεί και αντισταθμιστούν οι αρνητικές αποκλίσεις, τότε το ύψος της επιχορήγησης του Κρατικού Προϋπολογισμού και το εγκεκριμένο ποσό ακαθάριστου δανεισμού για το εν λόγω διάστημα αναπροσαρμόζονται στα αρχικά εγκεκριμένα όρια και τυχόν ποσά που έχουν παρακρατηθεί από την εγκεκριμένη επιχορήγηση, αποδίδονται στον φορέα με την επόμενη μηνιαία δόση,</w:t>
      </w:r>
    </w:p>
    <w:p>
      <w:pPr>
        <w:spacing w:before="240" w:after="240"/>
        <w:rPr>
          <w:lang w:val="el" w:eastAsia="el"/>
        </w:rPr>
      </w:pPr>
      <w:r>
        <w:rPr>
          <w:lang w:val="el" w:eastAsia="el"/>
        </w:rPr>
        <w:t>β. για τα Ν.Π.Ι.Δ. και ΔΕΚΟ που δεν είναι φορείς Γενικής Κυβέρνησης και λαμβάνουν επιχορηγήσεις ή ενίσχυση οποιασδήποτε μορφής από τον Κρατικό Προϋπολογισμό, η παρακολούθηση της εκτέλεσης του προϋπολογισμού ακολουθεί τις διατάξεις της προηγούμενης περίπτωσης της παρούσας παραγράφου,</w:t>
      </w:r>
    </w:p>
    <w:p>
      <w:pPr>
        <w:spacing w:before="240" w:after="240"/>
        <w:rPr>
          <w:lang w:val="el" w:eastAsia="el"/>
        </w:rPr>
      </w:pPr>
      <w:r>
        <w:rPr>
          <w:lang w:val="el" w:eastAsia="el"/>
        </w:rPr>
        <w:t>γ. για τα Ν.Π.Ι.Δ. και ΔΕΚΟ που δεν είναι φορείς Γενικής Κυβέρνησης και δεν λαμβάνουν επιχορήγηση ή ενίσχυση οποιασδήποτε μορφής από τον Κρατικό Προϋπολογισμό, σε περίπτωση τριμηνιαίας αρνητικής απόκλισης στα οικονομικά αποτελέσματα προ φόρων, τόκων και προβλέψεων, η αρμόδια Διεύθυνση του Γενικού Λογιστηρίου του Κράτους μειώνει ισόποσα το εγκεκριμένο ποσό δανειοδότησης, ενημερώνοντας σχετικά την 25η Διεύθυνση του Γενικού Λογιστηρίου του Κράτους. Εάν, βάσει των τριμηνιαίων απολογιστικών στοιχείων ο προϋπολογισμός εξισορροπηθεί και αντισταθμιστούν οι αρνητικές αποκλίσεις, το εγκεκριμένο ποσό ακαθάριστου δανεισμού αποκαθίσταται σε εκείνο που είχε αρχικά εγκριθεί για το αναφερόμενο διάστημα.</w:t>
      </w:r>
    </w:p>
    <w:p>
      <w:pPr>
        <w:pStyle w:val="MainText"/>
        <w:spacing w:before="120" w:after="0"/>
        <w:rPr>
          <w:lang w:val="el" w:eastAsia="el"/>
        </w:rPr>
      </w:pPr>
      <w:r>
        <w:rPr>
          <w:b/>
          <w:bCs/>
          <w:lang w:val="el" w:eastAsia="el"/>
        </w:rPr>
        <w:t>2.</w:t>
      </w:r>
      <w:r>
        <w:rPr>
          <w:lang w:val="el" w:eastAsia="el"/>
        </w:rPr>
        <w:t xml:space="preserve"> Εφόσον διαπιστωθεί αρνητική απόκλιση από τους τριμηνιαίους στόχους στα οικονομικά αποτελέσματα προ επιχορηγήσεων, φόρων, τόκων και προβλέψεων σε ποσοστό μεγαλύτερο από 10% σε σχέση με τα προϋπολογισθέντα, σε φορέα της προηγούμενης παραγράφου, η καταβολή των αμοιβών των μελών του Διοικητικού Συμβουλίου αναστέλλεται έως την εξισορρόπηση του αρχικά εγκεκριμένου προϋπολογισμού και την αντιστάθμιση τυχόν αρνητικών αποκλίσεων. Εάν και τα ετήσια οικονομικά αποτελέσματα προ επιχορηγήσεων, φόρων, τόκων και προβλέψεων αποκλίνουν σε ποσοστό μεγαλύτερο του 10%, τότε η θητεία των εκτελεστικών μελών του Διοικητικού Συμβουλίου του συγκεκριμένου φορέα λήγει αυτοδίκαια εντός ενός μηνός από τη διαπίστωση της εν λόγω απόκλισης.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εξειδικεύεται κάθε άλλο σχετικό θέμα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 πλην της παρ. 7 του άρθρου 3 , πλην των παραγράφων 4 και 6, των παραγράφων 4, 5 και 6 του άρθρου 4 , καθώς και του άρθρου 5 του ν. 4111/2013 .</w:t>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8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4334/2015,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4334/2015,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Αφαίρεση 4334/2015,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4334/2015,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8" w:history="1">
        <w:r>
          <w:rPr>
            <w:rStyle w:val="Hyperlink"/>
            <w:color w:val="0000EE"/>
            <w:u w:color="0000EE"/>
            <w:lang w:val="el" w:eastAsia="el"/>
          </w:rPr>
          <w:t>Τροποποίηση 4316/2014, Άρθρο 78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8" w:history="1">
        <w:r>
          <w:rPr>
            <w:rStyle w:val="Hyperlink"/>
            <w:color w:val="0000EE"/>
            <w:u w:color="0000EE"/>
            <w:lang w:val="el" w:eastAsia="el"/>
          </w:rPr>
          <w:t>Τροποποίηση 4316/2014, Άρθρο 78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8" w:history="1">
        <w:r>
          <w:rPr>
            <w:rStyle w:val="Hyperlink"/>
            <w:color w:val="0000EE"/>
            <w:u w:color="0000EE"/>
            <w:lang w:val="el" w:eastAsia="el"/>
          </w:rPr>
          <w:t>Προσθήκη 4316/2014, Άρθρο 78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75" w:history="1">
        <w:r>
          <w:rPr>
            <w:rStyle w:val="Hyperlink"/>
            <w:color w:val="0000EE"/>
            <w:u w:color="0000EE"/>
            <w:lang w:val="el" w:eastAsia="el"/>
          </w:rPr>
          <w:t>Τροποποίηση 4316/2014, Άρθρο 75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5" w:history="1">
        <w:r>
          <w:rPr>
            <w:rStyle w:val="Hyperlink"/>
            <w:color w:val="0000EE"/>
            <w:u w:color="0000EE"/>
            <w:lang w:val="el" w:eastAsia="el"/>
          </w:rPr>
          <w:t>Τροποποίηση 4316/2014, Άρθρο 75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75" w:history="1">
        <w:r>
          <w:rPr>
            <w:rStyle w:val="Hyperlink"/>
            <w:color w:val="0000EE"/>
            <w:u w:color="0000EE"/>
            <w:lang w:val="el" w:eastAsia="el"/>
          </w:rPr>
          <w:t>Τροποποίηση 4316/2014, Άρθρο 75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5" w:history="1">
        <w:r>
          <w:rPr>
            <w:rStyle w:val="Hyperlink"/>
            <w:color w:val="0000EE"/>
            <w:u w:color="0000EE"/>
            <w:lang w:val="el" w:eastAsia="el"/>
          </w:rPr>
          <w:t>Τροποποίηση 4316/2014, Άρθρο 75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75" w:history="1">
        <w:r>
          <w:rPr>
            <w:rStyle w:val="Hyperlink"/>
            <w:color w:val="0000EE"/>
            <w:u w:color="0000EE"/>
            <w:lang w:val="el" w:eastAsia="el"/>
          </w:rPr>
          <w:t>Τροποποίηση 4316/2014, Άρθρο 75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5" w:history="1">
        <w:r>
          <w:rPr>
            <w:rStyle w:val="Hyperlink"/>
            <w:color w:val="0000EE"/>
            <w:u w:color="0000EE"/>
            <w:lang w:val="el" w:eastAsia="el"/>
          </w:rPr>
          <w:t>Τροποποίηση 4316/2014, Άρθρο 75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75" w:history="1">
        <w:r>
          <w:rPr>
            <w:rStyle w:val="Hyperlink"/>
            <w:color w:val="0000EE"/>
            <w:u w:color="0000EE"/>
            <w:lang w:val="el" w:eastAsia="el"/>
          </w:rPr>
          <w:t>Τροποποίηση 4316/2014, Άρθρο 75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75" w:history="1">
        <w:r>
          <w:rPr>
            <w:rStyle w:val="Hyperlink"/>
            <w:color w:val="0000EE"/>
            <w:u w:color="0000EE"/>
            <w:lang w:val="el" w:eastAsia="el"/>
          </w:rPr>
          <w:t>Τροποποίηση 4316/2014, Άρθρο 75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5" w:history="1">
        <w:r>
          <w:rPr>
            <w:rStyle w:val="Hyperlink"/>
            <w:color w:val="0000EE"/>
            <w:u w:color="0000EE"/>
            <w:lang w:val="el" w:eastAsia="el"/>
          </w:rPr>
          <w:t>Τροποποίηση 4316/2014, Άρθρο 75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5" w:history="1">
        <w:r>
          <w:rPr>
            <w:rStyle w:val="Hyperlink"/>
            <w:color w:val="0000EE"/>
            <w:u w:color="0000EE"/>
            <w:lang w:val="el" w:eastAsia="el"/>
          </w:rPr>
          <w:t>Τροποποίηση 4316/2014, Άρθρο 75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75" w:history="1">
        <w:r>
          <w:rPr>
            <w:rStyle w:val="Hyperlink"/>
            <w:color w:val="0000EE"/>
            <w:u w:color="0000EE"/>
            <w:lang w:val="el" w:eastAsia="el"/>
          </w:rPr>
          <w:t>Τροποποίηση 4316/2014, Άρθρο 75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5" w:history="1">
        <w:r>
          <w:rPr>
            <w:rStyle w:val="Hyperlink"/>
            <w:color w:val="0000EE"/>
            <w:u w:color="0000EE"/>
            <w:lang w:val="el" w:eastAsia="el"/>
          </w:rPr>
          <w:t>Τροποποίηση 4316/2014, Άρθρο 75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5" w:history="1">
        <w:r>
          <w:rPr>
            <w:rStyle w:val="Hyperlink"/>
            <w:color w:val="0000EE"/>
            <w:u w:color="0000EE"/>
            <w:lang w:val="el" w:eastAsia="el"/>
          </w:rPr>
          <w:t>Τροποποίηση 4316/2014, Άρθρο 75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5" w:history="1">
        <w:r>
          <w:rPr>
            <w:rStyle w:val="Hyperlink"/>
            <w:color w:val="0000EE"/>
            <w:u w:color="0000EE"/>
            <w:lang w:val="el" w:eastAsia="el"/>
          </w:rPr>
          <w:t>Τροποποίηση 4316/2014, Άρθρο 75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75" w:history="1">
        <w:r>
          <w:rPr>
            <w:rStyle w:val="Hyperlink"/>
            <w:color w:val="0000EE"/>
            <w:u w:color="0000EE"/>
            <w:lang w:val="el" w:eastAsia="el"/>
          </w:rPr>
          <w:t>Τροποποίηση 4316/2014, Άρθρο 75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5" w:history="1">
        <w:r>
          <w:rPr>
            <w:rStyle w:val="Hyperlink"/>
            <w:color w:val="0000EE"/>
            <w:u w:color="0000EE"/>
            <w:lang w:val="el" w:eastAsia="el"/>
          </w:rPr>
          <w:t>Τροποποίηση 4316/2014, Άρθρο 75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5" w:history="1">
        <w:r>
          <w:rPr>
            <w:rStyle w:val="Hyperlink"/>
            <w:color w:val="0000EE"/>
            <w:u w:color="0000EE"/>
            <w:lang w:val="el" w:eastAsia="el"/>
          </w:rPr>
          <w:t>Τροποποίηση 4316/2014, Άρθρο 75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5" w:history="1">
        <w:r>
          <w:rPr>
            <w:rStyle w:val="Hyperlink"/>
            <w:color w:val="0000EE"/>
            <w:u w:color="0000EE"/>
            <w:lang w:val="el" w:eastAsia="el"/>
          </w:rPr>
          <w:t>Τροποποίηση 4316/2014, Άρθρο 75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5" w:history="1">
        <w:r>
          <w:rPr>
            <w:rStyle w:val="Hyperlink"/>
            <w:color w:val="0000EE"/>
            <w:u w:color="0000EE"/>
            <w:lang w:val="el" w:eastAsia="el"/>
          </w:rPr>
          <w:t>Τροποποίηση 4316/2014, Άρθρο 75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5" w:history="1">
        <w:r>
          <w:rPr>
            <w:rStyle w:val="Hyperlink"/>
            <w:color w:val="0000EE"/>
            <w:u w:color="0000EE"/>
            <w:lang w:val="el" w:eastAsia="el"/>
          </w:rPr>
          <w:t>Τροποποίηση 4316/2014, Άρθρο 75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75" w:history="1">
        <w:r>
          <w:rPr>
            <w:rStyle w:val="Hyperlink"/>
            <w:color w:val="0000EE"/>
            <w:u w:color="0000EE"/>
            <w:lang w:val="el" w:eastAsia="el"/>
          </w:rPr>
          <w:t>Τροποποίηση 4316/2014, Άρθρο 75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4316/2014, Άρθρο 76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6" w:history="1">
        <w:r>
          <w:rPr>
            <w:rStyle w:val="Hyperlink"/>
            <w:color w:val="0000EE"/>
            <w:u w:color="0000EE"/>
            <w:lang w:val="el" w:eastAsia="el"/>
          </w:rPr>
          <w:t>Προσθήκη 4316/2014, Άρθρο 76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6" w:history="1">
        <w:r>
          <w:rPr>
            <w:rStyle w:val="Hyperlink"/>
            <w:color w:val="0000EE"/>
            <w:u w:color="0000EE"/>
            <w:lang w:val="el" w:eastAsia="el"/>
          </w:rPr>
          <w:t>Προσθήκη 4316/2014, Άρθρο 76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6" w:history="1">
        <w:r>
          <w:rPr>
            <w:rStyle w:val="Hyperlink"/>
            <w:color w:val="0000EE"/>
            <w:u w:color="0000EE"/>
            <w:lang w:val="el" w:eastAsia="el"/>
          </w:rPr>
          <w:t>Προσθήκη 4316/2014, Άρθρο 76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6" w:history="1">
        <w:r>
          <w:rPr>
            <w:rStyle w:val="Hyperlink"/>
            <w:color w:val="0000EE"/>
            <w:u w:color="0000EE"/>
            <w:lang w:val="el" w:eastAsia="el"/>
          </w:rPr>
          <w:t>Προσθήκη 4316/2014, Άρθρο 76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6" w:history="1">
        <w:r>
          <w:rPr>
            <w:rStyle w:val="Hyperlink"/>
            <w:color w:val="0000EE"/>
            <w:u w:color="0000EE"/>
            <w:lang w:val="el" w:eastAsia="el"/>
          </w:rPr>
          <w:t>Προσθήκη 4316/2014, Άρθρο 76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76" w:history="1">
        <w:r>
          <w:rPr>
            <w:rStyle w:val="Hyperlink"/>
            <w:color w:val="0000EE"/>
            <w:u w:color="0000EE"/>
            <w:lang w:val="el" w:eastAsia="el"/>
          </w:rPr>
          <w:t>Προσθήκη 4316/2014, Άρθρο 76</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76" w:history="1">
        <w:r>
          <w:rPr>
            <w:rStyle w:val="Hyperlink"/>
            <w:color w:val="0000EE"/>
            <w:u w:color="0000EE"/>
            <w:lang w:val="el" w:eastAsia="el"/>
          </w:rPr>
          <w:t>Προσθήκη 4316/2014, Άρθρο 76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4316/2014, Άρθρο 76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6" w:history="1">
        <w:r>
          <w:rPr>
            <w:rStyle w:val="Hyperlink"/>
            <w:color w:val="0000EE"/>
            <w:u w:color="0000EE"/>
            <w:lang w:val="el" w:eastAsia="el"/>
          </w:rPr>
          <w:t>Προσθήκη 4316/2014, Άρθρο 76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6" w:history="1">
        <w:r>
          <w:rPr>
            <w:rStyle w:val="Hyperlink"/>
            <w:color w:val="0000EE"/>
            <w:u w:color="0000EE"/>
            <w:lang w:val="el" w:eastAsia="el"/>
          </w:rPr>
          <w:t>Προσθήκη 4316/2014, Άρθρο 76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6" w:history="1">
        <w:r>
          <w:rPr>
            <w:rStyle w:val="Hyperlink"/>
            <w:color w:val="0000EE"/>
            <w:u w:color="0000EE"/>
            <w:lang w:val="el" w:eastAsia="el"/>
          </w:rPr>
          <w:t>Προσθήκη 4316/2014, Άρθρο 76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6" w:history="1">
        <w:r>
          <w:rPr>
            <w:rStyle w:val="Hyperlink"/>
            <w:color w:val="0000EE"/>
            <w:u w:color="0000EE"/>
            <w:lang w:val="el" w:eastAsia="el"/>
          </w:rPr>
          <w:t>Προσθήκη 4316/2014, Άρθρο 76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6" w:history="1">
        <w:r>
          <w:rPr>
            <w:rStyle w:val="Hyperlink"/>
            <w:color w:val="0000EE"/>
            <w:u w:color="0000EE"/>
            <w:lang w:val="el" w:eastAsia="el"/>
          </w:rPr>
          <w:t>Προσθήκη 4316/2014, Άρθρο 76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6" w:history="1">
        <w:r>
          <w:rPr>
            <w:rStyle w:val="Hyperlink"/>
            <w:color w:val="0000EE"/>
            <w:u w:color="0000EE"/>
            <w:lang w:val="el" w:eastAsia="el"/>
          </w:rPr>
          <w:t>Προσθήκη 4316/2014, Άρθρο 76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6" w:history="1">
        <w:r>
          <w:rPr>
            <w:rStyle w:val="Hyperlink"/>
            <w:color w:val="0000EE"/>
            <w:u w:color="0000EE"/>
            <w:lang w:val="el" w:eastAsia="el"/>
          </w:rPr>
          <w:t>Προσθήκη 4316/2014, Άρθρο 76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6" w:history="1">
        <w:r>
          <w:rPr>
            <w:rStyle w:val="Hyperlink"/>
            <w:color w:val="0000EE"/>
            <w:u w:color="0000EE"/>
            <w:lang w:val="el" w:eastAsia="el"/>
          </w:rPr>
          <w:t>Προσθήκη 4316/2014, Άρθρο 76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6" w:history="1">
        <w:r>
          <w:rPr>
            <w:rStyle w:val="Hyperlink"/>
            <w:color w:val="0000EE"/>
            <w:u w:color="0000EE"/>
            <w:lang w:val="el" w:eastAsia="el"/>
          </w:rPr>
          <w:t>Προσθήκη 4316/2014, Άρθρο 76</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6" w:history="1">
        <w:r>
          <w:rPr>
            <w:rStyle w:val="Hyperlink"/>
            <w:color w:val="0000EE"/>
            <w:u w:color="0000EE"/>
            <w:lang w:val="el" w:eastAsia="el"/>
          </w:rPr>
          <w:t>Προσθήκη 4316/2014, Άρθρο 76</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6" w:history="1">
        <w:r>
          <w:rPr>
            <w:rStyle w:val="Hyperlink"/>
            <w:color w:val="0000EE"/>
            <w:u w:color="0000EE"/>
            <w:lang w:val="el" w:eastAsia="el"/>
          </w:rPr>
          <w:t>Προσθήκη 4316/2014, Άρθρο 76</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6" w:history="1">
        <w:r>
          <w:rPr>
            <w:rStyle w:val="Hyperlink"/>
            <w:color w:val="0000EE"/>
            <w:u w:color="0000EE"/>
            <w:lang w:val="el" w:eastAsia="el"/>
          </w:rPr>
          <w:t>Προσθήκη 4316/2014, Άρθρο 76</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6" w:history="1">
        <w:r>
          <w:rPr>
            <w:rStyle w:val="Hyperlink"/>
            <w:color w:val="0000EE"/>
            <w:u w:color="0000EE"/>
            <w:lang w:val="el" w:eastAsia="el"/>
          </w:rPr>
          <w:t>Προσθήκη 4316/2014, Άρθρο 76</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6" w:history="1">
        <w:r>
          <w:rPr>
            <w:rStyle w:val="Hyperlink"/>
            <w:color w:val="0000EE"/>
            <w:u w:color="0000EE"/>
            <w:lang w:val="el" w:eastAsia="el"/>
          </w:rPr>
          <w:t>Προσθήκη 4316/2014, Άρθρο 76</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6" w:history="1">
        <w:r>
          <w:rPr>
            <w:rStyle w:val="Hyperlink"/>
            <w:color w:val="0000EE"/>
            <w:u w:color="0000EE"/>
            <w:lang w:val="el" w:eastAsia="el"/>
          </w:rPr>
          <w:t>Προσθήκη 4316/2014, Άρθρο 76</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6" w:history="1">
        <w:r>
          <w:rPr>
            <w:rStyle w:val="Hyperlink"/>
            <w:color w:val="0000EE"/>
            <w:u w:color="0000EE"/>
            <w:lang w:val="el" w:eastAsia="el"/>
          </w:rPr>
          <w:t>Προσθήκη 4316/2014, Άρθρο 76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76" w:history="1">
        <w:r>
          <w:rPr>
            <w:rStyle w:val="Hyperlink"/>
            <w:color w:val="0000EE"/>
            <w:u w:color="0000EE"/>
            <w:lang w:val="el" w:eastAsia="el"/>
          </w:rPr>
          <w:t>Προσθήκη 4316/2014, Άρθρο 76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77" w:history="1">
        <w:r>
          <w:rPr>
            <w:rStyle w:val="Hyperlink"/>
            <w:color w:val="0000EE"/>
            <w:u w:color="0000EE"/>
            <w:lang w:val="el" w:eastAsia="el"/>
          </w:rPr>
          <w:t>Προσθήκη 4316/2014, Άρθρο 77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7" w:history="1">
        <w:r>
          <w:rPr>
            <w:rStyle w:val="Hyperlink"/>
            <w:color w:val="0000EE"/>
            <w:u w:color="0000EE"/>
            <w:lang w:val="el" w:eastAsia="el"/>
          </w:rPr>
          <w:t>Προσθήκη 4316/2014, Άρθρο 77</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6" w:history="1">
        <w:r>
          <w:rPr>
            <w:rStyle w:val="Hyperlink"/>
            <w:color w:val="0000EE"/>
            <w:u w:color="0000EE"/>
            <w:lang w:val="el" w:eastAsia="el"/>
          </w:rPr>
          <w:t>Τροποποίηση 4307/2014, Άρθρο 86</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6" w:history="1">
        <w:r>
          <w:rPr>
            <w:rStyle w:val="Hyperlink"/>
            <w:color w:val="0000EE"/>
            <w:u w:color="0000EE"/>
            <w:lang w:val="el" w:eastAsia="el"/>
          </w:rPr>
          <w:t>Τροποποίηση 4307/2014, Άρθρο 86</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86" w:history="1">
        <w:r>
          <w:rPr>
            <w:rStyle w:val="Hyperlink"/>
            <w:color w:val="0000EE"/>
            <w:u w:color="0000EE"/>
            <w:lang w:val="el" w:eastAsia="el"/>
          </w:rPr>
          <w:t>Τροποποίηση 4307/2014, Άρθρο 86</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6" w:history="1">
        <w:r>
          <w:rPr>
            <w:rStyle w:val="Hyperlink"/>
            <w:color w:val="0000EE"/>
            <w:u w:color="0000EE"/>
            <w:lang w:val="el" w:eastAsia="el"/>
          </w:rPr>
          <w:t>Τροποποίηση 4307/2014, Άρθρο 86</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6" w:history="1">
        <w:r>
          <w:rPr>
            <w:rStyle w:val="Hyperlink"/>
            <w:color w:val="0000EE"/>
            <w:u w:color="0000EE"/>
            <w:lang w:val="el" w:eastAsia="el"/>
          </w:rPr>
          <w:t>Προσθήκη 4307/2014, Άρθρο 86</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86" w:history="1">
        <w:r>
          <w:rPr>
            <w:rStyle w:val="Hyperlink"/>
            <w:color w:val="0000EE"/>
            <w:u w:color="0000EE"/>
            <w:lang w:val="el" w:eastAsia="el"/>
          </w:rPr>
          <w:t>Προσθήκη 4307/2014, Άρθρο 86</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6" w:history="1">
        <w:r>
          <w:rPr>
            <w:rStyle w:val="Hyperlink"/>
            <w:color w:val="0000EE"/>
            <w:u w:color="0000EE"/>
            <w:lang w:val="el" w:eastAsia="el"/>
          </w:rPr>
          <w:t>Προσθήκη 4307/2014, Άρθρο 86</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6" w:history="1">
        <w:r>
          <w:rPr>
            <w:rStyle w:val="Hyperlink"/>
            <w:color w:val="0000EE"/>
            <w:u w:color="0000EE"/>
            <w:lang w:val="el" w:eastAsia="el"/>
          </w:rPr>
          <w:t>Προσθήκη 4307/2014, Άρθρο 86</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6" w:history="1">
        <w:r>
          <w:rPr>
            <w:rStyle w:val="Hyperlink"/>
            <w:color w:val="0000EE"/>
            <w:u w:color="0000EE"/>
            <w:lang w:val="el" w:eastAsia="el"/>
          </w:rPr>
          <w:t>Προσθήκη 4307/2014, Άρθρο 86</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6" w:history="1">
        <w:r>
          <w:rPr>
            <w:rStyle w:val="Hyperlink"/>
            <w:color w:val="0000EE"/>
            <w:u w:color="0000EE"/>
            <w:lang w:val="el" w:eastAsia="el"/>
          </w:rPr>
          <w:t>Προσθήκη 4307/2014, Άρθρο 86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6" w:history="1">
        <w:r>
          <w:rPr>
            <w:rStyle w:val="Hyperlink"/>
            <w:color w:val="0000EE"/>
            <w:u w:color="0000EE"/>
            <w:lang w:val="el" w:eastAsia="el"/>
          </w:rPr>
          <w:t>Προσθήκη 4307/2014, Άρθρο 86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86" w:history="1">
        <w:r>
          <w:rPr>
            <w:rStyle w:val="Hyperlink"/>
            <w:color w:val="0000EE"/>
            <w:u w:color="0000EE"/>
            <w:lang w:val="el" w:eastAsia="el"/>
          </w:rPr>
          <w:t>Προσθήκη 4307/2014, Άρθρο 86</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86" w:history="1">
        <w:r>
          <w:rPr>
            <w:rStyle w:val="Hyperlink"/>
            <w:color w:val="0000EE"/>
            <w:u w:color="0000EE"/>
            <w:lang w:val="el" w:eastAsia="el"/>
          </w:rPr>
          <w:t>Προσθήκη 4307/2014, Άρθρο 86</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86" w:history="1">
        <w:r>
          <w:rPr>
            <w:rStyle w:val="Hyperlink"/>
            <w:color w:val="0000EE"/>
            <w:u w:color="0000EE"/>
            <w:lang w:val="el" w:eastAsia="el"/>
          </w:rPr>
          <w:t>Προσθήκη 4307/2014, Άρθρο 86</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86" w:history="1">
        <w:r>
          <w:rPr>
            <w:rStyle w:val="Hyperlink"/>
            <w:color w:val="0000EE"/>
            <w:u w:color="0000EE"/>
            <w:lang w:val="el" w:eastAsia="el"/>
          </w:rPr>
          <w:t>Προσθήκη 4307/2014, Άρθρο 86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86" w:history="1">
        <w:r>
          <w:rPr>
            <w:rStyle w:val="Hyperlink"/>
            <w:color w:val="0000EE"/>
            <w:u w:color="0000EE"/>
            <w:lang w:val="el" w:eastAsia="el"/>
          </w:rPr>
          <w:t>Προσθήκη 4307/2014, Άρθρο 86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86" w:history="1">
        <w:r>
          <w:rPr>
            <w:rStyle w:val="Hyperlink"/>
            <w:color w:val="0000EE"/>
            <w:u w:color="0000EE"/>
            <w:lang w:val="el" w:eastAsia="el"/>
          </w:rPr>
          <w:t>Προσθήκη 4307/2014, Άρθρο 86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86" w:history="1">
        <w:r>
          <w:rPr>
            <w:rStyle w:val="Hyperlink"/>
            <w:color w:val="0000EE"/>
            <w:u w:color="0000EE"/>
            <w:lang w:val="el" w:eastAsia="el"/>
          </w:rPr>
          <w:t>Προσθήκη 4307/2014, Άρθρο 86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86" w:history="1">
        <w:r>
          <w:rPr>
            <w:rStyle w:val="Hyperlink"/>
            <w:color w:val="0000EE"/>
            <w:u w:color="0000EE"/>
            <w:lang w:val="el" w:eastAsia="el"/>
          </w:rPr>
          <w:t>Προσθήκη 4307/2014, Άρθρο 86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86" w:history="1">
        <w:r>
          <w:rPr>
            <w:rStyle w:val="Hyperlink"/>
            <w:color w:val="0000EE"/>
            <w:u w:color="0000EE"/>
            <w:lang w:val="el" w:eastAsia="el"/>
          </w:rPr>
          <w:t>Προσθήκη 4307/2014, Άρθρο 86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86" w:history="1">
        <w:r>
          <w:rPr>
            <w:rStyle w:val="Hyperlink"/>
            <w:color w:val="0000EE"/>
            <w:u w:color="0000EE"/>
            <w:lang w:val="el" w:eastAsia="el"/>
          </w:rPr>
          <w:t>Προσθήκη 4307/2014, Άρθρο 86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86" w:history="1">
        <w:r>
          <w:rPr>
            <w:rStyle w:val="Hyperlink"/>
            <w:color w:val="0000EE"/>
            <w:u w:color="0000EE"/>
            <w:lang w:val="el" w:eastAsia="el"/>
          </w:rPr>
          <w:t>Προσθήκη 4307/2014, Άρθρο 86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86" w:history="1">
        <w:r>
          <w:rPr>
            <w:rStyle w:val="Hyperlink"/>
            <w:color w:val="0000EE"/>
            <w:u w:color="0000EE"/>
            <w:lang w:val="el" w:eastAsia="el"/>
          </w:rPr>
          <w:t>Προσθήκη 4307/2014, Άρθρο 86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86" w:history="1">
        <w:r>
          <w:rPr>
            <w:rStyle w:val="Hyperlink"/>
            <w:color w:val="0000EE"/>
            <w:u w:color="0000EE"/>
            <w:lang w:val="el" w:eastAsia="el"/>
          </w:rPr>
          <w:t>Προσθήκη 4307/2014, Άρθρο 86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86" w:history="1">
        <w:r>
          <w:rPr>
            <w:rStyle w:val="Hyperlink"/>
            <w:color w:val="0000EE"/>
            <w:u w:color="0000EE"/>
            <w:lang w:val="el" w:eastAsia="el"/>
          </w:rPr>
          <w:t>Προσθήκη 4307/2014, Άρθρο 86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86" w:history="1">
        <w:r>
          <w:rPr>
            <w:rStyle w:val="Hyperlink"/>
            <w:color w:val="0000EE"/>
            <w:u w:color="0000EE"/>
            <w:lang w:val="el" w:eastAsia="el"/>
          </w:rPr>
          <w:t>Προσθήκη 4307/2014, Άρθρο 86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86" w:history="1">
        <w:r>
          <w:rPr>
            <w:rStyle w:val="Hyperlink"/>
            <w:color w:val="0000EE"/>
            <w:u w:color="0000EE"/>
            <w:lang w:val="el" w:eastAsia="el"/>
          </w:rPr>
          <w:t>Προσθήκη 4307/2014, Άρθρο 86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86" w:history="1">
        <w:r>
          <w:rPr>
            <w:rStyle w:val="Hyperlink"/>
            <w:color w:val="0000EE"/>
            <w:u w:color="0000EE"/>
            <w:lang w:val="el" w:eastAsia="el"/>
          </w:rPr>
          <w:t>Προσθήκη 4307/2014, Άρθρο 86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86" w:history="1">
        <w:r>
          <w:rPr>
            <w:rStyle w:val="Hyperlink"/>
            <w:color w:val="0000EE"/>
            <w:u w:color="0000EE"/>
            <w:lang w:val="el" w:eastAsia="el"/>
          </w:rPr>
          <w:t>Προσθήκη 4307/2014, Άρθρο 86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86" w:history="1">
        <w:r>
          <w:rPr>
            <w:rStyle w:val="Hyperlink"/>
            <w:color w:val="0000EE"/>
            <w:u w:color="0000EE"/>
            <w:lang w:val="el" w:eastAsia="el"/>
          </w:rPr>
          <w:t>Προσθήκη 4307/2014, Άρθρο 86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6" w:history="1">
        <w:r>
          <w:rPr>
            <w:rStyle w:val="Hyperlink"/>
            <w:color w:val="0000EE"/>
            <w:u w:color="0000EE"/>
            <w:lang w:val="el" w:eastAsia="el"/>
          </w:rPr>
          <w:t>Προσθήκη 4307/2014, Άρθρο 86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86" w:history="1">
        <w:r>
          <w:rPr>
            <w:rStyle w:val="Hyperlink"/>
            <w:color w:val="0000EE"/>
            <w:u w:color="0000EE"/>
            <w:lang w:val="el" w:eastAsia="el"/>
          </w:rPr>
          <w:t>Προσθήκη 4307/2014, Άρθρο 86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86" w:history="1">
        <w:r>
          <w:rPr>
            <w:rStyle w:val="Hyperlink"/>
            <w:color w:val="0000EE"/>
            <w:u w:color="0000EE"/>
            <w:lang w:val="el" w:eastAsia="el"/>
          </w:rPr>
          <w:t>Προσθήκη 4307/2014, Άρθρο 86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86" w:history="1">
        <w:r>
          <w:rPr>
            <w:rStyle w:val="Hyperlink"/>
            <w:color w:val="0000EE"/>
            <w:u w:color="0000EE"/>
            <w:lang w:val="el" w:eastAsia="el"/>
          </w:rPr>
          <w:t>Προσθήκη 4307/2014, Άρθρο 86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86" w:history="1">
        <w:r>
          <w:rPr>
            <w:rStyle w:val="Hyperlink"/>
            <w:color w:val="0000EE"/>
            <w:u w:color="0000EE"/>
            <w:lang w:val="el" w:eastAsia="el"/>
          </w:rPr>
          <w:t>Προσθήκη 4307/2014, Άρθρο 86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6" w:history="1">
        <w:r>
          <w:rPr>
            <w:rStyle w:val="Hyperlink"/>
            <w:color w:val="0000EE"/>
            <w:u w:color="0000EE"/>
            <w:lang w:val="el" w:eastAsia="el"/>
          </w:rPr>
          <w:t>Προσθήκη 4307/2014, Άρθρο 86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6" w:history="1">
        <w:r>
          <w:rPr>
            <w:rStyle w:val="Hyperlink"/>
            <w:color w:val="0000EE"/>
            <w:u w:color="0000EE"/>
            <w:lang w:val="el" w:eastAsia="el"/>
          </w:rPr>
          <w:t>Προσθήκη 4307/2014, Άρθρο 86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6" w:history="1">
        <w:r>
          <w:rPr>
            <w:rStyle w:val="Hyperlink"/>
            <w:color w:val="0000EE"/>
            <w:u w:color="0000EE"/>
            <w:lang w:val="el" w:eastAsia="el"/>
          </w:rPr>
          <w:t>Προσθήκη 4307/2014, Άρθρο 86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6" w:history="1">
        <w:r>
          <w:rPr>
            <w:rStyle w:val="Hyperlink"/>
            <w:color w:val="0000EE"/>
            <w:u w:color="0000EE"/>
            <w:lang w:val="el" w:eastAsia="el"/>
          </w:rPr>
          <w:t>Προσθήκη 4307/2014, Άρθρο 86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86" w:history="1">
        <w:r>
          <w:rPr>
            <w:rStyle w:val="Hyperlink"/>
            <w:color w:val="0000EE"/>
            <w:u w:color="0000EE"/>
            <w:lang w:val="el" w:eastAsia="el"/>
          </w:rPr>
          <w:t>Προσθήκη 4307/2014, Άρθρο 86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6" w:history="1">
        <w:r>
          <w:rPr>
            <w:rStyle w:val="Hyperlink"/>
            <w:color w:val="0000EE"/>
            <w:u w:color="0000EE"/>
            <w:lang w:val="el" w:eastAsia="el"/>
          </w:rPr>
          <w:t>Προσθήκη 4307/2014, Άρθρο 86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7/16/4334" TargetMode="External" /><Relationship Id="rId10" Type="http://schemas.openxmlformats.org/officeDocument/2006/relationships/hyperlink" Target="http://data.aade.gr/eli/pri/law/2014/12/24/4316"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12/24/4316" TargetMode="External" /><Relationship Id="rId13" Type="http://schemas.openxmlformats.org/officeDocument/2006/relationships/hyperlink" Target="http://data.aade.gr/eli/pri/law/2014/12/24/4316" TargetMode="External" /><Relationship Id="rId14" Type="http://schemas.openxmlformats.org/officeDocument/2006/relationships/hyperlink" Target="http://data.aade.gr/eli/pri/law/2014/12/24/4316" TargetMode="External" /><Relationship Id="rId15" Type="http://schemas.openxmlformats.org/officeDocument/2006/relationships/hyperlink" Target="http://data.aade.gr/eli/pri/law/2014/12/24/4316" TargetMode="External" /><Relationship Id="rId16" Type="http://schemas.openxmlformats.org/officeDocument/2006/relationships/hyperlink" Target="http://data.aade.gr/eli/pri/law/2014/12/24/4316" TargetMode="External" /><Relationship Id="rId17" Type="http://schemas.openxmlformats.org/officeDocument/2006/relationships/hyperlink" Target="http://data.aade.gr/eli/pri/law/2014/12/24/4316" TargetMode="External" /><Relationship Id="rId18" Type="http://schemas.openxmlformats.org/officeDocument/2006/relationships/hyperlink" Target="http://data.aade.gr/eli/pri/law/2014/12/24/4316" TargetMode="External" /><Relationship Id="rId19" Type="http://schemas.openxmlformats.org/officeDocument/2006/relationships/hyperlink" Target="http://data.aade.gr/eli/pri/law/2014/12/24/4316" TargetMode="External" /><Relationship Id="rId2" Type="http://schemas.openxmlformats.org/officeDocument/2006/relationships/hyperlink" Target="http://data.aade.gr/eli/pri/law/2015/07/16/4334" TargetMode="External" /><Relationship Id="rId20" Type="http://schemas.openxmlformats.org/officeDocument/2006/relationships/hyperlink" Target="http://data.aade.gr/eli/pri/law/2014/12/24/4316" TargetMode="External" /><Relationship Id="rId21" Type="http://schemas.openxmlformats.org/officeDocument/2006/relationships/hyperlink" Target="http://data.aade.gr/eli/pri/law/2014/12/24/4316" TargetMode="External" /><Relationship Id="rId22" Type="http://schemas.openxmlformats.org/officeDocument/2006/relationships/hyperlink" Target="http://data.aade.gr/eli/pri/law/2014/12/24/4316" TargetMode="External" /><Relationship Id="rId23" Type="http://schemas.openxmlformats.org/officeDocument/2006/relationships/hyperlink" Target="http://data.aade.gr/eli/pri/law/2014/12/24/4316" TargetMode="External" /><Relationship Id="rId24" Type="http://schemas.openxmlformats.org/officeDocument/2006/relationships/hyperlink" Target="http://data.aade.gr/eli/pri/law/2014/12/24/4316" TargetMode="External" /><Relationship Id="rId25" Type="http://schemas.openxmlformats.org/officeDocument/2006/relationships/hyperlink" Target="http://data.aade.gr/eli/pri/law/2014/12/24/4316" TargetMode="External" /><Relationship Id="rId26" Type="http://schemas.openxmlformats.org/officeDocument/2006/relationships/hyperlink" Target="http://data.aade.gr/eli/pri/law/2014/12/24/4316" TargetMode="External" /><Relationship Id="rId27" Type="http://schemas.openxmlformats.org/officeDocument/2006/relationships/hyperlink" Target="http://data.aade.gr/eli/pri/law/2014/12/24/4316"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5/07/16/4334" TargetMode="External" /><Relationship Id="rId30" Type="http://schemas.openxmlformats.org/officeDocument/2006/relationships/hyperlink" Target="http://data.aade.gr/eli/pri/law/2014/12/24/4316" TargetMode="External" /><Relationship Id="rId31" Type="http://schemas.openxmlformats.org/officeDocument/2006/relationships/hyperlink" Target="http://data.aade.gr/eli/pri/law/2014/12/24/4316"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4/12/24/4316" TargetMode="External" /><Relationship Id="rId37" Type="http://schemas.openxmlformats.org/officeDocument/2006/relationships/hyperlink" Target="http://data.aade.gr/eli/pri/law/2014/12/24/4316" TargetMode="External" /><Relationship Id="rId38" Type="http://schemas.openxmlformats.org/officeDocument/2006/relationships/hyperlink" Target="http://data.aade.gr/eli/pri/law/2014/12/24/4316" TargetMode="External" /><Relationship Id="rId39" Type="http://schemas.openxmlformats.org/officeDocument/2006/relationships/hyperlink" Target="http://data.aade.gr/eli/pri/law/2014/12/24/4316" TargetMode="External" /><Relationship Id="rId4" Type="http://schemas.openxmlformats.org/officeDocument/2006/relationships/hyperlink" Target="http://data.aade.gr/eli/pri/law/2015/07/16/4334" TargetMode="External" /><Relationship Id="rId40" Type="http://schemas.openxmlformats.org/officeDocument/2006/relationships/hyperlink" Target="http://data.aade.gr/eli/pri/law/2014/12/24/4316"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4/12/24/4316"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4/12/24/4316"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4/12/24/4316"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4/11/15/4307" TargetMode="External" /><Relationship Id="rId58" Type="http://schemas.openxmlformats.org/officeDocument/2006/relationships/hyperlink" Target="http://data.aade.gr/eli/pri/law/2014/11/15/4307" TargetMode="External" /><Relationship Id="rId59" Type="http://schemas.openxmlformats.org/officeDocument/2006/relationships/hyperlink" Target="http://data.aade.gr/eli/pri/law/2014/11/15/4307" TargetMode="External" /><Relationship Id="rId6" Type="http://schemas.openxmlformats.org/officeDocument/2006/relationships/hyperlink" Target="http://data.aade.gr/eli/pri/law/2014/12/24/4316" TargetMode="External" /><Relationship Id="rId60" Type="http://schemas.openxmlformats.org/officeDocument/2006/relationships/hyperlink" Target="http://data.aade.gr/eli/pri/law/2014/11/15/4307" TargetMode="External" /><Relationship Id="rId61" Type="http://schemas.openxmlformats.org/officeDocument/2006/relationships/hyperlink" Target="http://data.aade.gr/eli/pri/law/2014/11/15/4307" TargetMode="External" /><Relationship Id="rId62" Type="http://schemas.openxmlformats.org/officeDocument/2006/relationships/hyperlink" Target="http://data.aade.gr/eli/pri/law/2014/11/15/4307" TargetMode="External" /><Relationship Id="rId63" Type="http://schemas.openxmlformats.org/officeDocument/2006/relationships/hyperlink" Target="http://data.aade.gr/eli/pri/law/2014/11/15/4307" TargetMode="External" /><Relationship Id="rId64" Type="http://schemas.openxmlformats.org/officeDocument/2006/relationships/hyperlink" Target="http://data.aade.gr/eli/pri/law/2014/11/15/4307" TargetMode="External" /><Relationship Id="rId65" Type="http://schemas.openxmlformats.org/officeDocument/2006/relationships/hyperlink" Target="http://data.aade.gr/eli/pri/law/2014/11/15/4307" TargetMode="External" /><Relationship Id="rId66" Type="http://schemas.openxmlformats.org/officeDocument/2006/relationships/hyperlink" Target="http://data.aade.gr/eli/pri/law/2014/11/15/4307" TargetMode="External" /><Relationship Id="rId67" Type="http://schemas.openxmlformats.org/officeDocument/2006/relationships/hyperlink" Target="http://data.aade.gr/eli/pri/law/2014/11/15/4307" TargetMode="External" /><Relationship Id="rId68" Type="http://schemas.openxmlformats.org/officeDocument/2006/relationships/hyperlink" Target="http://data.aade.gr/eli/pri/law/2014/11/15/4307" TargetMode="External" /><Relationship Id="rId69" Type="http://schemas.openxmlformats.org/officeDocument/2006/relationships/hyperlink" Target="http://data.aade.gr/eli/pri/law/2014/11/15/4307" TargetMode="External" /><Relationship Id="rId7" Type="http://schemas.openxmlformats.org/officeDocument/2006/relationships/hyperlink" Target="http://data.aade.gr/eli/pri/law/2014/12/24/4316" TargetMode="External" /><Relationship Id="rId70" Type="http://schemas.openxmlformats.org/officeDocument/2006/relationships/hyperlink" Target="http://data.aade.gr/eli/pri/law/2014/11/15/4307" TargetMode="External" /><Relationship Id="rId71" Type="http://schemas.openxmlformats.org/officeDocument/2006/relationships/hyperlink" Target="http://data.aade.gr/eli/pri/law/2014/11/15/4307" TargetMode="External" /><Relationship Id="rId72" Type="http://schemas.openxmlformats.org/officeDocument/2006/relationships/hyperlink" Target="http://data.aade.gr/eli/pri/law/2014/11/15/4307" TargetMode="External" /><Relationship Id="rId73" Type="http://schemas.openxmlformats.org/officeDocument/2006/relationships/hyperlink" Target="http://data.aade.gr/eli/pri/law/2014/11/15/4307" TargetMode="External" /><Relationship Id="rId74" Type="http://schemas.openxmlformats.org/officeDocument/2006/relationships/hyperlink" Target="http://data.aade.gr/eli/pri/law/2014/11/15/4307" TargetMode="External" /><Relationship Id="rId75" Type="http://schemas.openxmlformats.org/officeDocument/2006/relationships/hyperlink" Target="http://data.aade.gr/eli/pri/law/2014/11/15/4307" TargetMode="External" /><Relationship Id="rId76" Type="http://schemas.openxmlformats.org/officeDocument/2006/relationships/hyperlink" Target="http://data.aade.gr/eli/pri/law/2014/11/15/4307" TargetMode="External" /><Relationship Id="rId77" Type="http://schemas.openxmlformats.org/officeDocument/2006/relationships/hyperlink" Target="http://data.aade.gr/eli/pri/law/2014/11/15/4307" TargetMode="External" /><Relationship Id="rId78" Type="http://schemas.openxmlformats.org/officeDocument/2006/relationships/hyperlink" Target="http://data.aade.gr/eli/pri/law/2014/11/15/4307" TargetMode="External" /><Relationship Id="rId79" Type="http://schemas.openxmlformats.org/officeDocument/2006/relationships/hyperlink" Target="http://data.aade.gr/eli/pri/law/2014/11/15/4307" TargetMode="External" /><Relationship Id="rId8" Type="http://schemas.openxmlformats.org/officeDocument/2006/relationships/hyperlink" Target="http://data.aade.gr/eli/pri/law/2014/12/24/4316" TargetMode="External" /><Relationship Id="rId80" Type="http://schemas.openxmlformats.org/officeDocument/2006/relationships/hyperlink" Target="http://data.aade.gr/eli/pri/law/2014/11/15/4307" TargetMode="External" /><Relationship Id="rId81" Type="http://schemas.openxmlformats.org/officeDocument/2006/relationships/hyperlink" Target="http://data.aade.gr/eli/pri/law/2014/11/15/4307" TargetMode="External" /><Relationship Id="rId82" Type="http://schemas.openxmlformats.org/officeDocument/2006/relationships/hyperlink" Target="http://data.aade.gr/eli/pri/law/2014/11/15/4307" TargetMode="External" /><Relationship Id="rId83" Type="http://schemas.openxmlformats.org/officeDocument/2006/relationships/hyperlink" Target="http://data.aade.gr/eli/pri/law/2014/11/15/4307" TargetMode="External" /><Relationship Id="rId84" Type="http://schemas.openxmlformats.org/officeDocument/2006/relationships/hyperlink" Target="http://data.aade.gr/eli/pri/law/2014/11/15/4307" TargetMode="External" /><Relationship Id="rId85" Type="http://schemas.openxmlformats.org/officeDocument/2006/relationships/hyperlink" Target="http://data.aade.gr/eli/pri/law/2014/11/15/4307" TargetMode="External" /><Relationship Id="rId86" Type="http://schemas.openxmlformats.org/officeDocument/2006/relationships/hyperlink" Target="http://data.aade.gr/eli/pri/law/2014/11/15/4307" TargetMode="External" /><Relationship Id="rId87" Type="http://schemas.openxmlformats.org/officeDocument/2006/relationships/hyperlink" Target="http://data.aade.gr/eli/pri/law/2014/11/15/4307" TargetMode="External" /><Relationship Id="rId88" Type="http://schemas.openxmlformats.org/officeDocument/2006/relationships/hyperlink" Target="http://data.aade.gr/eli/pri/law/2014/11/15/4307" TargetMode="External" /><Relationship Id="rId89" Type="http://schemas.openxmlformats.org/officeDocument/2006/relationships/hyperlink" Target="http://data.aade.gr/eli/pri/law/2014/11/15/4307" TargetMode="External" /><Relationship Id="rId9" Type="http://schemas.openxmlformats.org/officeDocument/2006/relationships/hyperlink" Target="http://data.aade.gr/eli/pri/law/2014/12/24/4316" TargetMode="External" /><Relationship Id="rId90" Type="http://schemas.openxmlformats.org/officeDocument/2006/relationships/hyperlink" Target="http://data.aade.gr/eli/pri/law/2014/11/15/4307" TargetMode="External" /><Relationship Id="rId91" Type="http://schemas.openxmlformats.org/officeDocument/2006/relationships/hyperlink" Target="http://data.aade.gr/eli/pri/law/2014/11/15/4307" TargetMode="External" /><Relationship Id="rId92" Type="http://schemas.openxmlformats.org/officeDocument/2006/relationships/hyperlink" Target="http://data.aade.gr/eli/pri/law/2014/11/15/4307" TargetMode="External" /><Relationship Id="rId93" Type="http://schemas.openxmlformats.org/officeDocument/2006/relationships/hyperlink" Target="http://data.aade.gr/eli/pri/law/2014/11/15/4307" TargetMode="External" /><Relationship Id="rId94" Type="http://schemas.openxmlformats.org/officeDocument/2006/relationships/hyperlink" Target="http://data.aade.gr/eli/pri/law/2014/11/15/4307" TargetMode="External" /><Relationship Id="rId95" Type="http://schemas.openxmlformats.org/officeDocument/2006/relationships/hyperlink" Target="http://data.aade.gr/eli/pri/law/2014/11/15/4307" TargetMode="External" /><Relationship Id="rId96" Type="http://schemas.openxmlformats.org/officeDocument/2006/relationships/hyperlink" Target="http://data.aade.gr/eli/pri/law/2014/11/15/4307" TargetMode="External" /><Relationship Id="rId97" Type="http://schemas.openxmlformats.org/officeDocument/2006/relationships/hyperlink" Target="http://data.aade.gr/eli/pri/law/2014/11/15/4307" TargetMode="External" /><Relationship Id="rId98" Type="http://schemas.openxmlformats.org/officeDocument/2006/relationships/hyperlink" Target="http://data.aade.gr/eli/pri/law/2014/11/15/43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