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4314/2014</w:t>
      </w:r>
    </w:p>
    <w:p>
      <w:pPr>
        <w:pStyle w:val="PreambelText"/>
        <w:spacing w:before="240" w:after="240"/>
        <w:rPr>
          <w:lang w:val="el" w:eastAsia="el"/>
        </w:rPr>
      </w:pPr>
      <w:r>
        <w:rPr>
          <w:lang w:val="el" w:eastAsia="el"/>
        </w:rPr>
        <w:t>ΝΟΜΟΣ ΥΠ’ ΑΡΙΘΜ. 4314</w:t>
      </w:r>
    </w:p>
    <w:p>
      <w:pPr>
        <w:pStyle w:val="PreambelText"/>
        <w:spacing w:before="240" w:after="240"/>
        <w:rPr>
          <w:lang w:val="el" w:eastAsia="el"/>
        </w:rPr>
      </w:pPr>
      <w:r>
        <w:rPr>
          <w:lang w:val="el" w:eastAsia="el"/>
        </w:rPr>
        <w:t>(ΦΕΚ Α' 265/23-12-2014)</w:t>
      </w:r>
    </w:p>
    <w:p>
      <w:pPr>
        <w:pStyle w:val="PreambelText"/>
        <w:spacing w:before="240" w:after="240"/>
        <w:rPr>
          <w:lang w:val="el" w:eastAsia="el"/>
        </w:rPr>
      </w:pPr>
      <w:r>
        <w:rPr>
          <w:lang w:val="el" w:eastAsia="el"/>
        </w:rPr>
        <w:t>Α. Για τη διαχείριση, τον έλεγχο και την εφαρμογή αναπτυξιακών παρεμβάσεων για την προγραμματική περίοδο 2014-2020</w:t>
      </w:r>
    </w:p>
    <w:p>
      <w:pPr>
        <w:pStyle w:val="PreambelText"/>
        <w:spacing w:before="240" w:after="240"/>
        <w:rPr>
          <w:lang w:val="el" w:eastAsia="el"/>
        </w:rPr>
      </w:pPr>
      <w:r>
        <w:rPr>
          <w:lang w:val="el" w:eastAsia="el"/>
        </w:rPr>
        <w:t>Β. Ενσωμάτωση της Οδηγίας 2012/17 του Ευρωπαϊκού Κοινοβουλίου και του Συμβουλίου της 13ης Ιουνίου 2012 (ΕΕ L 156/16.6.2012) στο ελληνικό δίκαιο, τροποποίηση του ν. 3419/2005 (Α 297)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Πληρωμές στους δικαιούχους</w:t>
      </w:r>
    </w:p>
    <w:p>
      <w:pPr>
        <w:pStyle w:val="MainText"/>
        <w:spacing w:before="120" w:after="0"/>
        <w:rPr>
          <w:lang w:val="el" w:eastAsia="el"/>
        </w:rPr>
      </w:pPr>
      <w:r>
        <w:rPr>
          <w:b/>
          <w:bCs/>
          <w:lang w:val="el" w:eastAsia="el"/>
        </w:rPr>
        <w:t>1.</w:t>
      </w:r>
      <w:r>
        <w:rPr>
          <w:lang w:val="el" w:eastAsia="el"/>
        </w:rPr>
        <w:t xml:space="preserve"> α) Οι προκαταβολές και οι ενδιάμεσες πληρωμές των δικαιούχων για την υλοποίηση των πράξεων που συγχρηματοδοτούνται από τα Επιχειρησιακά Προγράμματα του ΕΣΠΑ, το Επιχειρησιακό Πρόγραμμα Αλιείας και Θάλασσας και το Πρόγραμμα Αγροτικής Ανάπτυξης, δεν κατάσχονται, δεν υπόκεινται σε κανενός είδους παρακράτηση και δεν συμψηφίζονται με τυχόν οφειλές του δικαιούχου προς το Ελληνικό Δημόσιο ή τα ασφαλιστικά ταμεία. Στην περίπτωση αυτή παραμένουν σε ισχύ οι γενικές διατάξεις περί φορολογικής και ασφαλιστικής ενημερότητας για είσπραξη χρημάτων, χωρίς όμως τον όρο της παρακράτησης. Οι τελικές πληρωμές των ανωτέρω δικαιούχων, μετά την ολοκλήρωση του έργου, δύνανται να κατάσχονται, να υπόκεινται σε παρακράτηση και να συμψηφίζονται, με τυχόν οφειλές του δικαιούχου προς το Ελληνικό Δημόσιο ή τα ασφαλιστικά ταμεία και καταβάλλονται με την υποχρεωτική προσκόμιση αποδεικτικών φορολογικής και ασφαλιστικής ενημερότητας. Το συνολικό ποσό που κατάσχεται, παρακρατείται ή συμψηφίζεται σύμφωνα με το προηγούμενο εδάφιο δεν μπορεί να υπερβαίνει το 30% του ποσού της τελικής πληρωμής. Ο διατάκτης της πληρωμής κατά την έκδοση της απόφασης έγκρισης πληρωμής ορίζει ρητά ότι η ενίσχυση αυτή εμπίπτει στις ρυθμίσεις του παρόντος άρθρου και αν η πληρωμή αφορά προκαταβολή, ενδιάμεση ή τελική πληρωμή. Απαλλάσσονται από την υποχρέωση προσκόμισης, κατά την πληρωμή, αποδεικτικού φορολογικής και ασφαλιστικής ενημερότητας οι δικαιούχοι:</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αα)</w:t>
      </w:r>
      <w:r>
        <w:rPr>
          <w:lang w:val="en" w:eastAsia="en"/>
        </w:rPr>
        <w:tab/>
      </w:r>
      <w:r>
        <w:rPr>
          <w:lang w:val="el" w:eastAsia="el"/>
        </w:rPr>
        <w:t>άμεσων ενισχύσεων στους οποίους οι ενισχύσεις καταβάλλονται βάσει έκτασης, ζώων ή παραγωγής και ειδικών μέτρων στήριξης του Ευρωπαϊκού Γεωργικού Ταμείου Εγγυήσεων (ΕΓΤΕ) που χορηγούνται εν όλω από την Ευρωπαϊκή Ένωση,</w:t>
      </w:r>
    </w:p>
    <w:p>
      <w:pPr>
        <w:pStyle w:val="StructureList1"/>
        <w:spacing w:before="120" w:after="0"/>
        <w:rPr>
          <w:lang w:val="el" w:eastAsia="el"/>
        </w:rPr>
      </w:pPr>
      <w:r>
        <w:rPr>
          <w:lang w:val="el" w:eastAsia="el"/>
        </w:rPr>
        <w:t>ββ)</w:t>
      </w:r>
      <w:r>
        <w:rPr>
          <w:lang w:val="en" w:eastAsia="en"/>
        </w:rPr>
        <w:tab/>
      </w:r>
      <w:r>
        <w:rPr>
          <w:lang w:val="el" w:eastAsia="el"/>
        </w:rPr>
        <w:t>ενισχύσεων στο πλαίσιο των μέτρων του Ευρωπαϊκού Γεωργικού Ταμείου Αγροτικής Ανάπτυξης (ΕΓΤΑΑ), στους οποίους οι ενισχύσεις καταβάλλονται βάσει έκτασης, ζώων ή παραγωγής και</w:t>
      </w:r>
    </w:p>
    <w:p>
      <w:pPr>
        <w:pStyle w:val="StructureList1"/>
        <w:spacing w:before="120" w:after="0"/>
        <w:rPr>
          <w:lang w:val="el" w:eastAsia="el"/>
        </w:rPr>
      </w:pPr>
      <w:r>
        <w:rPr>
          <w:lang w:val="el" w:eastAsia="el"/>
        </w:rPr>
        <w:t>γγ)</w:t>
      </w:r>
      <w:r>
        <w:rPr>
          <w:lang w:val="en" w:eastAsia="en"/>
        </w:rPr>
        <w:tab/>
      </w:r>
      <w:r>
        <w:rPr>
          <w:lang w:val="el" w:eastAsia="el"/>
        </w:rPr>
        <w:t>ενισχύσεων στο πλαίσιο των μέτρων του Ευρωπαϊκού Ταμείου Αλιείας (ΕΤΑ), οι οποίοι δεν είναι επιτηδευματίες.</w:t>
      </w:r>
    </w:p>
    <w:p>
      <w:pPr>
        <w:pStyle w:val="StructureList1"/>
        <w:spacing w:before="120" w:after="0"/>
        <w:rPr>
          <w:lang w:val="el" w:eastAsia="el"/>
        </w:rPr>
      </w:pPr>
      <w:r>
        <w:rPr>
          <w:lang w:val="el" w:eastAsia="el"/>
        </w:rPr>
        <w:t>β)</w:t>
      </w:r>
      <w:r>
        <w:rPr>
          <w:lang w:val="en" w:eastAsia="en"/>
        </w:rPr>
        <w:tab/>
      </w:r>
      <w:r>
        <w:rPr>
          <w:lang w:val="el" w:eastAsia="el"/>
        </w:rPr>
        <w:t>Η διάταξη της παραγράφου α' εφαρμόζεται και στις προσκλήσεις ενισχύσεων που έχουν εκδοθεί κατά την έναρξη ισχύος του παρόντος νόμου και απαιτούν την προσκόμιση αποδεικτικών φορολογικής και ασφαλιστικής ενημερότητας, προκειμένου να καταβληθεί η ενίσχυση στον δικαιούχο, καθώς και στις σχετικές προσκλήσεις που εκδίδονται εφεξής. Από την έναρξη ισχύος του παρόντος νόμου, κάθε γενική ή ειδική διάταξη που ρυθμίζει διαφορετικά τα θέματα που ρυθμίζονται με την παρούσα παράγραφο, καταργείται.</w:t>
      </w:r>
    </w:p>
    <w:p>
      <w:pPr>
        <w:pStyle w:val="MainText"/>
        <w:spacing w:before="120" w:after="0"/>
        <w:rPr>
          <w:lang w:val="el" w:eastAsia="el"/>
        </w:rPr>
      </w:pPr>
      <w:r>
        <w:rPr>
          <w:b/>
          <w:bCs/>
          <w:lang w:val="el" w:eastAsia="el"/>
        </w:rPr>
        <w:t>2.</w:t>
      </w:r>
      <w:r>
        <w:rPr>
          <w:lang w:val="el" w:eastAsia="el"/>
        </w:rPr>
        <w:t xml:space="preserve"> Οι διαχειριστικές αρχές διασφαλίζουν ότι ο δικαιούχος λαμβάνει πλήρως το συνολικό ποσό της οφειλόμενης επιλέξιμης δημόσιας δαπάνης το αργότερο σε ενενήντα (90) ημέρες μετά την ημερομηνία υποβολής της αίτησης πληρωμής από τον δικαιούχο.</w:t>
      </w:r>
    </w:p>
    <w:p>
      <w:pPr>
        <w:pStyle w:val="MainText"/>
        <w:spacing w:before="120" w:after="0"/>
        <w:rPr>
          <w:lang w:val="el" w:eastAsia="el"/>
        </w:rPr>
      </w:pPr>
      <w:r>
        <w:rPr>
          <w:b/>
          <w:bCs/>
          <w:lang w:val="el" w:eastAsia="el"/>
        </w:rPr>
        <w:t>3.</w:t>
      </w:r>
      <w:r>
        <w:rPr>
          <w:lang w:val="el" w:eastAsia="el"/>
        </w:rPr>
        <w:t xml:space="preserve"> Το παρόν άρθρο ισχύει και για την καταβολή χρηματοδοτήσεων δικαιούχων εις βάρος του Προϋπολογισμού Δημοσίων Επενδύσεων για πράξεις/έργα που είναι ενταγμένα ή εντάσσονται στα ΕΠ του ΕΣΠΑ 2007-2013, στο ΠΑΑ και στο ΕΠΑΛ 2007-2013.</w:t>
      </w:r>
    </w:p>
    <w:p>
      <w:pPr>
        <w:pStyle w:val="MainText"/>
        <w:spacing w:before="120" w:after="0"/>
        <w:rPr>
          <w:lang w:val="el" w:eastAsia="el"/>
        </w:rPr>
      </w:pPr>
      <w:r>
        <w:rPr>
          <w:b/>
          <w:bCs/>
          <w:lang w:val="el" w:eastAsia="el"/>
        </w:rPr>
        <w:t>4.</w:t>
      </w:r>
      <w:r>
        <w:rPr>
          <w:lang w:val="el" w:eastAsia="el"/>
        </w:rPr>
        <w:t xml:space="preserve"> Το παρόν άρθρο εφαρμόζεται αναλογικά και κατά περίπτωση στις δράσεις που χρηματοδοτούνται από το ΧΜ ΕΟΧ.</w:t>
      </w:r>
    </w:p>
    <w:p>
      <w:pPr>
        <w:pStyle w:val="MainText"/>
        <w:spacing w:before="120" w:after="0"/>
        <w:rPr>
          <w:lang w:val="el" w:eastAsia="el"/>
        </w:rPr>
      </w:pPr>
      <w:r>
        <w:rPr>
          <w:b/>
          <w:bCs/>
          <w:lang w:val="el" w:eastAsia="el"/>
        </w:rPr>
        <w:t>5.</w:t>
      </w:r>
      <w:r>
        <w:rPr>
          <w:lang w:val="el" w:eastAsia="el"/>
        </w:rPr>
        <w:t xml:space="preserve"> Κατ` εξαίρεση, για την Περιφερειακή Ενότητα Ζακύνθου και για όσο χρονικό διάστημα διαρκεί η κατάσταση έκτακτης ανάγκης, οι προκαταβολές, οι ενδιάμεσες και οι τελικές πληρωμές δικαιούχων, που αφορούν: α) τη βασική ενίσχυση, β) την πράσινη ενίσχυση, γ) τις ενισχύσεις που χορηγούνται σε γεωργούς νεαρής ηλικίας, δ) τις ενισχύσεις που χορηγούνται σε μικροκαλλιεργητές, ε) τις συνδεδεμένες ενισχύσεις και στ) την ειδική ενίσχυση βάμβακος του Κανονισμού 1307/2013, δεν κατάσχονται, δεν υπόκεινται σε κανενός είδους παρακράτηση και δεν συμψηφίζονται με τυχόν οφειλές προς οποιονδήποτε οργανισμό του Δημοσίου και ασφαλιστικό φορέα, μέχρι του ποσού των δώδεκα χιλιάδων (12.000) ευρώ.</w:t>
      </w:r>
    </w:p>
    <w:p>
      <w:pPr>
        <w:spacing w:before="240" w:after="240"/>
        <w:rPr>
          <w:lang w:val="el" w:eastAsia="el"/>
        </w:rPr>
      </w:pPr>
      <w:r>
        <w:rPr>
          <w:lang w:val="el" w:eastAsia="el"/>
        </w:rPr>
        <w:t>Σε περίπτωση επιβολής κατάσχεσης σε τραπεζικές καταθέσεις εις χείρας πιστωτικών ιδρυμάτων ως τρίτων, στις οποίες περιλαμβάνονται και οι ως άνω πληρωμές των κοινοτικών επιδοτήσεων, τα πιστωτικά ιδρύματα οφείλουν να εξετάζουν κάθε φορά, αν πληρούνται οι προϋποθέσεις για την επιβολή της κατάσχεσης.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5.</w:t>
      </w:r>
      <w:r>
        <w:rPr>
          <w:lang w:val="el" w:eastAsia="el"/>
        </w:rPr>
        <w:t xml:space="preserve"> Οι προκαταβολές, οι ενδιάμεσες και οι τελικές πληρωμές που λαμβάνουν οι δικαιούχοι βάσει καθεστώτων στήριξης στα πλαίσια της κοινής αγροτικής πολιτικής, οι οποίες αφορούν: α) τη βασική ενίσχυση, β) την πράσινη ενίσχυση, γ) τις ενισχύσεις που χορηγούνται σε γεωργούς νεαρής ηλικίας, δ) τις ενισχύσεις που χορηγούνται σε μικροκαλλιεργητές, ε) τις συνδεδεμένες ενισχύσεις και στ) την ειδική ενίσχυση βάμβακος του Κανονισμού 1307/2013, δεν κατάσχονται στα χέρια του Δημοσίου ή τρίτων, δεν υπόκεινται σε κανενός είδους παρακράτηση και δεν συμψηφίζονται με οφειλές προς το Δημόσιο και οποιονδήποτε φορέα του δημόσιου τομέα, καθώς και προς τους ασφαλιστικούς οργανισμούς, μέχρι του ποσού των επτά χιλιάδων πεντακοσίων (7.500) ευρώ ετησίως.</w:t>
      </w:r>
    </w:p>
    <w:p>
      <w:pPr>
        <w:spacing w:before="240" w:after="240"/>
        <w:rPr>
          <w:lang w:val="el" w:eastAsia="el"/>
        </w:rPr>
      </w:pPr>
      <w:r>
        <w:rPr>
          <w:lang w:val="el" w:eastAsia="el"/>
        </w:rPr>
        <w:t>Σε περίπτωση επιβολής κατάσχεσης σε τραπεζικές καταθέσεις εις χείρας πιστωτικών ιδρυμάτων ως τρίτων, στις οποίες περιλαμβάνονται και οι πληρωμές των ανωτέρω άμεσων ενισχύσεων, τα πιστωτικά ιδρύματα εξετάζουν αν πληρούνται οι προϋποθέσεις για την επιβολή της κατάσχεσης, σύμφωνα με τις διατάξεις της παρούσας.</w:t>
      </w:r>
    </w:p>
    <w:p>
      <w:pPr>
        <w:spacing w:before="240" w:after="240"/>
        <w:rPr>
          <w:lang w:val="el" w:eastAsia="el"/>
        </w:rPr>
      </w:pPr>
      <w:r>
        <w:rPr>
          <w:lang w:val="el" w:eastAsia="el"/>
        </w:rPr>
        <w:t>Οι διατάξεις της παρούσας είναι ειδικές και κατισχύουν κάθε άλλης γενικής ή ειδικής διάταξης που ορίζει διαφορετικά.</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Παραγγέλλομε τη δημοσίευσή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23 Δεκεμβρίου 2014</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ΓΚΙΚΑΣ ΧΑΡΔΟΥΒΕΛΗΣ</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ΑΡΓΥΡΗΣ ΝΤΙΝΟΠΟΥΛΟΣ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ΚΩΝΣΤΑΝΤΙΝΟΣ ΣΚΡΕΚΑΣ</w:t>
      </w:r>
    </w:p>
    <w:p>
      <w:pPr>
        <w:spacing w:before="240" w:after="240"/>
        <w:rPr>
          <w:lang w:val="el" w:eastAsia="el"/>
        </w:rPr>
      </w:pPr>
      <w:r>
        <w:rPr>
          <w:lang w:val="el" w:eastAsia="el"/>
        </w:rPr>
        <w:t>ΠΑΙΔΕΙΑΣ ΚΑΙ ΘΡΗΣΚΕΥΜΑΤΩΝ</w:t>
      </w:r>
    </w:p>
    <w:p>
      <w:pPr>
        <w:spacing w:before="240" w:after="240"/>
        <w:rPr>
          <w:lang w:val="el" w:eastAsia="el"/>
        </w:rPr>
      </w:pPr>
      <w:r>
        <w:rPr>
          <w:lang w:val="el" w:eastAsia="el"/>
        </w:rPr>
        <w:t>ΑΝΔΡΕΑΣ ΛΟΒΕΡΔΟΣ</w:t>
      </w:r>
    </w:p>
    <w:p>
      <w:pPr>
        <w:spacing w:before="240" w:after="240"/>
        <w:rPr>
          <w:lang w:val="el" w:eastAsia="el"/>
        </w:rPr>
      </w:pPr>
      <w:r>
        <w:rPr>
          <w:lang w:val="el" w:eastAsia="el"/>
        </w:rPr>
        <w:t>ΠΟΛΙΤΙΣΜΟΥ ΚΑΙ ΑΘΛΗΤΙΣΜΟΥ</w:t>
      </w:r>
    </w:p>
    <w:p>
      <w:pPr>
        <w:spacing w:before="240" w:after="240"/>
        <w:rPr>
          <w:lang w:val="el" w:eastAsia="el"/>
        </w:rPr>
      </w:pPr>
      <w:r>
        <w:rPr>
          <w:lang w:val="el" w:eastAsia="el"/>
        </w:rPr>
        <w:t>ΚΩΝΣΤΑΝΤΙΝΟΣ ΤΑΣΟΥΛΑΣ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ΑΓΡΟΤΙΚΗΣ ΑΝΑΠΤΥΞΗΣ ΚΑΙ ΤΡΟΦΙΜΩΝ</w:t>
      </w:r>
    </w:p>
    <w:p>
      <w:pPr>
        <w:spacing w:before="240" w:after="240"/>
        <w:rPr>
          <w:lang w:val="el" w:eastAsia="el"/>
        </w:rPr>
      </w:pPr>
      <w:r>
        <w:rPr>
          <w:lang w:val="el" w:eastAsia="el"/>
        </w:rPr>
        <w:t>ΓΕΩΡΓΙΟΣ ΚΑΡΑΣΜΑΝΗΣ</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lang w:val="el" w:eastAsia="el"/>
        </w:rPr>
        <w:t>ΜΙΧΑΗΛ ΧΡΥΣΟΧΟΪΔΗΣ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ΙΩΑΝΝΗΣ ΜΑΝΙΑΤΗΣ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23 Δεκεμβρίου 2014</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63" w:history="1">
        <w:r>
          <w:rPr>
            <w:rStyle w:val="Hyperlink"/>
            <w:color w:val="0000EE"/>
            <w:u w:color="0000EE"/>
            <w:lang w:val="el" w:eastAsia="el"/>
          </w:rPr>
          <w:t>Τροποποίηση 4712/2020, Άρθρο 63</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05" w:history="1">
        <w:r>
          <w:rPr>
            <w:rStyle w:val="Hyperlink"/>
            <w:color w:val="0000EE"/>
            <w:u w:color="0000EE"/>
            <w:lang w:val="el" w:eastAsia="el"/>
          </w:rPr>
          <w:t>Προσθήκη 4583/2018, Άρθρο 105</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55" w:history="1">
        <w:r>
          <w:rPr>
            <w:rStyle w:val="Hyperlink"/>
            <w:color w:val="0000EE"/>
            <w:u w:color="0000EE"/>
            <w:lang w:val="el" w:eastAsia="el"/>
          </w:rPr>
          <w:t>Προσθήκη 4587/2018, Άρθρο 55</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20/07/29/4712" TargetMode="External" /><Relationship Id="rId2" Type="http://schemas.openxmlformats.org/officeDocument/2006/relationships/hyperlink" Target="http://data.aade.gr/eli/pri/law/2018/12/18/4583" TargetMode="External" /><Relationship Id="rId3" Type="http://schemas.openxmlformats.org/officeDocument/2006/relationships/hyperlink" Target="http://data.aade.gr/eli/pri/law/2018/12/24/458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