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4314/2014</w:t>
      </w:r>
    </w:p>
    <w:p>
      <w:pPr>
        <w:pStyle w:val="PreambelText"/>
        <w:spacing w:before="240" w:after="240"/>
        <w:rPr>
          <w:lang w:val="el" w:eastAsia="el"/>
        </w:rPr>
      </w:pPr>
      <w:r>
        <w:rPr>
          <w:lang w:val="el" w:eastAsia="el"/>
        </w:rPr>
        <w:t>ΝΟΜΟΣ ΥΠ’ ΑΡΙΘΜ. 4314</w:t>
      </w:r>
    </w:p>
    <w:p>
      <w:pPr>
        <w:pStyle w:val="PreambelText"/>
        <w:spacing w:before="240" w:after="240"/>
        <w:rPr>
          <w:lang w:val="el" w:eastAsia="el"/>
        </w:rPr>
      </w:pPr>
      <w:r>
        <w:rPr>
          <w:lang w:val="el" w:eastAsia="el"/>
        </w:rPr>
        <w:t>(ΦΕΚ Α' 265/23-12-2014)</w:t>
      </w:r>
    </w:p>
    <w:p>
      <w:pPr>
        <w:pStyle w:val="PreambelText"/>
        <w:spacing w:before="240" w:after="240"/>
        <w:rPr>
          <w:lang w:val="el" w:eastAsia="el"/>
        </w:rPr>
      </w:pPr>
      <w:r>
        <w:rPr>
          <w:lang w:val="el" w:eastAsia="el"/>
        </w:rPr>
        <w:t>Α. Για τη διαχείριση, τον έλεγχο και την εφαρμογή αναπτυξιακών παρεμβάσεων για την προγραμματική περίοδο 2014-2020</w:t>
      </w:r>
    </w:p>
    <w:p>
      <w:pPr>
        <w:pStyle w:val="PreambelText"/>
        <w:spacing w:before="240" w:after="240"/>
        <w:rPr>
          <w:lang w:val="el" w:eastAsia="el"/>
        </w:rPr>
      </w:pPr>
      <w:r>
        <w:rPr>
          <w:lang w:val="el" w:eastAsia="el"/>
        </w:rPr>
        <w:t>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Πληρωμές στους δικαιούχους</w:t>
      </w:r>
    </w:p>
    <w:p>
      <w:pPr>
        <w:pStyle w:val="MainText"/>
        <w:spacing w:before="120" w:after="0"/>
        <w:rPr>
          <w:lang w:val="el" w:eastAsia="el"/>
        </w:rPr>
      </w:pPr>
      <w:r>
        <w:rPr>
          <w:b/>
          <w:bCs/>
          <w:lang w:val="el" w:eastAsia="el"/>
        </w:rPr>
        <w:t>1.</w:t>
      </w:r>
      <w:r>
        <w:rPr>
          <w:lang w:val="el" w:eastAsia="el"/>
        </w:rPr>
        <w:t xml:space="preserve"> α) Οι προκαταβολές και οι ενδιάμεσες πληρωμές των δικαιούχων για την υλοποίηση των πράξεων που συγχρηματοδοτούνται από τα Επιχειρησιακά Προγράμματα του ΕΣΠΑ, το Επιχειρησιακό Πρόγραμμα Αλιείας και Θάλασσας και το Πρόγραμμα Αγροτικής Ανάπτυξης,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 Οι τελικές πληρωμές των ανωτέρω δικαιούχων, μετά την ολοκλήρωση του έργου, δύνανται να κατάσχονται, να υπόκεινται σε παρακράτηση και να συμψηφίζονται, με τυχόν οφειλές του δικαιούχου προς το Ελληνικό Δημόσιο ή τα ασφαλιστικά ταμεία και καταβάλλονται με την υποχρεωτική προσκόμιση αποδεικτικών φορολογικής και ασφαλιστικής ενημερότητας. Το συνολικό ποσό που κατάσχεται, παρακρατείται ή συμψηφίζεται σύμφωνα με το προηγούμενο εδάφιο δεν μπορεί να υπερβαίνει το 30% του ποσού της τελικής πληρωμής. Ο διατάκτης της πληρωμής κατά την έκδοση της απόφασης έγκρισης πληρωμής ορίζει ρητά ότι η ενίσχυση αυτή εμπίπτει στις ρυθμίσεις του παρόντος άρθρου και αν η πληρωμή αφορά προκαταβολή, ενδιάμεση ή τελική πληρωμή. Απαλλάσσονται από την υποχρέωση προσκόμισης, κατά την πληρωμή, αποδεικτικού φορολογικής και ασφαλιστικής ενημερότητας οι δικαιούχοι: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αα)</w:t>
      </w:r>
      <w:r>
        <w:rPr>
          <w:lang w:val="en" w:eastAsia="en"/>
        </w:rPr>
        <w:tab/>
      </w:r>
      <w:r>
        <w:rPr>
          <w:lang w:val="el" w:eastAsia="el"/>
        </w:rPr>
        <w:t>άμεσων ενισχύσεων στους οποίους οι ενισχύσεις καταβάλλονται βάσει έκτασης, ζώων ή παραγωγής και ειδικών μέτρων στήριξης του Ευρωπαϊκού Γεωργικού Ταμείου Εγγυήσεων (ΕΓΤΕ) που χορηγούνται εν όλω από την Ευρωπαϊκή Ένωση,</w:t>
      </w:r>
    </w:p>
    <w:p>
      <w:pPr>
        <w:pStyle w:val="StructureList1"/>
        <w:spacing w:before="120" w:after="0"/>
        <w:rPr>
          <w:lang w:val="el" w:eastAsia="el"/>
        </w:rPr>
      </w:pPr>
      <w:r>
        <w:rPr>
          <w:lang w:val="el" w:eastAsia="el"/>
        </w:rPr>
        <w:t>ββ)</w:t>
      </w:r>
      <w:r>
        <w:rPr>
          <w:lang w:val="en" w:eastAsia="en"/>
        </w:rPr>
        <w:tab/>
      </w:r>
      <w:r>
        <w:rPr>
          <w:lang w:val="el" w:eastAsia="el"/>
        </w:rPr>
        <w:t>ενισχύσεων στο πλαίσιο των μέτρων του Ευρωπαϊκού Γεωργικού Ταμείου Αγροτικής Ανάπτυξης (ΕΓΤΑΑ), στους οποίους οι ενισχύσεις καταβάλλονται βάσει έκτασης, ζώων ή παραγωγής και</w:t>
      </w:r>
    </w:p>
    <w:p>
      <w:pPr>
        <w:pStyle w:val="StructureList1"/>
        <w:spacing w:before="120" w:after="0"/>
        <w:rPr>
          <w:lang w:val="el" w:eastAsia="el"/>
        </w:rPr>
      </w:pPr>
      <w:r>
        <w:rPr>
          <w:lang w:val="el" w:eastAsia="el"/>
        </w:rPr>
        <w:t>γγ)</w:t>
      </w:r>
      <w:r>
        <w:rPr>
          <w:lang w:val="en" w:eastAsia="en"/>
        </w:rPr>
        <w:tab/>
      </w:r>
      <w:r>
        <w:rPr>
          <w:lang w:val="el" w:eastAsia="el"/>
        </w:rPr>
        <w:t>ενισχύσεων στο πλαίσιο των μέτρων του Ευρωπαϊκού Ταμείου Αλιείας (ΕΤΑ), οι οποίοι δεν είναι επιτηδευματίες.</w:t>
      </w:r>
    </w:p>
    <w:p>
      <w:pPr>
        <w:pStyle w:val="StructureList1"/>
        <w:spacing w:before="120" w:after="0"/>
        <w:rPr>
          <w:lang w:val="el" w:eastAsia="el"/>
        </w:rPr>
      </w:pPr>
      <w:r>
        <w:rPr>
          <w:lang w:val="el" w:eastAsia="el"/>
        </w:rPr>
        <w:t>β)</w:t>
      </w:r>
      <w:r>
        <w:rPr>
          <w:lang w:val="en" w:eastAsia="en"/>
        </w:rPr>
        <w:tab/>
      </w:r>
      <w:r>
        <w:rPr>
          <w:lang w:val="el" w:eastAsia="el"/>
        </w:rPr>
        <w:t>Η διάταξη της παραγράφου α' εφαρμόζεται και στις προσκλήσεις ενισχύσεων που έχουν εκδοθεί κατά την έναρξη ισχύος του παρόντος νόμου και απαιτούν την προσκόμιση αποδεικτικών φορολογικής και ασφαλιστικής ενημερότητας, προκειμένου να καταβληθεί η ενίσχυση στον δικαιούχο, καθώς και στις σχετικές προσκλήσεις που εκδίδονται εφεξής. Από την έναρξη ισχύος του παρόντος νόμου, κάθε γενική ή ειδική διάταξη που ρυθμίζει διαφορετικά τα θέματα που ρυθμίζονται με την παρούσα παράγραφο, καταργείται.</w:t>
      </w:r>
    </w:p>
    <w:p>
      <w:pPr>
        <w:pStyle w:val="MainText"/>
        <w:spacing w:before="120" w:after="0"/>
        <w:rPr>
          <w:lang w:val="el" w:eastAsia="el"/>
        </w:rPr>
      </w:pPr>
      <w:r>
        <w:rPr>
          <w:b/>
          <w:bCs/>
          <w:lang w:val="el" w:eastAsia="el"/>
        </w:rPr>
        <w:t>2.</w:t>
      </w:r>
      <w:r>
        <w:rPr>
          <w:lang w:val="el" w:eastAsia="el"/>
        </w:rPr>
        <w:t xml:space="preserve"> Οι διαχειριστικές αρχές διασφαλίζουν ότι ο δικαιούχος λαμβάνει πλήρως το συνολικό ποσό της οφειλόμενης επιλέξιμης δημόσιας δαπάνης το αργότερο σε ενενήντα (90) ημέρες μετά την ημερομηνία υποβολής της αίτησης πληρωμής από τον δικαιούχο.</w:t>
      </w:r>
    </w:p>
    <w:p>
      <w:pPr>
        <w:pStyle w:val="MainText"/>
        <w:spacing w:before="120" w:after="0"/>
        <w:rPr>
          <w:lang w:val="el" w:eastAsia="el"/>
        </w:rPr>
      </w:pPr>
      <w:r>
        <w:rPr>
          <w:b/>
          <w:bCs/>
          <w:lang w:val="el" w:eastAsia="el"/>
        </w:rPr>
        <w:t>3.</w:t>
      </w:r>
      <w:r>
        <w:rPr>
          <w:lang w:val="el" w:eastAsia="el"/>
        </w:rPr>
        <w:t xml:space="preserve"> Το παρόν άρθρο ισχύει και για την καταβολή χρηματοδοτήσεων δικαιούχων εις βάρος του Προϋπολογισμού Δημοσίων Επενδύσεων για πράξεις/έργα που είναι ενταγμένα ή εντάσσονται στα ΕΠ του ΕΣΠΑ 2007-2013, στο ΠΑΑ και στο ΕΠΑΛ 2007-2013.</w:t>
      </w:r>
    </w:p>
    <w:p>
      <w:pPr>
        <w:pStyle w:val="MainText"/>
        <w:spacing w:before="120" w:after="0"/>
        <w:rPr>
          <w:lang w:val="el" w:eastAsia="el"/>
        </w:rPr>
      </w:pPr>
      <w:r>
        <w:rPr>
          <w:b/>
          <w:bCs/>
          <w:lang w:val="el" w:eastAsia="el"/>
        </w:rPr>
        <w:t>4.</w:t>
      </w:r>
      <w:r>
        <w:rPr>
          <w:lang w:val="el" w:eastAsia="el"/>
        </w:rPr>
        <w:t xml:space="preserve"> Το παρόν άρθρο εφαρμόζεται αναλογικά και κατά περίπτωση στις δράσεις που χρηματοδοτούνται από το ΧΜ ΕΟΧ.</w:t>
      </w:r>
    </w:p>
    <w:p>
      <w:pPr>
        <w:pStyle w:val="MainText"/>
        <w:spacing w:before="120" w:after="0"/>
        <w:rPr>
          <w:lang w:val="el" w:eastAsia="el"/>
        </w:rPr>
      </w:pPr>
      <w:r>
        <w:rPr>
          <w:b/>
          <w:bCs/>
          <w:lang w:val="el" w:eastAsia="el"/>
        </w:rPr>
        <w:t>5.</w:t>
      </w:r>
      <w:r>
        <w:rPr>
          <w:lang w:val="el" w:eastAsia="el"/>
        </w:rPr>
        <w:t xml:space="preserve"> Κατ` εξαίρεση, για την Περιφερειακή Ενότητα Ζακύνθου και για όσο χρονικό διάστημα διαρκεί η κατάσταση έκτακτης ανάγκης, οι προκαταβολές, οι ενδιάμεσες και οι τελικές πληρωμές δικαιούχων, που αφορούν: α) τη βασική ενίσχυση, β) την πράσινη ενίσχυση,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1307/2013, δεν κατάσχονται, δεν υπόκεινται σε κανενός είδους παρακράτηση και δεν συμψηφίζονται με τυχόν οφειλές προς οποιονδήποτε οργανισμό του Δημοσίου και ασφαλιστικό φορέα, μέχρι του ποσού των δώδεκα χιλιάδων (12.000) ευρώ.</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ως άνω πληρωμές των κοινοτικών επιδοτήσεων, τα πιστωτικά ιδρύματα οφείλουν να εξετάζουν κάθε φορά, αν πληρούνται οι προϋποθέσεις για την επιβολή της κατάσχεσης.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Οι προκαταβολές, οι ενδιάμεσες και οι τελικές πληρωμές που λαμβάνουν οι δικαιούχοι βάσει καθεστώτων στήριξης στα πλαίσια της κοινής αγροτικής πολιτικής, οι οποίες αφορούν: α) τη βασική ενίσχυση, β) την πράσινη ενίσχυση,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1307/2013,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άμεσων ενισχύσεων, τα πιστωτικά ιδρύματα εξετάζουν αν πληρούνται οι προϋποθέσεις για την επιβολή της κατάσχεσης, σύμφωνα με τις διατάξεις της παρούσας.</w:t>
      </w:r>
    </w:p>
    <w:p>
      <w:pPr>
        <w:spacing w:before="240" w:after="240"/>
        <w:rPr>
          <w:lang w:val="el" w:eastAsia="el"/>
        </w:rPr>
      </w:pPr>
      <w:r>
        <w:rPr>
          <w:lang w:val="el" w:eastAsia="el"/>
        </w:rPr>
        <w:t>Οι διατάξεις της παρούσας είναι ειδικές και κατισχύουν κάθε άλλης γενικής ή ειδικής διάταξης που ορίζει διαφορετικά.</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Παραγγέλλομε τη δημοσίευσή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ΠΑΙΔΕΙΑΣ ΚΑΙ ΘΡΗΣΚΕΥΜΑΤΩΝ</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ΠΟΛΙΤΙΣΜΟΥ ΚΑΙ ΑΘΛΗΤΙΣΜΟΥ</w:t>
      </w:r>
    </w:p>
    <w:p>
      <w:pPr>
        <w:spacing w:before="240" w:after="240"/>
        <w:rPr>
          <w:lang w:val="el" w:eastAsia="el"/>
        </w:rPr>
      </w:pPr>
      <w:r>
        <w:rPr>
          <w:lang w:val="el" w:eastAsia="el"/>
        </w:rPr>
        <w:t>ΚΩΝΣΤΑΝΤΙΝΟΣ ΤΑΣΟΥΛΑΣ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ΓΕΩΡΓΙΟΣ ΚΑΡΑΣΜΑΝΗΣ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3" w:history="1">
        <w:r>
          <w:rPr>
            <w:rStyle w:val="Hyperlink"/>
            <w:color w:val="0000EE"/>
            <w:u w:color="0000EE"/>
            <w:lang w:val="el" w:eastAsia="el"/>
          </w:rPr>
          <w:t>Τροποποίηση 4712/2020, Άρθρο 63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5" w:history="1">
        <w:r>
          <w:rPr>
            <w:rStyle w:val="Hyperlink"/>
            <w:color w:val="0000EE"/>
            <w:u w:color="0000EE"/>
            <w:lang w:val="el" w:eastAsia="el"/>
          </w:rPr>
          <w:t>Προσθήκη 4583/2018, Άρθρο 105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12" w:history="1">
        <w:r>
          <w:rPr>
            <w:rStyle w:val="Hyperlink"/>
            <w:color w:val="0000EE"/>
            <w:u w:color="0000EE"/>
            <w:lang w:val="el" w:eastAsia="el"/>
          </w:rPr>
          <w:t>Τροποποίηση 5104/2024, Άρθρο 112</w:t>
        </w:r>
      </w:hyperlink>
      <w:r>
        <w:rPr>
          <w:lang w:val="el" w:eastAsia="el"/>
        </w:rPr>
        <w:t xml:space="preserve">; </w:t>
      </w:r>
      <w:hyperlink r:id="rId4" w:anchor="art_55" w:history="1">
        <w:r>
          <w:rPr>
            <w:rStyle w:val="Hyperlink"/>
            <w:color w:val="0000EE"/>
            <w:u w:color="0000EE"/>
            <w:lang w:val="el" w:eastAsia="el"/>
          </w:rPr>
          <w:t>Προσθήκη 4587/2018, Άρθρο 55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7/29/4712" TargetMode="External" /><Relationship Id="rId2" Type="http://schemas.openxmlformats.org/officeDocument/2006/relationships/hyperlink" Target="http://data.aade.gr/eli/pri/law/2018/12/18/4583" TargetMode="External" /><Relationship Id="rId3" Type="http://schemas.openxmlformats.org/officeDocument/2006/relationships/hyperlink" Target="http://data.aade.gr/eli/pri/law/2024/04/19/5104" TargetMode="External" /><Relationship Id="rId4" Type="http://schemas.openxmlformats.org/officeDocument/2006/relationships/hyperlink" Target="http://data.aade.gr/eli/pri/law/2018/12/24/45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