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4389/2016</w:t>
      </w:r>
    </w:p>
    <w:p>
      <w:pPr>
        <w:pStyle w:val="PreambelText"/>
        <w:spacing w:before="240" w:after="240"/>
        <w:rPr>
          <w:lang w:val="el" w:eastAsia="el"/>
        </w:rPr>
      </w:pPr>
      <w:r>
        <w:rPr>
          <w:lang w:val="el" w:eastAsia="el"/>
        </w:rPr>
        <w:t>ΝΟΜΟΣ ΥΠ’ ΑΡΙΘΜ. 4389</w:t>
      </w:r>
    </w:p>
    <w:p>
      <w:pPr>
        <w:pStyle w:val="PreambelText"/>
        <w:spacing w:before="240" w:after="240"/>
        <w:rPr>
          <w:lang w:val="el" w:eastAsia="el"/>
        </w:rPr>
      </w:pPr>
      <w:r>
        <w:rPr>
          <w:lang w:val="el" w:eastAsia="el"/>
        </w:rPr>
        <w:t>(ΦΕΚ Α' 94/27-05-2016)</w:t>
      </w:r>
    </w:p>
    <w:p>
      <w:pPr>
        <w:pStyle w:val="PreambelText"/>
        <w:spacing w:before="240" w:after="240"/>
        <w:rPr>
          <w:lang w:val="el" w:eastAsia="el"/>
        </w:rPr>
      </w:pPr>
      <w:r>
        <w:rPr>
          <w:lang w:val="el" w:eastAsia="el"/>
        </w:rPr>
        <w:t>Επείγουσες διατάξεις για την εφαρμογή της συμφωνίας δημοσιονομικών στόχων και διαρθρωτικών μεταρρυθμίσεων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Φόρος διαμονής</w:t>
      </w:r>
    </w:p>
    <w:p>
      <w:pPr>
        <w:pStyle w:val="MainText"/>
        <w:spacing w:before="120" w:after="0"/>
        <w:rPr>
          <w:lang w:val="el" w:eastAsia="el"/>
        </w:rPr>
      </w:pPr>
      <w:r>
        <w:rPr>
          <w:b/>
          <w:bCs/>
          <w:lang w:val="el" w:eastAsia="el"/>
        </w:rPr>
        <w:t>1.</w:t>
      </w:r>
      <w:r>
        <w:rPr>
          <w:lang w:val="el" w:eastAsia="el"/>
        </w:rPr>
        <w:t xml:space="preserve"> Επιβάλλεται, υπέρ του Δημοσίου, τέλος ανθεκτικότητας στην κλιματική κρίση.</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1Α.</w:t>
      </w:r>
      <w:r>
        <w:rPr>
          <w:lang w:val="el" w:eastAsia="el"/>
        </w:rPr>
        <w:t xml:space="preserve"> Το τέλος ανθεκτικότητας στην κλιματική κρίση επιβάλλεται ανά ημερήσια χρήση και ανά δωμάτιο ή διαμέρισμα, κατά τους μήνες Μάρτιο έως Οκτώβριο, ως εξής: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Για κύρια ξενοδοχειακά καταλύματα της υποπερ. αα΄ της περ. α΄ της παρ. 2 του άρθρου 1 του Ν. 4276/2014 (Α΄ 155):</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αα)</w:t>
      </w:r>
      <w:r>
        <w:rPr>
          <w:lang w:val="en" w:eastAsia="en"/>
        </w:rPr>
        <w:tab/>
      </w:r>
      <w:r>
        <w:rPr>
          <w:lang w:val="el" w:eastAsia="el"/>
        </w:rPr>
        <w:t>1-2 αστέρων, ενάμιση (1,50) ευρώ,</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αβ)</w:t>
      </w:r>
      <w:r>
        <w:rPr>
          <w:lang w:val="en" w:eastAsia="en"/>
        </w:rPr>
        <w:tab/>
      </w:r>
      <w:r>
        <w:rPr>
          <w:lang w:val="el" w:eastAsia="el"/>
        </w:rPr>
        <w:t>3 αστέρων, τρία (3,00) ευρώ,</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αγ)</w:t>
      </w:r>
      <w:r>
        <w:rPr>
          <w:lang w:val="en" w:eastAsia="en"/>
        </w:rPr>
        <w:tab/>
      </w:r>
      <w:r>
        <w:rPr>
          <w:lang w:val="el" w:eastAsia="el"/>
        </w:rPr>
        <w:t>4 αστέρων, εφτά (7,00) ευρώ,</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αδ)</w:t>
      </w:r>
      <w:r>
        <w:rPr>
          <w:lang w:val="en" w:eastAsia="en"/>
        </w:rPr>
        <w:tab/>
      </w:r>
      <w:r>
        <w:rPr>
          <w:lang w:val="el" w:eastAsia="el"/>
        </w:rPr>
        <w:t>5 αστέρων, δέκα (10,00) ευρώ,</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σε ενοικιαζόμενα επιπλωμένα δωμάτια - διαμερίσματα της υποπερ. γγ) της περ. β) της παρ. 2 του άρθρου 1 του ν. 4276/2014, ενάμιση (1,50) ευρώ,</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σε ακίνητα που διατίθενται μέσω βραχυχρόνιας μίσθωσης του άρθρου 111 του ν. 4446/2016 (α΄ 240) και του άρθρου 39Α του Κώδικα Φορολογίας Εισοδήματος (ν. 4172/2013, Α΄ 167), ενάμιση (1,50) ευρώ. Αν τα ακίνητα που διατίθενται μέσω βραχυχρόνιας μίσθωσης είναι μονοκατοικίες άνω των ογδόντα (80) τ.μ., επιβάλλεται τέλος ανθεκτικότητας δέκα (10) ευρώ,</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σε αυτοεξυπηρετούμενα καταλύματα - τουριστικές επιπλωμένες επαύλεις (βίλες) της υποπερ. αα) της περ. β) της παρ. 2 του άρθρου 1 του ν. 4276/2014, δέκα (10) ευρώ.</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1Β.</w:t>
      </w:r>
      <w:r>
        <w:rPr>
          <w:lang w:val="el" w:eastAsia="el"/>
        </w:rPr>
        <w:t xml:space="preserve"> Το τέλος ανθεκτικότητας στην κλιματική κρίση επιβάλλεται ανά ημερήσια χρήση και ανά δωμάτιο ή διαμέρισμα, κατά τους μήνες Νοέμβριο έως Φεβρουάριο, ως εξής: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Για κύρια ξενοδοχειακά καταλύματα της υποπερ. αα΄ της περ. α΄ της παρ. 2 του άρθρου 1 του Ν. 4276/2014:</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1-2 αστέρων, πενήντα λεπτών (0,50) ευρώ,</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αβ)</w:t>
      </w:r>
      <w:r>
        <w:rPr>
          <w:lang w:val="en" w:eastAsia="en"/>
        </w:rPr>
        <w:tab/>
      </w:r>
      <w:r>
        <w:rPr>
          <w:lang w:val="el" w:eastAsia="el"/>
        </w:rPr>
        <w:t>3 αστέρων, ενάμιση (1,50) ευρώ,</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αγ)</w:t>
      </w:r>
      <w:r>
        <w:rPr>
          <w:lang w:val="en" w:eastAsia="en"/>
        </w:rPr>
        <w:tab/>
      </w:r>
      <w:r>
        <w:rPr>
          <w:lang w:val="el" w:eastAsia="el"/>
        </w:rPr>
        <w:t>4 αστέρων, τριών (3,00) ευρώ,</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αδ)</w:t>
      </w:r>
      <w:r>
        <w:rPr>
          <w:lang w:val="en" w:eastAsia="en"/>
        </w:rPr>
        <w:tab/>
      </w:r>
      <w:r>
        <w:rPr>
          <w:lang w:val="el" w:eastAsia="el"/>
        </w:rPr>
        <w:t>5 αστέρων, τεσσάρων (4,00) ευρώ,</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σε ενοικιαζόμενα επιπλωμένα δωμάτια - διαμερίσματα της υποπερ. γγ) της περ. β) της παρ. 2 του άρθρου 1 του Ν. 4276/2014, πενήντα λεπτών (0,50) ευρώ,</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γ)</w:t>
      </w:r>
      <w:r>
        <w:rPr>
          <w:lang w:val="en" w:eastAsia="en"/>
        </w:rPr>
        <w:tab/>
      </w:r>
      <w:r>
        <w:rPr>
          <w:lang w:val="el" w:eastAsia="el"/>
        </w:rPr>
        <w:t>σε ακίνητα που διατίθενται μέσω βραχυχρόνιας μίσθωσης του άρθρου 111 του Ν. 4446/2016 και του άρθρου 39Α του Κώδικα Φορολογίας Εισοδήματος, πενήντα λεπτών (0,50) ευρώ, Αν τα ακίνητα που διατίθενται μέσω βραχυχρόνιας μίσθωσης είναι μονοκατοικίες άνω των ογδόντα (80) τ.μ., επιβάλλεται τέλος ανθεκτικότητας τεσσάρων (4) ευρώ,</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δ)</w:t>
      </w:r>
      <w:r>
        <w:rPr>
          <w:lang w:val="en" w:eastAsia="en"/>
        </w:rPr>
        <w:tab/>
      </w:r>
      <w:r>
        <w:rPr>
          <w:lang w:val="el" w:eastAsia="el"/>
        </w:rPr>
        <w:t>σε αυτοεξυπηρετούμενα καταλύματα - τουριστικές επιπλωμένες επαύλεις (βίλες) της υποπερ. αα) της περ. β) της παρ. 2 του άρθρου 1 του Ν. 4276/2014 , τεσσάρων (4) ευρώ.</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Το τέλος ανθεκτικότητας στην κλιματική κρίση βαρύνει τον διαμένοντα, που έκανε χρήση του δωματίου ή του διαμερίσματος, κατά τις διακρίσεις της παρ. 1, επιβάλλεται μετά τη διαμονή του στο κατάλυμα και πριν την αναχώρησή του από αυτό, με την έκδοση ειδικού στοιχείου-απόδειξης είσπραξης τέλους ανθεκτικότητας στην κλιματική κρίση, από τις επιχειρήσεις των παρ. 1Α και 1Β και τους ιδιώτες της περ. γ) των παρ. 1Α και 1Β και αποδίδεται από αυτές στη Φορολογική Διοίκηση με μηνιαίες δηλώσεις. Οι δηλώσεις υποβάλλονται μέχρι την τελευταία ημέρα του επόμενου μήνα από αυτόν της έκδοσης κάθε ειδικού στοιχείου - απόδειξης είσπραξης τέλους ανθεκτικότητας στην κλιματική κρίση. Το ειδικό στοιχείο - απόδειξη είσπραξης τέλους ανθεκτικότητας στην κλιματική κρίση δεν επιβαρύνεται με Φόρο Προστιθέμενης Αξίας. Το ως άνω τέλος δεν επιβάλλεται σε περίπτωση δωρεάν παροχής υπηρεσιών διαμονής από τους ανωτέρω υπόχρεους.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2α.</w:t>
      </w:r>
      <w:r>
        <w:rPr>
          <w:lang w:val="el" w:eastAsia="el"/>
        </w:rPr>
        <w:t xml:space="preserve">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Με κοινή απόφαση των Υπουργών Εθνικής Οικονομίας και Οικονομικών, Περιβάλλοντος και Ενέργειας και του Διοικητή της Ανεξάρτητης Αρχής Δημοσίων Εσόδων καθορίζονται ο τύπος και το περιεχόμενο της δήλωσης απόδοσης του τέλους ανθεκτικότητας στην κλιματική κρίση, ο τρόπος προσδιορισμού των προσώπων που είναι υπόχρεα στην απόδοση του τέλους, ο χρόνος και η διαδικασία επιβολής και απόδοσής του, το περιεχόμενο, η διαδικασία και ο τρόπος έκδοσης του ειδικού στοιχείου - απόδειξης είσπραξής του, καθώς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Τέλος στη συνδρομητική τηλεόραση</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στη συνδρομητική τηλεόραση», το οποίο βαρύνει τους συνδρομητές των επιχειρήσεων παροχής υπηρεσιών συνδρομητικής τηλεόρασης.</w:t>
      </w:r>
    </w:p>
    <w:p>
      <w:pPr>
        <w:spacing w:before="240" w:after="240"/>
        <w:rPr>
          <w:lang w:val="el" w:eastAsia="el"/>
        </w:rPr>
      </w:pPr>
      <w:r>
        <w:rPr>
          <w:lang w:val="el" w:eastAsia="el"/>
        </w:rPr>
        <w:t>Το τέλος αυτό επιβάλλεται επί κάθε μηνιαίου λογαριασμού κάθε σύνδεσης σε συνδρομητική τηλεόραση και υπολογίζεται ως ποσοστό δέκα τοις εκατό (10%)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w:t>
      </w:r>
    </w:p>
    <w:p>
      <w:pPr>
        <w:spacing w:before="240" w:after="240"/>
        <w:rPr>
          <w:lang w:val="el" w:eastAsia="el"/>
        </w:rPr>
      </w:pPr>
      <w:r>
        <w:rPr>
          <w:lang w:val="el" w:eastAsia="el"/>
        </w:rPr>
        <w:t>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των μηνών για τους οποίους εκδίδεται, εφόσον από αυτόν δεν προκύπτει διαφορετικός επιμερισμός.</w:t>
      </w:r>
    </w:p>
    <w:p>
      <w:pPr>
        <w:spacing w:before="240" w:after="240"/>
        <w:rPr>
          <w:lang w:val="el" w:eastAsia="el"/>
        </w:rPr>
      </w:pPr>
      <w:r>
        <w:rPr>
          <w:lang w:val="el" w:eastAsia="el"/>
        </w:rPr>
        <w:t>Το τέλος εισπράττεται από τις επιχειρήσεις παροχής υπηρεσιών συνδρομητικής τηλεόρασης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στη συνδρομητική τηλεόραση.</w:t>
      </w:r>
    </w:p>
    <w:p>
      <w:pPr>
        <w:pStyle w:val="MainText"/>
        <w:spacing w:before="120" w:after="0"/>
        <w:rPr>
          <w:lang w:val="el" w:eastAsia="el"/>
        </w:rPr>
      </w:pPr>
      <w:r>
        <w:rPr>
          <w:b/>
          <w:bCs/>
          <w:lang w:val="el" w:eastAsia="el"/>
        </w:rPr>
        <w:t>3.</w:t>
      </w:r>
      <w:r>
        <w:rPr>
          <w:lang w:val="el" w:eastAsia="el"/>
        </w:rPr>
        <w:t xml:space="preserve"> Στο τέλος του Παραρτήματος του Ν. 4174/2013 (Α΄ 170), όπως ισχύει, προστίθεται η φράση «Τέλος στη συνδρομητική τηλεόραση».</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καθορίζεται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άρθρου αυτού.</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αρχίζουν να ισχύουν από 1.6.2016 και καταλαμβάνουν λογαριασμούς που εκδίδονται από την ημερομηνία αυτή και μετά.</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Τέλος συνδρομητών σταθερής τηλεφωνίας</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συνδρομητών σταθερής τηλεφωνίας», το οποίο βαρύνει τους συνδρομητές των επιχειρήσεων παροχής υπηρεσιών σταθερής τηλεφωνίας.</w:t>
      </w:r>
    </w:p>
    <w:p>
      <w:pPr>
        <w:spacing w:before="240" w:after="240"/>
        <w:rPr>
          <w:lang w:val="el" w:eastAsia="el"/>
        </w:rPr>
      </w:pPr>
      <w:r>
        <w:rPr>
          <w:lang w:val="el" w:eastAsia="el"/>
        </w:rPr>
        <w:t>Το τέλος αυτό επιβάλλεται επί κάθε μηνιαίου λογαριασμού κάθε σύνδεσης σταθερής τηλεφωνίας με πρόσβαση σε υπηρεσίες φωνής ή/και ευρυζωνικής πρόσβασης (internet) και υπολογίζεται ως ποσοστό πέντε τοις εκατό (5%)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w:t>
      </w:r>
    </w:p>
    <w:p>
      <w:pPr>
        <w:spacing w:before="240" w:after="240"/>
        <w:rPr>
          <w:lang w:val="el" w:eastAsia="el"/>
        </w:rPr>
      </w:pPr>
      <w:r>
        <w:rPr>
          <w:lang w:val="el" w:eastAsia="el"/>
        </w:rPr>
        <w:t>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των μηνών για τους οποίους εκδίδεται, εφόσον από αυτόν δεν προκύπτει διαφορετικός επιμερισμός.</w:t>
      </w:r>
    </w:p>
    <w:p>
      <w:pPr>
        <w:spacing w:before="240" w:after="240"/>
        <w:rPr>
          <w:lang w:val="el" w:eastAsia="el"/>
        </w:rPr>
      </w:pPr>
      <w:r>
        <w:rPr>
          <w:lang w:val="el" w:eastAsia="el"/>
        </w:rPr>
        <w:t>Το τέλος εισπράττεται από τις επιχειρήσεις παροχής υπηρεσιών σταθερής τηλεφωνίας από τους συνδρομητές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συνδρομητών σταθερής τηλεφωνίας. </w:t>
      </w:r>
    </w:p>
    <w:p>
      <w:pPr>
        <w:pStyle w:val="MainText"/>
        <w:spacing w:before="120" w:after="0"/>
        <w:rPr>
          <w:lang w:val="el" w:eastAsia="el"/>
        </w:rPr>
      </w:pPr>
      <w:r>
        <w:rPr>
          <w:b/>
          <w:bCs/>
          <w:lang w:val="el" w:eastAsia="el"/>
        </w:rPr>
        <w:t>3.</w:t>
      </w:r>
      <w:r>
        <w:rPr>
          <w:lang w:val="el" w:eastAsia="el"/>
        </w:rPr>
        <w:t xml:space="preserve"> Στο τέλος του Παραρτήματος του Ν. 4174/2013 (Α΄ 170), όπως ισχύει, προστίθεται η φράση «Τέλος συνδρομητών σταθερής τηλεφωνίας».</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καθορίζεται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άρθρου αυτού.</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αρχίζουν να ισχύουν από 1.1.2017 και καταλαμβάνουν λογαριασμούς που εκδίδονται από την ημερομηνία αυτή και μετά.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Μαΐου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 και Διοικητικής Ανασυγκρότησης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Αναπληρωτής Υπουργός Εσωτερικών και Διοικητικής Ανασυγκρότησης</w:t>
      </w:r>
    </w:p>
    <w:p>
      <w:pPr>
        <w:spacing w:before="240" w:after="240"/>
        <w:rPr>
          <w:lang w:val="el" w:eastAsia="el"/>
        </w:rPr>
      </w:pPr>
      <w:r>
        <w:rPr>
          <w:lang w:val="el" w:eastAsia="el"/>
        </w:rPr>
        <w:t>ΧΡΙΣΤΟΦΟΡΟΣ ΒΕΡΝΑΡΔΑΚΗΣ</w:t>
      </w:r>
    </w:p>
    <w:p>
      <w:pPr>
        <w:spacing w:before="240" w:after="240"/>
        <w:rPr>
          <w:lang w:val="el" w:eastAsia="el"/>
        </w:rPr>
      </w:pPr>
      <w:r>
        <w:rPr>
          <w:lang w:val="el" w:eastAsia="el"/>
        </w:rPr>
        <w:t>Οικονομίας, Ανάπτυξης και Τουρισμού</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ΝΙΚΟΛΑΟΣ ΠΑΡΑΣΚΕΥΟΠΟΥΛΟΣ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ΓΕΩΡΓΙΟΣ ΚΑΤΡΟΥΓΚΑΛΟΣ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Αναπληρωτής Υπουργός Υγείας</w:t>
      </w:r>
    </w:p>
    <w:p>
      <w:pPr>
        <w:spacing w:before="240" w:after="240"/>
        <w:rPr>
          <w:lang w:val="el" w:eastAsia="el"/>
        </w:rPr>
      </w:pPr>
      <w:r>
        <w:rPr>
          <w:lang w:val="el" w:eastAsia="el"/>
        </w:rPr>
        <w:t>ΠΑΥΛΟΣ ΠΟΛΑΚΗΣ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ΤΡΥΦΩΝΑΣ ΑΛΕΞΙΑΔΗΣ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Αναπληρωτής Υπουργός Περιβάλλοντος και Ενέργειας</w:t>
      </w:r>
    </w:p>
    <w:p>
      <w:pPr>
        <w:spacing w:before="240" w:after="240"/>
        <w:rPr>
          <w:lang w:val="el" w:eastAsia="el"/>
        </w:rPr>
      </w:pPr>
      <w:r>
        <w:rPr>
          <w:lang w:val="el" w:eastAsia="el"/>
        </w:rPr>
        <w:t>ΙΩΑΝΝΗΣ ΤΣΙΡΩΝΗΣ</w:t>
      </w:r>
    </w:p>
    <w:p>
      <w:pPr>
        <w:spacing w:before="240" w:after="240"/>
        <w:rPr>
          <w:lang w:val="el" w:eastAsia="el"/>
        </w:rPr>
      </w:pPr>
      <w:r>
        <w:rPr>
          <w:lang w:val="el" w:eastAsia="el"/>
        </w:rPr>
        <w:t>Υποδομών, Μεταφορών και Δικτύων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ΘΕΟΔΩΡΟΣ ΔΡΙΤΣΑΣ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Επικρατείας</w:t>
      </w:r>
    </w:p>
    <w:p>
      <w:pPr>
        <w:spacing w:before="240" w:after="240"/>
        <w:rPr>
          <w:lang w:val="el" w:eastAsia="el"/>
        </w:rPr>
      </w:pPr>
      <w:r>
        <w:rPr>
          <w:lang w:val="el" w:eastAsia="el"/>
        </w:rPr>
        <w:t>ΑΛΕΞΑΝΔΡΟΣ ΦΛΑΜΠΟΥΡΑΡΗΣ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26 Μαΐου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ΝΙΚΟΛΑΟΣ ΠΑΡΑΣΚΕΥΟΠΟΥΛΟΣ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 w:history="1">
        <w:r>
          <w:rPr>
            <w:rStyle w:val="Hyperlink"/>
            <w:color w:val="0000EE"/>
            <w:u w:color="0000EE"/>
            <w:lang w:val="el" w:eastAsia="el"/>
          </w:rPr>
          <w:t>Τροποποίηση 5073/2023, Άρθρο 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 w:history="1">
        <w:r>
          <w:rPr>
            <w:rStyle w:val="Hyperlink"/>
            <w:color w:val="0000EE"/>
            <w:u w:color="0000EE"/>
            <w:lang w:val="el" w:eastAsia="el"/>
          </w:rPr>
          <w:t>Τροποποίηση 5073/2023, Άρθρο 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 w:history="1">
        <w:r>
          <w:rPr>
            <w:rStyle w:val="Hyperlink"/>
            <w:color w:val="0000EE"/>
            <w:u w:color="0000EE"/>
            <w:lang w:val="el" w:eastAsia="el"/>
          </w:rPr>
          <w:t>Τροποποίηση 5073/2023, Άρθρο 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 w:history="1">
        <w:r>
          <w:rPr>
            <w:rStyle w:val="Hyperlink"/>
            <w:color w:val="0000EE"/>
            <w:u w:color="0000EE"/>
            <w:lang w:val="el" w:eastAsia="el"/>
          </w:rPr>
          <w:t>Τροποποίηση 5073/2023, Άρθρο 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 w:history="1">
        <w:r>
          <w:rPr>
            <w:rStyle w:val="Hyperlink"/>
            <w:color w:val="0000EE"/>
            <w:u w:color="0000EE"/>
            <w:lang w:val="el" w:eastAsia="el"/>
          </w:rPr>
          <w:t>Τροποποίηση 5073/2023,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 w:history="1">
        <w:r>
          <w:rPr>
            <w:rStyle w:val="Hyperlink"/>
            <w:color w:val="0000EE"/>
            <w:u w:color="0000EE"/>
            <w:lang w:val="el" w:eastAsia="el"/>
          </w:rPr>
          <w:t>Τροποποίηση 5073/2023,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 w:history="1">
        <w:r>
          <w:rPr>
            <w:rStyle w:val="Hyperlink"/>
            <w:color w:val="0000EE"/>
            <w:u w:color="0000EE"/>
            <w:lang w:val="el" w:eastAsia="el"/>
          </w:rPr>
          <w:t>Τροποποίηση 5073/2023, Άρθρο 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 w:history="1">
        <w:r>
          <w:rPr>
            <w:rStyle w:val="Hyperlink"/>
            <w:color w:val="0000EE"/>
            <w:u w:color="0000EE"/>
            <w:lang w:val="el" w:eastAsia="el"/>
          </w:rPr>
          <w:t>Τροποποίηση 5073/2023,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 w:history="1">
        <w:r>
          <w:rPr>
            <w:rStyle w:val="Hyperlink"/>
            <w:color w:val="0000EE"/>
            <w:u w:color="0000EE"/>
            <w:lang w:val="el" w:eastAsia="el"/>
          </w:rPr>
          <w:t>Τροποποίηση 5073/2023,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 w:history="1">
        <w:r>
          <w:rPr>
            <w:rStyle w:val="Hyperlink"/>
            <w:color w:val="0000EE"/>
            <w:u w:color="0000EE"/>
            <w:lang w:val="el" w:eastAsia="el"/>
          </w:rPr>
          <w:t>Τροποποίηση 5073/2023, Άρθρο 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 w:history="1">
        <w:r>
          <w:rPr>
            <w:rStyle w:val="Hyperlink"/>
            <w:color w:val="0000EE"/>
            <w:u w:color="0000EE"/>
            <w:lang w:val="el" w:eastAsia="el"/>
          </w:rPr>
          <w:t>Τροποποίηση 5073/2023,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 w:history="1">
        <w:r>
          <w:rPr>
            <w:rStyle w:val="Hyperlink"/>
            <w:color w:val="0000EE"/>
            <w:u w:color="0000EE"/>
            <w:lang w:val="el" w:eastAsia="el"/>
          </w:rPr>
          <w:t>Τροποποίηση 5073/2023, Άρθρο 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5073/2023, Άρθρο 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5073/2023, Άρθρο 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 w:history="1">
        <w:r>
          <w:rPr>
            <w:rStyle w:val="Hyperlink"/>
            <w:color w:val="0000EE"/>
            <w:u w:color="0000EE"/>
            <w:lang w:val="el" w:eastAsia="el"/>
          </w:rPr>
          <w:t>Τροποποίηση 5073/2023, Άρθρο 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 w:history="1">
        <w:r>
          <w:rPr>
            <w:rStyle w:val="Hyperlink"/>
            <w:color w:val="0000EE"/>
            <w:u w:color="0000EE"/>
            <w:lang w:val="el" w:eastAsia="el"/>
          </w:rPr>
          <w:t>Τροποποίηση 5073/2023, Άρθρο 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 w:history="1">
        <w:r>
          <w:rPr>
            <w:rStyle w:val="Hyperlink"/>
            <w:color w:val="0000EE"/>
            <w:u w:color="0000EE"/>
            <w:lang w:val="el" w:eastAsia="el"/>
          </w:rPr>
          <w:t>Τροποποίηση 5073/2023, Άρθρο 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 w:history="1">
        <w:r>
          <w:rPr>
            <w:rStyle w:val="Hyperlink"/>
            <w:color w:val="0000EE"/>
            <w:u w:color="0000EE"/>
            <w:lang w:val="el" w:eastAsia="el"/>
          </w:rPr>
          <w:t>Τροποποίηση 5073/2023, Άρθρο 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 w:history="1">
        <w:r>
          <w:rPr>
            <w:rStyle w:val="Hyperlink"/>
            <w:color w:val="0000EE"/>
            <w:u w:color="0000EE"/>
            <w:lang w:val="el" w:eastAsia="el"/>
          </w:rPr>
          <w:t>Τροποποίηση 5073/2023, Άρθρο 3</w:t>
        </w:r>
      </w:hyperlink>
      <w:r>
        <w:rPr>
          <w:lang w:val="el" w:eastAsia="el"/>
        </w:rPr>
        <w:t xml:space="preserve">; </w:t>
      </w:r>
      <w:hyperlink r:id="rId20" w:anchor="art_120" w:history="1">
        <w:r>
          <w:rPr>
            <w:rStyle w:val="Hyperlink"/>
            <w:color w:val="0000EE"/>
            <w:u w:color="0000EE"/>
            <w:lang w:val="el" w:eastAsia="el"/>
          </w:rPr>
          <w:t>Τροποποίηση 4514/2018, Άρθρο 120</w:t>
        </w:r>
      </w:hyperlink>
      <w:r>
        <w:rPr>
          <w:lang w:val="el" w:eastAsia="el"/>
        </w:rPr>
        <w:t xml:space="preserve">; </w:t>
      </w:r>
      <w:hyperlink r:id="rId21" w:anchor="art_72" w:history="1">
        <w:r>
          <w:rPr>
            <w:rStyle w:val="Hyperlink"/>
            <w:color w:val="0000EE"/>
            <w:u w:color="0000EE"/>
            <w:lang w:val="el" w:eastAsia="el"/>
          </w:rPr>
          <w:t>Τροποποίηση 4472/2017, Άρθρο 72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 w:history="1">
        <w:r>
          <w:rPr>
            <w:rStyle w:val="Hyperlink"/>
            <w:color w:val="0000EE"/>
            <w:u w:color="0000EE"/>
            <w:lang w:val="el" w:eastAsia="el"/>
          </w:rPr>
          <w:t>Τροποποίηση 5073/2023, Άρθρο 3</w:t>
        </w:r>
      </w:hyperlink>
      <w:r>
        <w:rPr>
          <w:lang w:val="el" w:eastAsia="el"/>
        </w:rPr>
        <w:t xml:space="preserve">; </w:t>
      </w:r>
      <w:hyperlink r:id="rId23" w:anchor="art_120" w:history="1">
        <w:r>
          <w:rPr>
            <w:rStyle w:val="Hyperlink"/>
            <w:color w:val="0000EE"/>
            <w:u w:color="0000EE"/>
            <w:lang w:val="el" w:eastAsia="el"/>
          </w:rPr>
          <w:t>Τροποποίηση 4514/2018, Άρθρο 120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0" w:history="1">
        <w:r>
          <w:rPr>
            <w:rStyle w:val="Hyperlink"/>
            <w:color w:val="0000EE"/>
            <w:u w:color="0000EE"/>
            <w:lang w:val="el" w:eastAsia="el"/>
          </w:rPr>
          <w:t>Αφαίρεση 5073/2023, Άρθρο 30</w:t>
        </w:r>
      </w:hyperlink>
      <w:r>
        <w:rPr>
          <w:lang w:val="el" w:eastAsia="el"/>
        </w:rPr>
        <w:t>; Προσθήκη PNP2/2019, Άρθρο 1</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0" w:history="1">
        <w:r>
          <w:rPr>
            <w:rStyle w:val="Hyperlink"/>
            <w:color w:val="0000EE"/>
            <w:u w:color="0000EE"/>
            <w:lang w:val="el" w:eastAsia="el"/>
          </w:rPr>
          <w:t>Τροποποίηση 5073/2023, Άρθρο 30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0" w:history="1">
        <w:r>
          <w:rPr>
            <w:rStyle w:val="Hyperlink"/>
            <w:color w:val="0000EE"/>
            <w:u w:color="0000EE"/>
            <w:lang w:val="el" w:eastAsia="el"/>
          </w:rPr>
          <w:t>Αφαίρεση 5073/2023, Άρθρο 30</w:t>
        </w:r>
      </w:hyperlink>
      <w:r>
        <w:rPr>
          <w:lang w:val="el" w:eastAsia="el"/>
        </w:rPr>
        <w:t xml:space="preserve">; </w:t>
      </w:r>
      <w:hyperlink r:id="rId27" w:anchor="art_120" w:history="1">
        <w:r>
          <w:rPr>
            <w:rStyle w:val="Hyperlink"/>
            <w:color w:val="0000EE"/>
            <w:u w:color="0000EE"/>
            <w:lang w:val="el" w:eastAsia="el"/>
          </w:rPr>
          <w:t>Τροποποίηση 4514/2018, Άρθρο 120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0" w:history="1">
        <w:r>
          <w:rPr>
            <w:rStyle w:val="Hyperlink"/>
            <w:color w:val="0000EE"/>
            <w:u w:color="0000EE"/>
            <w:lang w:val="el" w:eastAsia="el"/>
          </w:rPr>
          <w:t>Αφαίρεση 5073/2023, Άρθρο 30</w:t>
        </w:r>
      </w:hyperlink>
      <w:r>
        <w:rPr>
          <w:lang w:val="el" w:eastAsia="el"/>
        </w:rPr>
        <w:t xml:space="preserve">; </w:t>
      </w:r>
      <w:hyperlink r:id="rId29" w:anchor="art_120" w:history="1">
        <w:r>
          <w:rPr>
            <w:rStyle w:val="Hyperlink"/>
            <w:color w:val="0000EE"/>
            <w:u w:color="0000EE"/>
            <w:lang w:val="el" w:eastAsia="el"/>
          </w:rPr>
          <w:t>Τροποποίηση 4514/2018, Άρθρο 120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3/12/09/5073" TargetMode="External" /><Relationship Id="rId10" Type="http://schemas.openxmlformats.org/officeDocument/2006/relationships/hyperlink" Target="http://data.aade.gr/eli/pri/law/2023/12/09/5073" TargetMode="External" /><Relationship Id="rId11" Type="http://schemas.openxmlformats.org/officeDocument/2006/relationships/hyperlink" Target="http://data.aade.gr/eli/pri/law/2023/12/09/5073" TargetMode="External" /><Relationship Id="rId12" Type="http://schemas.openxmlformats.org/officeDocument/2006/relationships/hyperlink" Target="http://data.aade.gr/eli/pri/law/2023/12/09/5073" TargetMode="External" /><Relationship Id="rId13" Type="http://schemas.openxmlformats.org/officeDocument/2006/relationships/hyperlink" Target="http://data.aade.gr/eli/pri/law/2023/12/09/5073" TargetMode="External" /><Relationship Id="rId14" Type="http://schemas.openxmlformats.org/officeDocument/2006/relationships/hyperlink" Target="http://data.aade.gr/eli/pri/law/2023/12/09/5073" TargetMode="External" /><Relationship Id="rId15" Type="http://schemas.openxmlformats.org/officeDocument/2006/relationships/hyperlink" Target="http://data.aade.gr/eli/pri/law/2023/12/09/5073" TargetMode="External" /><Relationship Id="rId16" Type="http://schemas.openxmlformats.org/officeDocument/2006/relationships/hyperlink" Target="http://data.aade.gr/eli/pri/law/2023/12/09/5073" TargetMode="External" /><Relationship Id="rId17" Type="http://schemas.openxmlformats.org/officeDocument/2006/relationships/hyperlink" Target="http://data.aade.gr/eli/pri/law/2023/12/09/5073" TargetMode="External" /><Relationship Id="rId18" Type="http://schemas.openxmlformats.org/officeDocument/2006/relationships/hyperlink" Target="http://data.aade.gr/eli/pri/law/2023/12/09/5073" TargetMode="External" /><Relationship Id="rId19" Type="http://schemas.openxmlformats.org/officeDocument/2006/relationships/hyperlink" Target="http://data.aade.gr/eli/pri/law/2023/12/09/5073" TargetMode="External" /><Relationship Id="rId2" Type="http://schemas.openxmlformats.org/officeDocument/2006/relationships/hyperlink" Target="http://data.aade.gr/eli/pri/law/2023/12/09/5073" TargetMode="External" /><Relationship Id="rId20" Type="http://schemas.openxmlformats.org/officeDocument/2006/relationships/hyperlink" Target="http://data.aade.gr/eli/pri/law/2018/01/30/4514" TargetMode="External" /><Relationship Id="rId21" Type="http://schemas.openxmlformats.org/officeDocument/2006/relationships/hyperlink" Target="http://data.aade.gr/eli/pri/law/2017/05/19/4472" TargetMode="External" /><Relationship Id="rId22" Type="http://schemas.openxmlformats.org/officeDocument/2006/relationships/hyperlink" Target="http://data.aade.gr/eli/pri/law/2023/12/09/5073" TargetMode="External" /><Relationship Id="rId23" Type="http://schemas.openxmlformats.org/officeDocument/2006/relationships/hyperlink" Target="http://data.aade.gr/eli/pri/law/2018/01/30/4514" TargetMode="External" /><Relationship Id="rId24" Type="http://schemas.openxmlformats.org/officeDocument/2006/relationships/hyperlink" Target="http://data.aade.gr/eli/pri/law/2023/12/09/5073" TargetMode="External" /><Relationship Id="rId25" Type="http://schemas.openxmlformats.org/officeDocument/2006/relationships/hyperlink" Target="http://data.aade.gr/eli/pri/law/2023/12/09/5073" TargetMode="External" /><Relationship Id="rId26" Type="http://schemas.openxmlformats.org/officeDocument/2006/relationships/hyperlink" Target="http://data.aade.gr/eli/pri/law/2023/12/09/5073" TargetMode="External" /><Relationship Id="rId27" Type="http://schemas.openxmlformats.org/officeDocument/2006/relationships/hyperlink" Target="http://data.aade.gr/eli/pri/law/2018/01/30/4514" TargetMode="External" /><Relationship Id="rId28" Type="http://schemas.openxmlformats.org/officeDocument/2006/relationships/hyperlink" Target="http://data.aade.gr/eli/pri/law/2023/12/09/5073" TargetMode="External" /><Relationship Id="rId29" Type="http://schemas.openxmlformats.org/officeDocument/2006/relationships/hyperlink" Target="http://data.aade.gr/eli/pri/law/2018/01/30/4514" TargetMode="External" /><Relationship Id="rId3" Type="http://schemas.openxmlformats.org/officeDocument/2006/relationships/hyperlink" Target="http://data.aade.gr/eli/pri/law/2023/12/09/5073" TargetMode="External" /><Relationship Id="rId4" Type="http://schemas.openxmlformats.org/officeDocument/2006/relationships/hyperlink" Target="http://data.aade.gr/eli/pri/law/2023/12/09/5073" TargetMode="External" /><Relationship Id="rId5" Type="http://schemas.openxmlformats.org/officeDocument/2006/relationships/hyperlink" Target="http://data.aade.gr/eli/pri/law/2023/12/09/5073" TargetMode="External" /><Relationship Id="rId6" Type="http://schemas.openxmlformats.org/officeDocument/2006/relationships/hyperlink" Target="http://data.aade.gr/eli/pri/law/2023/12/09/5073" TargetMode="External" /><Relationship Id="rId7" Type="http://schemas.openxmlformats.org/officeDocument/2006/relationships/hyperlink" Target="http://data.aade.gr/eli/pri/law/2023/12/09/5073" TargetMode="External" /><Relationship Id="rId8" Type="http://schemas.openxmlformats.org/officeDocument/2006/relationships/hyperlink" Target="http://data.aade.gr/eli/pri/law/2023/12/09/5073" TargetMode="External" /><Relationship Id="rId9" Type="http://schemas.openxmlformats.org/officeDocument/2006/relationships/hyperlink" Target="http://data.aade.gr/eli/pri/law/2023/12/09/50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