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4446/2016</w:t>
      </w:r>
    </w:p>
    <w:p>
      <w:pPr>
        <w:pStyle w:val="PreambelText"/>
        <w:spacing w:before="240" w:after="240"/>
        <w:rPr>
          <w:lang w:val="el" w:eastAsia="el"/>
        </w:rPr>
      </w:pPr>
      <w:r>
        <w:rPr>
          <w:lang w:val="el" w:eastAsia="el"/>
        </w:rPr>
        <w:t>ΝΟΜΟΣ ΥΠ’ ΑΡΙΘΜ. 4446</w:t>
      </w:r>
    </w:p>
    <w:p>
      <w:pPr>
        <w:pStyle w:val="PreambelText"/>
        <w:spacing w:before="240" w:after="240"/>
        <w:rPr>
          <w:lang w:val="el" w:eastAsia="el"/>
        </w:rPr>
      </w:pPr>
      <w:r>
        <w:rPr>
          <w:lang w:val="el" w:eastAsia="el"/>
        </w:rPr>
        <w:t>(ΦΕΚ Α' 240/22.12.2016)</w:t>
      </w:r>
    </w:p>
    <w:p>
      <w:pPr>
        <w:pStyle w:val="PreambelText"/>
        <w:spacing w:before="240" w:after="240"/>
        <w:rPr>
          <w:lang w:val="el" w:eastAsia="el"/>
        </w:rPr>
      </w:pPr>
      <w:r>
        <w:rPr>
          <w:lang w:val="el" w:eastAsia="el"/>
        </w:rPr>
        <w:t>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Χορήγηση αποδεικτικών φορολογικής και ασφαλιστικής ενημερότητας και 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και άλλα συναφή θέματα.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Χορηγούνται στην ανώνυμη εταιρεία με την επωνυμία «ΕΛΛΗΝΙΚΑ ΑΜΥΝΤΙΚΑ ΣΥΣΤΗΜΑΤΑ Α.Β.Ε.Ε.» αποδεικτικά φορολογικής και ασφαλιστικής ενημερότητας για χρονικό διάστημα σαράντα δύο (42) μηνών από την 22η Δεκεμβρίου του έτους 2016 κατά παρέκκλιση κάθε γενικής και ειδικής διάταξης, ώστε να καταστεί δυνατή η λειτουργία και η δραστηριότητά της. Εφόσον τα ανωτέρω αποδεικτικά χορηγούνται για την είσπραξη χρημάτων, περιλαμβάνουν τον όρο της παρακράτησης ποσοστού πέντε τοις εκατό (5%) επί του εισπραττόμενου ποσού.</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Για τις ανάγκες σύνταξης συμβολαιογραφικής πράξης πώλησης και μεταβίβασης κυριότητας ή προσυμφώνου της των δύο γηπέδων, που βρίσκονται στη θέση «Βλύχα» ή «Στενά» ή «Φαρδιά Βλύχα» του Δήμου Ελευσίνας της Περιφερειακής Ενότητας Δυτικής Αττικής της Περιφέρειας Αττικής, συνολικής έκτασης, κατά μεν τον τίτλο κτήσεως, μέτρων τετραγωνικών τετρακοσίων ενενήντα οκτώ χιλιάδων τριακοσίων δύο (498.302,00), κατά δε το κτηματολόγιο, μέτρων τετραγωνικών τετρακοσίων πενήντα μίας χιλιάδων πεντακοσίων ογδόντα εννέα (451.589,00), τεμνόμενης, της συνολικής εκτάσεως, από την παλαιά Εθνική Οδό Αθηνών - Κορίνθου, και ειδικότερα εκτάσεως, κατά τον άνω τίτλο κτήσης, του μεν Α γηπέδου μέτρων τετραγωνικών εκατόν σαράντα μίας χιλιάδων εκατόν ενενήντα έξι (141.196,00), κατά δε το κτηματολόγιο μέτρων τετραγωνικών εκατόν είκοσι τεσσάρων χιλιάδων τετρακοσίων (124.400,00), του δε Β γηπέδου, κατά τον άνω τίτλο κτήσης, μέτρων τετραγωνικών τριακοσίων πενήντα επτά χιλιάδων εκατόν έξι (357.106,00), κατά δε το κτηματολόγιο μέτρων τετραγωνικών τριακοσίων είκοσι επτά χιλιάδων εκατόν ογδόντα εννέα (327.189,00), ή της όποιας έκτασης αυτών προκύψει από τη νεώτερη καταμέτρησή τους, τα οποία ανήκουν κατά πλήρη κυριότητα, νομή και κατοχή στην ανώνυμη εταιρεία με την επωνυμία «ΕΛΛΗΝΙΚΑ ΑΜΥΝΤΙΚΑ ΣΥΣΤΗΜΑΤΑ Α.Β.Ε.Ε.», χορηγούνται, κατά παρέκκλιση κάθε γενικής και ειδικής διάταξης, αποδεικτικά φορολογικής και ασφαλιστικής ενημερότητας για χρονικό διάστημα σαράντα δύο (42) μηνών από την 22η Δεκεμβρίου του έτους 2016, υπό τον όρο παρακράτησης υπέρ του Ελληνικού Δημοσίου ποσοστού επτά τοις εκατό (7%) επί του συμφωνημένου τιμήματος κατά την καταβολή αυτού. Το ποσό της παρακράτησης αποδίδεται στο Ελληνικό Δημόσιο από τον συμβολαιογράφο εντός τριών (3) ημερών από την καταβολή του συμφωνημένου τιμήματος.</w:t>
      </w:r>
    </w:p>
    <w:p>
      <w:pPr>
        <w:spacing w:before="240" w:after="240"/>
        <w:rPr>
          <w:lang w:val="el" w:eastAsia="el"/>
        </w:rPr>
      </w:pPr>
      <w:r>
        <w:rPr>
          <w:lang w:val="el" w:eastAsia="el"/>
        </w:rPr>
        <w:t>Επίσης, κατά παρέκκλιση κάθε γενικής και ειδικής διάταξης, χορηγούνται, για χρονικό διάστημα σαράντα δύο (42) μηνών από την 22η Δεκεμβρίου του έτους 2016, στην ως άνω εταιρεία, πιστοποιητικά της Φορολογικής Διοίκησης, με τα οποία βεβαιώνεται ότι η όλη ως άνω αναφερόμενη έκταση, ήτοι αμφότερα τα γήπεδα, περιλαμβάνονται στις δηλώσεις Φόρου Ακίνητης Περιουσίας, καθώς και του Ενιαίου Φόρου Ιδιοκτησίας Ακινήτων (ΕΝ.Φ.Ι.Α.). Τα δύο ως άνω αναφερόμενα γήπεδα μπορούν να μεταβιβαστούν ή να επιβαρυνθούν με εμπράγματα βάρη και εξασφαλίσεις, αποκλειστικά υπέρ του προς όντα η μεταβίβαση των άνω ακινήτων ή υπέρ του εκ προσυμφώνου αγοραστή σύμφωνα με την περίπτωση δ΄ της παραγράφου 1 του άρθρου 126, είτε ενιαίως ως ένα ακίνητο, είτε τμηματικά ως πλείονα ακίνητα. Από το ποσοστό επτά τοις εκατό (7%) του συμφωνημένου τιμήματος, που παρακρατείται σύμφωνα με το πρώτο εδάφιο της παρούσας παραγράφου, εξοφλούνται κατά προτεραιότητα οι αναλογούντες στα αναφερόμενα στο ίδιο εδάφιο ακίνητα, Φόρος Ακίνητης Περιουσίας και Ενιαίος Φόρος Ιδιοκτησίας Ακινήτων (ΕΝ.Φ.Ι.Α.).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Για χρονικό διάστημα σαράντα δύο (42) μηνών από την 22η Δεκεμβρίου του έτους 2016 πάσης φύσεως επιχορηγήσεις και καταβολές προς την ανώνυμη εταιρεία με την επωνυμία «ΕΛΛΗΝΙΚΑ ΑΜΥΝΤΙΚΑ ΣΥΣΤΗΜΑΤΑ Α.Β.Ε.Ε.» δεν δύνανται να συμψηφιστούν αυτεπαγγέλτως με οφειλές αυτής προς το Δημόσιο, σε Ν.Π.Δ.Δ., σε Ασφαλιστικούς Οργανισμούς και σε Ο.Τ.Α. α΄ και β΄ βαθμού.</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Οικονομίας και Ανάπτυξης</w:t>
      </w:r>
    </w:p>
    <w:p>
      <w:pPr>
        <w:spacing w:before="240" w:after="240"/>
        <w:rPr>
          <w:lang w:val="el" w:eastAsia="el"/>
        </w:rPr>
      </w:pPr>
      <w:r>
        <w:rPr>
          <w:lang w:val="el" w:eastAsia="el"/>
        </w:rPr>
        <w:t>ΔΗΜΟΣ ΠΑΠΑΔΗΜΗΤΡΙΟΥ</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Αναπληρώτρια Υπουργός Εθνικής Άμυνας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ΟΥΡΑΝΙΑ ΑΝΤΩΝΟΠΟΥΛΟΥ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Αναπληρωτής Υπουργός Δικαιοσύνης, Διαφάνειας και Ανθρωπίνων Δικαιωμάτων</w:t>
      </w:r>
    </w:p>
    <w:p>
      <w:pPr>
        <w:spacing w:before="240" w:after="240"/>
        <w:rPr>
          <w:lang w:val="el" w:eastAsia="el"/>
        </w:rPr>
      </w:pPr>
      <w:r>
        <w:rPr>
          <w:lang w:val="el" w:eastAsia="el"/>
        </w:rPr>
        <w:t>ΔΗΜΗΤΡΙΟΣ ΠΑΠΑΓΓΕΛΟΠΟΥΛΟΣ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ΓΕΩΡΓΙΟΣ ΒΑΣΙΛΕΙΑΔΗΣ</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ΙΩΑΝΝΗΣ ΜΟΥΖΑΛΑΣ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4650/2019, Άρθρο 7; Τροποποίηση 4460/2017, Άρθρο 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4650/2019, Άρθρο 7; </w:t>
      </w:r>
      <w:hyperlink r:id="rId1" w:anchor="art_13" w:history="1">
        <w:r>
          <w:rPr>
            <w:rStyle w:val="Hyperlink"/>
            <w:color w:val="0000EE"/>
            <w:u w:color="0000EE"/>
            <w:lang w:val="el" w:eastAsia="el"/>
          </w:rPr>
          <w:t>Τροποποίηση 4618/2019, Άρθρο 13</w:t>
        </w:r>
      </w:hyperlink>
      <w:r>
        <w:rPr>
          <w:lang w:val="el" w:eastAsia="el"/>
        </w:rPr>
        <w:t xml:space="preserve">; Τροποποίηση 4585/2018, Άρθρο 31; Τροποποίηση 4550/2018, Άρθρο 2; </w:t>
      </w:r>
      <w:hyperlink r:id="rId2" w:anchor="art_29" w:history="1">
        <w:r>
          <w:rPr>
            <w:rStyle w:val="Hyperlink"/>
            <w:color w:val="0000EE"/>
            <w:u w:color="0000EE"/>
            <w:lang w:val="el" w:eastAsia="el"/>
          </w:rPr>
          <w:t>Τροποποίηση 4508/2017, Άρθρο 29</w:t>
        </w:r>
      </w:hyperlink>
      <w:r>
        <w:rPr>
          <w:lang w:val="el" w:eastAsia="el"/>
        </w:rPr>
        <w:t xml:space="preserve">; </w:t>
      </w:r>
      <w:hyperlink r:id="rId3"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4650/2019, Άρθρο 7; </w:t>
      </w:r>
      <w:hyperlink r:id="rId4" w:anchor="art_13" w:history="1">
        <w:r>
          <w:rPr>
            <w:rStyle w:val="Hyperlink"/>
            <w:color w:val="0000EE"/>
            <w:u w:color="0000EE"/>
            <w:lang w:val="el" w:eastAsia="el"/>
          </w:rPr>
          <w:t>Τροποποίηση 4618/2019, Άρθρο 13</w:t>
        </w:r>
      </w:hyperlink>
      <w:r>
        <w:rPr>
          <w:lang w:val="el" w:eastAsia="el"/>
        </w:rPr>
        <w:t xml:space="preserve">; Τροποποίηση 4585/2018, Άρθρο 31; Τροποποίηση 4550/2018, Άρθρο 2; </w:t>
      </w:r>
      <w:hyperlink r:id="rId5" w:anchor="art_29" w:history="1">
        <w:r>
          <w:rPr>
            <w:rStyle w:val="Hyperlink"/>
            <w:color w:val="0000EE"/>
            <w:u w:color="0000EE"/>
            <w:lang w:val="el" w:eastAsia="el"/>
          </w:rPr>
          <w:t>Τροποποίηση 4508/2017, Άρθρο 29</w:t>
        </w:r>
      </w:hyperlink>
      <w:r>
        <w:rPr>
          <w:lang w:val="el" w:eastAsia="el"/>
        </w:rPr>
        <w:t xml:space="preserve">; </w:t>
      </w:r>
      <w:hyperlink r:id="rId6"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4650/2019, Άρθρο 7; </w:t>
      </w:r>
      <w:hyperlink r:id="rId7" w:anchor="art_13" w:history="1">
        <w:r>
          <w:rPr>
            <w:rStyle w:val="Hyperlink"/>
            <w:color w:val="0000EE"/>
            <w:u w:color="0000EE"/>
            <w:lang w:val="el" w:eastAsia="el"/>
          </w:rPr>
          <w:t>Τροποποίηση 4618/2019, Άρθρο 13</w:t>
        </w:r>
      </w:hyperlink>
      <w:r>
        <w:rPr>
          <w:lang w:val="el" w:eastAsia="el"/>
        </w:rPr>
        <w:t xml:space="preserve">; Τροποποίηση 4585/2018, Άρθρο 31; Τροποποίηση 4550/2018, Άρθρο 2; </w:t>
      </w:r>
      <w:hyperlink r:id="rId8" w:anchor="art_29" w:history="1">
        <w:r>
          <w:rPr>
            <w:rStyle w:val="Hyperlink"/>
            <w:color w:val="0000EE"/>
            <w:u w:color="0000EE"/>
            <w:lang w:val="el" w:eastAsia="el"/>
          </w:rPr>
          <w:t>Τροποποίηση 4508/2017, Άρθρο 29</w:t>
        </w:r>
      </w:hyperlink>
      <w:r>
        <w:rPr>
          <w:lang w:val="el" w:eastAsia="el"/>
        </w:rPr>
        <w:t xml:space="preserve">; </w:t>
      </w:r>
      <w:hyperlink r:id="rId9"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06/10/4618" TargetMode="External" /><Relationship Id="rId2" Type="http://schemas.openxmlformats.org/officeDocument/2006/relationships/hyperlink" Target="http://data.aade.gr/eli/pri/law/2017/12/22/4508" TargetMode="External" /><Relationship Id="rId3" Type="http://schemas.openxmlformats.org/officeDocument/2006/relationships/hyperlink" Target="http://data.aade.gr/eli/pri/law/2017/08/01/4484" TargetMode="External" /><Relationship Id="rId4" Type="http://schemas.openxmlformats.org/officeDocument/2006/relationships/hyperlink" Target="http://data.aade.gr/eli/pri/law/2019/06/10/4618" TargetMode="External" /><Relationship Id="rId5" Type="http://schemas.openxmlformats.org/officeDocument/2006/relationships/hyperlink" Target="http://data.aade.gr/eli/pri/law/2017/12/22/4508" TargetMode="External" /><Relationship Id="rId6" Type="http://schemas.openxmlformats.org/officeDocument/2006/relationships/hyperlink" Target="http://data.aade.gr/eli/pri/law/2017/08/01/4484" TargetMode="External" /><Relationship Id="rId7" Type="http://schemas.openxmlformats.org/officeDocument/2006/relationships/hyperlink" Target="http://data.aade.gr/eli/pri/law/2019/06/10/4618" TargetMode="External" /><Relationship Id="rId8" Type="http://schemas.openxmlformats.org/officeDocument/2006/relationships/hyperlink" Target="http://data.aade.gr/eli/pri/law/2017/12/22/4508" TargetMode="External" /><Relationship Id="rId9" Type="http://schemas.openxmlformats.org/officeDocument/2006/relationships/hyperlink" Target="http://data.aade.gr/eli/pri/law/2017/08/01/448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