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εκατόν δεκατεσσάρων (114) μηνών από την 22α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έκτασης,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εκατόν δεκατεσσάρων (114) μηνών από την 22α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εκατόν δεκατεσσάρων (114) μηνών από την 22α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2Α.</w:t>
      </w:r>
      <w:r>
        <w:rPr>
          <w:lang w:val="el" w:eastAsia="el"/>
        </w:rPr>
        <w:t xml:space="preserve">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Για χρονικό διάστημα εκατόν δεκατεσσάρων (114) μηνών από την 22α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5" w:history="1">
        <w:r>
          <w:rPr>
            <w:rStyle w:val="Hyperlink"/>
            <w:color w:val="0000EE"/>
            <w:u w:color="0000EE"/>
            <w:lang w:val="el" w:eastAsia="el"/>
          </w:rPr>
          <w:t>Τροποποίηση 5217/2025, Άρθρο 95</w:t>
        </w:r>
      </w:hyperlink>
      <w:r>
        <w:rPr>
          <w:lang w:val="el" w:eastAsia="el"/>
        </w:rPr>
        <w:t xml:space="preserve">; </w:t>
      </w:r>
      <w:hyperlink r:id="rId2" w:anchor="art_63" w:history="1">
        <w:r>
          <w:rPr>
            <w:rStyle w:val="Hyperlink"/>
            <w:color w:val="0000EE"/>
            <w:u w:color="0000EE"/>
            <w:lang w:val="el" w:eastAsia="el"/>
          </w:rPr>
          <w:t>Τροποποίηση 5113/2024, Άρθρο 63</w:t>
        </w:r>
      </w:hyperlink>
      <w:r>
        <w:rPr>
          <w:lang w:val="el" w:eastAsia="el"/>
        </w:rPr>
        <w:t xml:space="preserve">; </w:t>
      </w:r>
      <w:hyperlink r:id="rId3" w:anchor="art_97" w:history="1">
        <w:r>
          <w:rPr>
            <w:rStyle w:val="Hyperlink"/>
            <w:color w:val="0000EE"/>
            <w:u w:color="0000EE"/>
            <w:lang w:val="el" w:eastAsia="el"/>
          </w:rPr>
          <w:t>Τροποποίηση 5036/2023, Άρθρο 97</w:t>
        </w:r>
      </w:hyperlink>
      <w:r>
        <w:rPr>
          <w:lang w:val="el" w:eastAsia="el"/>
        </w:rPr>
        <w:t xml:space="preserve">; Τροποποίηση 4947/2022, Άρθρο 49; </w:t>
      </w:r>
      <w:hyperlink r:id="rId4" w:anchor="art_157" w:history="1">
        <w:r>
          <w:rPr>
            <w:rStyle w:val="Hyperlink"/>
            <w:color w:val="0000EE"/>
            <w:u w:color="0000EE"/>
            <w:lang w:val="el" w:eastAsia="el"/>
          </w:rPr>
          <w:t>Τροποποίηση 4808/2021, Άρθρο 157</w:t>
        </w:r>
      </w:hyperlink>
      <w:r>
        <w:rPr>
          <w:lang w:val="el" w:eastAsia="el"/>
        </w:rPr>
        <w:t xml:space="preserve">; </w:t>
      </w:r>
      <w:hyperlink r:id="rId5"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6"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7" w:anchor="art_29" w:history="1">
        <w:r>
          <w:rPr>
            <w:rStyle w:val="Hyperlink"/>
            <w:color w:val="0000EE"/>
            <w:u w:color="0000EE"/>
            <w:lang w:val="el" w:eastAsia="el"/>
          </w:rPr>
          <w:t>Τροποποίηση 4508/2017, Άρθρο 29</w:t>
        </w:r>
      </w:hyperlink>
      <w:r>
        <w:rPr>
          <w:lang w:val="el" w:eastAsia="el"/>
        </w:rPr>
        <w:t xml:space="preserve">; </w:t>
      </w:r>
      <w:hyperlink r:id="rId8"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95" w:history="1">
        <w:r>
          <w:rPr>
            <w:rStyle w:val="Hyperlink"/>
            <w:color w:val="0000EE"/>
            <w:u w:color="0000EE"/>
            <w:lang w:val="el" w:eastAsia="el"/>
          </w:rPr>
          <w:t>Τροποποίηση 5217/2025, Άρθρο 95</w:t>
        </w:r>
      </w:hyperlink>
      <w:r>
        <w:rPr>
          <w:lang w:val="el" w:eastAsia="el"/>
        </w:rPr>
        <w:t xml:space="preserve">; </w:t>
      </w:r>
      <w:hyperlink r:id="rId10" w:anchor="art_63" w:history="1">
        <w:r>
          <w:rPr>
            <w:rStyle w:val="Hyperlink"/>
            <w:color w:val="0000EE"/>
            <w:u w:color="0000EE"/>
            <w:lang w:val="el" w:eastAsia="el"/>
          </w:rPr>
          <w:t>Τροποποίηση 5113/2024, Άρθρο 63</w:t>
        </w:r>
      </w:hyperlink>
      <w:r>
        <w:rPr>
          <w:lang w:val="el" w:eastAsia="el"/>
        </w:rPr>
        <w:t xml:space="preserve">; </w:t>
      </w:r>
      <w:hyperlink r:id="rId11" w:anchor="art_97" w:history="1">
        <w:r>
          <w:rPr>
            <w:rStyle w:val="Hyperlink"/>
            <w:color w:val="0000EE"/>
            <w:u w:color="0000EE"/>
            <w:lang w:val="el" w:eastAsia="el"/>
          </w:rPr>
          <w:t>5036/2023, Άρθρο 97</w:t>
        </w:r>
      </w:hyperlink>
      <w:r>
        <w:rPr>
          <w:lang w:val="el" w:eastAsia="el"/>
        </w:rPr>
        <w:t xml:space="preserve">; Τροποποίηση 4947/2022, Άρθρο 49; </w:t>
      </w:r>
      <w:hyperlink r:id="rId12" w:anchor="art_157" w:history="1">
        <w:r>
          <w:rPr>
            <w:rStyle w:val="Hyperlink"/>
            <w:color w:val="0000EE"/>
            <w:u w:color="0000EE"/>
            <w:lang w:val="el" w:eastAsia="el"/>
          </w:rPr>
          <w:t>Τροποποίηση 4808/2021, Άρθρο 157</w:t>
        </w:r>
      </w:hyperlink>
      <w:r>
        <w:rPr>
          <w:lang w:val="el" w:eastAsia="el"/>
        </w:rPr>
        <w:t xml:space="preserve">; </w:t>
      </w:r>
      <w:hyperlink r:id="rId13"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4"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5" w:anchor="art_29" w:history="1">
        <w:r>
          <w:rPr>
            <w:rStyle w:val="Hyperlink"/>
            <w:color w:val="0000EE"/>
            <w:u w:color="0000EE"/>
            <w:lang w:val="el" w:eastAsia="el"/>
          </w:rPr>
          <w:t>Τροποποίηση 4508/2017, Άρθρο 29</w:t>
        </w:r>
      </w:hyperlink>
      <w:r>
        <w:rPr>
          <w:lang w:val="el" w:eastAsia="el"/>
        </w:rPr>
        <w:t xml:space="preserve">; </w:t>
      </w:r>
      <w:hyperlink r:id="rId1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1" w:history="1">
        <w:r>
          <w:rPr>
            <w:rStyle w:val="Hyperlink"/>
            <w:color w:val="0000EE"/>
            <w:u w:color="0000EE"/>
            <w:lang w:val="el" w:eastAsia="el"/>
          </w:rPr>
          <w:t>Προσθήκη 5000/2022, Άρθρο 71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95" w:history="1">
        <w:r>
          <w:rPr>
            <w:rStyle w:val="Hyperlink"/>
            <w:color w:val="0000EE"/>
            <w:u w:color="0000EE"/>
            <w:lang w:val="el" w:eastAsia="el"/>
          </w:rPr>
          <w:t>Τροποποίηση 5217/2025, Άρθρο 95</w:t>
        </w:r>
      </w:hyperlink>
      <w:r>
        <w:rPr>
          <w:lang w:val="el" w:eastAsia="el"/>
        </w:rPr>
        <w:t xml:space="preserve">; </w:t>
      </w:r>
      <w:hyperlink r:id="rId19" w:anchor="art_63" w:history="1">
        <w:r>
          <w:rPr>
            <w:rStyle w:val="Hyperlink"/>
            <w:color w:val="0000EE"/>
            <w:u w:color="0000EE"/>
            <w:lang w:val="el" w:eastAsia="el"/>
          </w:rPr>
          <w:t>Τροποποίηση 5113/2024, Άρθρο 63</w:t>
        </w:r>
      </w:hyperlink>
      <w:r>
        <w:rPr>
          <w:lang w:val="el" w:eastAsia="el"/>
        </w:rPr>
        <w:t xml:space="preserve">; </w:t>
      </w:r>
      <w:hyperlink r:id="rId20" w:anchor="art_97" w:history="1">
        <w:r>
          <w:rPr>
            <w:rStyle w:val="Hyperlink"/>
            <w:color w:val="0000EE"/>
            <w:u w:color="0000EE"/>
            <w:lang w:val="el" w:eastAsia="el"/>
          </w:rPr>
          <w:t>Τροποποίηση 5036/2023, Άρθρο 97</w:t>
        </w:r>
      </w:hyperlink>
      <w:r>
        <w:rPr>
          <w:lang w:val="el" w:eastAsia="el"/>
        </w:rPr>
        <w:t xml:space="preserve">; Τροποποίηση 4947/2022, Άρθρο 49; </w:t>
      </w:r>
      <w:hyperlink r:id="rId21" w:anchor="art_157" w:history="1">
        <w:r>
          <w:rPr>
            <w:rStyle w:val="Hyperlink"/>
            <w:color w:val="0000EE"/>
            <w:u w:color="0000EE"/>
            <w:lang w:val="el" w:eastAsia="el"/>
          </w:rPr>
          <w:t>Τροποποίηση 4808/2021, Άρθρο 157</w:t>
        </w:r>
      </w:hyperlink>
      <w:r>
        <w:rPr>
          <w:lang w:val="el" w:eastAsia="el"/>
        </w:rPr>
        <w:t xml:space="preserve">; </w:t>
      </w:r>
      <w:hyperlink r:id="rId22"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23"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24" w:anchor="art_29" w:history="1">
        <w:r>
          <w:rPr>
            <w:rStyle w:val="Hyperlink"/>
            <w:color w:val="0000EE"/>
            <w:u w:color="0000EE"/>
            <w:lang w:val="el" w:eastAsia="el"/>
          </w:rPr>
          <w:t>Τροποποίηση 4508/2017, Άρθρο 29</w:t>
        </w:r>
      </w:hyperlink>
      <w:r>
        <w:rPr>
          <w:lang w:val="el" w:eastAsia="el"/>
        </w:rPr>
        <w:t xml:space="preserve">; </w:t>
      </w:r>
      <w:hyperlink r:id="rId25"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11/5217" TargetMode="External" /><Relationship Id="rId10" Type="http://schemas.openxmlformats.org/officeDocument/2006/relationships/hyperlink" Target="http://data.aade.gr/eli/pri/law/2024/06/21/5113" TargetMode="External" /><Relationship Id="rId11" Type="http://schemas.openxmlformats.org/officeDocument/2006/relationships/hyperlink" Target="http://data.aade.gr/eli/pri/law/2023/03/27/5036" TargetMode="External" /><Relationship Id="rId12" Type="http://schemas.openxmlformats.org/officeDocument/2006/relationships/hyperlink" Target="http://data.aade.gr/eli/pri/law/2021/06/19/4808" TargetMode="External" /><Relationship Id="rId13" Type="http://schemas.openxmlformats.org/officeDocument/2006/relationships/hyperlink" Target="http://data.aade.gr/eli/pri/law/2020/06/30/4701" TargetMode="External" /><Relationship Id="rId14" Type="http://schemas.openxmlformats.org/officeDocument/2006/relationships/hyperlink" Target="http://data.aade.gr/eli/pri/law/2019/06/10/4618" TargetMode="External" /><Relationship Id="rId15" Type="http://schemas.openxmlformats.org/officeDocument/2006/relationships/hyperlink" Target="http://data.aade.gr/eli/pri/law/2017/12/22/4508" TargetMode="External" /><Relationship Id="rId16" Type="http://schemas.openxmlformats.org/officeDocument/2006/relationships/hyperlink" Target="http://data.aade.gr/eli/pri/law/2017/08/01/4484" TargetMode="External" /><Relationship Id="rId17" Type="http://schemas.openxmlformats.org/officeDocument/2006/relationships/hyperlink" Target="http://data.aade.gr/eli/pri/law/2022/12/08/5000" TargetMode="External" /><Relationship Id="rId18" Type="http://schemas.openxmlformats.org/officeDocument/2006/relationships/hyperlink" Target="http://data.aade.gr/eli/pri/law/2025/07/11/5217" TargetMode="External" /><Relationship Id="rId19" Type="http://schemas.openxmlformats.org/officeDocument/2006/relationships/hyperlink" Target="http://data.aade.gr/eli/pri/law/2024/06/21/5113" TargetMode="External" /><Relationship Id="rId2" Type="http://schemas.openxmlformats.org/officeDocument/2006/relationships/hyperlink" Target="http://data.aade.gr/eli/pri/law/2024/06/21/5113" TargetMode="External" /><Relationship Id="rId20" Type="http://schemas.openxmlformats.org/officeDocument/2006/relationships/hyperlink" Target="http://data.aade.gr/eli/pri/law/2023/03/27/5036" TargetMode="External" /><Relationship Id="rId21" Type="http://schemas.openxmlformats.org/officeDocument/2006/relationships/hyperlink" Target="http://data.aade.gr/eli/pri/law/2021/06/19/4808" TargetMode="External" /><Relationship Id="rId22" Type="http://schemas.openxmlformats.org/officeDocument/2006/relationships/hyperlink" Target="http://data.aade.gr/eli/pri/law/2020/06/30/4701" TargetMode="External" /><Relationship Id="rId23" Type="http://schemas.openxmlformats.org/officeDocument/2006/relationships/hyperlink" Target="http://data.aade.gr/eli/pri/law/2019/06/10/4618" TargetMode="External" /><Relationship Id="rId24" Type="http://schemas.openxmlformats.org/officeDocument/2006/relationships/hyperlink" Target="http://data.aade.gr/eli/pri/law/2017/12/22/4508" TargetMode="External" /><Relationship Id="rId25" Type="http://schemas.openxmlformats.org/officeDocument/2006/relationships/hyperlink" Target="http://data.aade.gr/eli/pri/law/2017/08/01/4484" TargetMode="External" /><Relationship Id="rId3" Type="http://schemas.openxmlformats.org/officeDocument/2006/relationships/hyperlink" Target="http://data.aade.gr/eli/pri/law/2023/03/27/5036" TargetMode="External" /><Relationship Id="rId4" Type="http://schemas.openxmlformats.org/officeDocument/2006/relationships/hyperlink" Target="http://data.aade.gr/eli/pri/law/2021/06/19/4808" TargetMode="External" /><Relationship Id="rId5" Type="http://schemas.openxmlformats.org/officeDocument/2006/relationships/hyperlink" Target="http://data.aade.gr/eli/pri/law/2020/06/30/4701" TargetMode="External" /><Relationship Id="rId6" Type="http://schemas.openxmlformats.org/officeDocument/2006/relationships/hyperlink" Target="http://data.aade.gr/eli/pri/law/2019/06/10/4618" TargetMode="External" /><Relationship Id="rId7" Type="http://schemas.openxmlformats.org/officeDocument/2006/relationships/hyperlink" Target="http://data.aade.gr/eli/pri/law/2017/12/22/4508" TargetMode="External" /><Relationship Id="rId8" Type="http://schemas.openxmlformats.org/officeDocument/2006/relationships/hyperlink" Target="http://data.aade.gr/eli/pri/law/2017/08/01/4484" TargetMode="External" /><Relationship Id="rId9" Type="http://schemas.openxmlformats.org/officeDocument/2006/relationships/hyperlink" Target="http://data.aade.gr/eli/pri/law/2025/07/11/52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