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91A. </w:t>
      </w:r>
    </w:p>
    <w:p>
      <w:pPr>
        <w:pStyle w:val="Heading6"/>
        <w:spacing w:before="240" w:after="240"/>
        <w:rPr>
          <w:lang w:val="el" w:eastAsia="el"/>
        </w:rPr>
      </w:pPr>
      <w:r>
        <w:rPr>
          <w:b/>
          <w:bCs/>
          <w:lang w:val="el" w:eastAsia="el"/>
        </w:rPr>
        <w:t>Εγγύηση του Ελληνικού Δημοσίου προς όργανα και οργανισμούς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Ο Υπουργός Οικονομικών παρέχει την εγγύηση του Ελληνικού Δημοσίου προς όργανα και οργανισμούς της Ευρωπαϊκής Ένωσης για τη χρηματοδότηση των κρατών μελών ή και πιστωτικών ιδρυμάτων ή φυσικών ή νομικών προσώπων και φορέων, στο πλαίσιο της ενωσιακής νομοθεσίας ή διακρατικής συμφωνίας ή συμφωνίας μεταξύ των κρατών μελών και των οργανισμών της Ευρωπαϊκής Ένωσης.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εγγυήσεις της παρ. 1 παρέχονται κατά παρέκκλιση των διατάξεων του Κεφαλαίου Β΄ του παρόντος νόμου, με την επιφύλαξη των διατάξεων των άρθρων 96 και 97 του ιδίου νόμου, οι οποίες τυγχάνουν εφαρμογής στην ως άνω διαδικασία παροχής εγγυήσεων.</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σύμφωνα με την εκάστοτε εγκεκριμένη από την Ευρωπαϊκή Επιτροπή μεθοδολογία για τον υπολογισμό του ακριβούς ύψους της προμήθειας ασφαλείας.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αν από υπαιτιότητα του δανειστή ή πιστωτή δεν συνέτρεχαν ή εκ των υστέρων εξέλιπαν οι προϋποθέσεις χορήγησης της εγγύησης.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και δεν απαιτείται εισήγηση ή άλλη ενέργεια των συλλογικών οργάνων που προβλέπονται στα άρθρα 97 και 98 του παρόντος.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2" w:history="1">
        <w:r>
          <w:rPr>
            <w:rStyle w:val="Hyperlink"/>
            <w:color w:val="0000EE"/>
            <w:u w:color="0000EE"/>
            <w:lang w:val="el" w:eastAsia="el"/>
          </w:rPr>
          <w:t>Τροποποίηση 4569/2018, Άρθρο 42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2" w:history="1">
        <w:r>
          <w:rPr>
            <w:rStyle w:val="Hyperlink"/>
            <w:color w:val="0000EE"/>
            <w:u w:color="0000EE"/>
            <w:lang w:val="el" w:eastAsia="el"/>
          </w:rPr>
          <w:t>Τροποποίηση 4569/2018, Άρθρο 42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2" w:history="1">
        <w:r>
          <w:rPr>
            <w:rStyle w:val="Hyperlink"/>
            <w:color w:val="0000EE"/>
            <w:u w:color="0000EE"/>
            <w:lang w:val="el" w:eastAsia="el"/>
          </w:rPr>
          <w:t>Τροποποίηση 4569/2018, Άρθρο 42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 w:history="1">
        <w:r>
          <w:rPr>
            <w:rStyle w:val="Hyperlink"/>
            <w:color w:val="0000EE"/>
            <w:u w:color="0000EE"/>
            <w:lang w:val="el" w:eastAsia="el"/>
          </w:rPr>
          <w:t>Προσθήκη 4690/2020, Άρθρο 10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0" w:history="1">
        <w:r>
          <w:rPr>
            <w:rStyle w:val="Hyperlink"/>
            <w:color w:val="0000EE"/>
            <w:u w:color="0000EE"/>
            <w:lang w:val="el" w:eastAsia="el"/>
          </w:rPr>
          <w:t>Τροποποίηση 4714/2020, Άρθρο 70</w:t>
        </w:r>
      </w:hyperlink>
      <w:r>
        <w:rPr>
          <w:lang w:val="el" w:eastAsia="el"/>
        </w:rPr>
        <w:t xml:space="preserve">; </w:t>
      </w:r>
      <w:hyperlink r:id="rId6" w:anchor="art_10" w:history="1">
        <w:r>
          <w:rPr>
            <w:rStyle w:val="Hyperlink"/>
            <w:color w:val="0000EE"/>
            <w:u w:color="0000EE"/>
            <w:lang w:val="el" w:eastAsia="el"/>
          </w:rPr>
          <w:t>Προσθήκη 4690/2020,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Προσθήκη 4690/2020,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2" w:history="1">
        <w:r>
          <w:rPr>
            <w:rStyle w:val="Hyperlink"/>
            <w:color w:val="0000EE"/>
            <w:u w:color="0000EE"/>
            <w:lang w:val="el" w:eastAsia="el"/>
          </w:rPr>
          <w:t>Τροποποίηση 4569/2018, Άρθρο 42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0/11/4569" TargetMode="External" /><Relationship Id="rId2" Type="http://schemas.openxmlformats.org/officeDocument/2006/relationships/hyperlink" Target="http://data.aade.gr/eli/pri/law/2018/10/11/4569" TargetMode="External" /><Relationship Id="rId3" Type="http://schemas.openxmlformats.org/officeDocument/2006/relationships/hyperlink" Target="http://data.aade.gr/eli/pri/law/2018/10/11/4569" TargetMode="External" /><Relationship Id="rId4" Type="http://schemas.openxmlformats.org/officeDocument/2006/relationships/hyperlink" Target="http://data.aade.gr/eli/pri/law/2020/05/30/4690" TargetMode="External" /><Relationship Id="rId5" Type="http://schemas.openxmlformats.org/officeDocument/2006/relationships/hyperlink" Target="http://data.aade.gr/eli/pri/law/2020/07/31/4714" TargetMode="External" /><Relationship Id="rId6" Type="http://schemas.openxmlformats.org/officeDocument/2006/relationships/hyperlink" Target="http://data.aade.gr/eli/pri/law/2020/05/30/4690" TargetMode="External" /><Relationship Id="rId7" Type="http://schemas.openxmlformats.org/officeDocument/2006/relationships/hyperlink" Target="http://data.aade.gr/eli/pri/law/2020/05/30/4690" TargetMode="External" /><Relationship Id="rId8" Type="http://schemas.openxmlformats.org/officeDocument/2006/relationships/hyperlink" Target="http://data.aade.gr/eli/pri/law/2018/10/11/45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