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w:t>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w:t>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ιθ)</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w:t>
      </w:r>
    </w:p>
    <w:p>
      <w:pPr>
        <w:pStyle w:val="StructureList1"/>
        <w:spacing w:before="120" w:after="0"/>
        <w:rPr>
          <w:lang w:val="el" w:eastAsia="el"/>
        </w:rPr>
      </w:pPr>
      <w:r>
        <w:rPr>
          <w:lang w:val="el" w:eastAsia="el"/>
        </w:rPr>
        <w:t>α)</w:t>
      </w:r>
      <w:r>
        <w:rPr>
          <w:lang w:val="en" w:eastAsia="en"/>
        </w:rPr>
        <w:tab/>
      </w:r>
      <w:r>
        <w:rPr>
          <w:lang w:val="el" w:eastAsia="el"/>
        </w:rPr>
        <w:t>Όσον αφορά 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παραγράφων 2 έως και 5 του άρθρου 32 του Ν. 4308/2014 .</w:t>
      </w:r>
    </w:p>
    <w:p>
      <w:pPr>
        <w:spacing w:before="240" w:after="240"/>
        <w:rPr>
          <w:lang w:val="el" w:eastAsia="el"/>
        </w:rPr>
      </w:pPr>
      <w:r>
        <w:rPr>
          <w:lang w:val="el" w:eastAsia="el"/>
        </w:rPr>
        <w:t>Τα ανωτέρω δεν αφορούν την περίπτωση εισηγμένης σε ρυθμιζόμενη αγορά εταιρείας, υποκείμενης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υποκείμενης σε απαιτήσεις γνωστοποίησης ισοδύναμες αυτών της ρυθμιζόμενης αγοράς.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περίπτωση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τα καταπιστεύματα (trusts): αα) ο ιδρυτής,</w:t>
      </w:r>
    </w:p>
    <w:p>
      <w:pPr>
        <w:pStyle w:val="StructureList1"/>
        <w:spacing w:before="120" w:after="0"/>
        <w:rPr>
          <w:lang w:val="el" w:eastAsia="el"/>
        </w:rPr>
      </w:pPr>
      <w:r>
        <w:rPr>
          <w:lang w:val="el" w:eastAsia="el"/>
        </w:rPr>
        <w:t>ββ)</w:t>
      </w:r>
      <w:r>
        <w:rPr>
          <w:lang w:val="en" w:eastAsia="en"/>
        </w:rPr>
        <w:tab/>
      </w:r>
      <w:r>
        <w:rPr>
          <w:lang w:val="el" w:eastAsia="el"/>
        </w:rPr>
        <w:t>ο καταπιστευματοδόχος,</w:t>
      </w:r>
    </w:p>
    <w:p>
      <w:pPr>
        <w:pStyle w:val="StructureList1"/>
        <w:spacing w:before="120" w:after="0"/>
        <w:rPr>
          <w:lang w:val="el" w:eastAsia="el"/>
        </w:rPr>
      </w:pPr>
      <w:r>
        <w:rPr>
          <w:lang w:val="el" w:eastAsia="el"/>
        </w:rPr>
        <w:t>γγ)</w:t>
      </w:r>
      <w:r>
        <w:rPr>
          <w:lang w:val="en" w:eastAsia="en"/>
        </w:rPr>
        <w:tab/>
      </w:r>
      <w:r>
        <w:rPr>
          <w:lang w:val="el" w:eastAsia="el"/>
        </w:rPr>
        <w:t>ο προστάτης, αν υπάρχει,</w:t>
      </w:r>
    </w:p>
    <w:p>
      <w:pPr>
        <w:pStyle w:val="StructureList1"/>
        <w:spacing w:before="120" w:after="0"/>
        <w:rPr>
          <w:lang w:val="el" w:eastAsia="el"/>
        </w:rPr>
      </w:pPr>
      <w:r>
        <w:rPr>
          <w:lang w:val="el" w:eastAsia="el"/>
        </w:rPr>
        <w:t>δδ)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p>
    <w:p>
      <w:pPr>
        <w:pStyle w:val="StructureList1"/>
        <w:spacing w:before="120" w:after="0"/>
        <w:rPr>
          <w:lang w:val="el" w:eastAsia="el"/>
        </w:rPr>
      </w:pPr>
      <w:r>
        <w:rPr>
          <w:lang w:val="el" w:eastAsia="el"/>
        </w:rPr>
        <w:t>εε)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καταπιστεύματος.</w:t>
      </w:r>
    </w:p>
    <w:p>
      <w:pPr>
        <w:pStyle w:val="StructureList1"/>
        <w:spacing w:before="120" w:after="0"/>
        <w:rPr>
          <w:lang w:val="el" w:eastAsia="el"/>
        </w:rPr>
      </w:pPr>
      <w:r>
        <w:rPr>
          <w:lang w:val="el" w:eastAsia="el"/>
        </w:rPr>
        <w:t>γ)</w:t>
      </w:r>
      <w:r>
        <w:rPr>
          <w:lang w:val="en" w:eastAsia="en"/>
        </w:rPr>
        <w:tab/>
      </w:r>
      <w:r>
        <w:rPr>
          <w:lang w:val="el" w:eastAsia="el"/>
        </w:rPr>
        <w:t>Όσον αφορά λοιπές νομικές οντότητες ή νομικά μορφώματα παρεμφερή με τα καταπιστεύματα συμπεριλαμβάνονται τα πρόσωπα που κατέχουν αντίστοιχη ή ανάλογη θέση με τα πρόσωπα που αναφέρονται στην περίπτωση β΄.</w:t>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με υψηλή ιεραρχική θέση ικανή για τη λήψη αποφάσεων ιδρύματος ή οργανισμού που επηρεάζουν την έκθεση σε κίνδυνο νομιμοποίησης εσόδων από εγκληματικές δραστηριότητες και χρηματοδότησης της τρομοκρατίας, ο οποίος γνωρίζει επαρκώς το βαθμό έκθεσης του ιδρύματος ή του οργανισμού στον ανωτέρω κίνδυνο χωρίς να είναι απαραίτητα μέλος του διοικητικού συμβουλίου. </w:t>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w:t>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τρομοκρατικές πράξεις και χρηματοδότηση της τρομοκρατίας, όπως ορίζονται στο άρθρο 187Α ΠΚ,</w:t>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τα νομικά πρόσωπα παροχής λογιστικών-φοροτεχνικών υπηρεσιών,</w:t>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 σχεδιασμό ή τη διενέργεια συναλλαγών για τους πελάτες τους σχετικά με:</w:t>
      </w:r>
    </w:p>
    <w:p>
      <w:pPr>
        <w:pStyle w:val="StructureList1"/>
        <w:spacing w:before="120" w:after="0"/>
        <w:rPr>
          <w:lang w:val="el" w:eastAsia="el"/>
        </w:rPr>
      </w:pPr>
      <w:r>
        <w:rPr>
          <w:lang w:val="el" w:eastAsia="el"/>
        </w:rPr>
        <w:t>αα)</w:t>
      </w:r>
      <w:r>
        <w:rPr>
          <w:lang w:val="en" w:eastAsia="en"/>
        </w:rPr>
        <w:tab/>
      </w:r>
      <w:r>
        <w:rPr>
          <w:lang w:val="el" w:eastAsia="el"/>
        </w:rPr>
        <w:t>την αγορά ή πώληση ακινήτων ή επιχειρήσεων,</w:t>
      </w:r>
    </w:p>
    <w:p>
      <w:pPr>
        <w:pStyle w:val="StructureList1"/>
        <w:spacing w:before="120" w:after="0"/>
        <w:rPr>
          <w:lang w:val="el" w:eastAsia="el"/>
        </w:rPr>
      </w:pPr>
      <w:r>
        <w:rPr>
          <w:lang w:val="el" w:eastAsia="el"/>
        </w:rPr>
        <w:t>ββ)</w:t>
      </w:r>
      <w:r>
        <w:rPr>
          <w:lang w:val="en" w:eastAsia="en"/>
        </w:rPr>
        <w:tab/>
      </w:r>
      <w:r>
        <w:rPr>
          <w:lang w:val="el" w:eastAsia="el"/>
        </w:rPr>
        <w:t>τη διαχείριση χρημάτων, τίτλων ή άλλων περιουσιακών στοιχείων των πελατών τους,</w:t>
      </w:r>
    </w:p>
    <w:p>
      <w:pPr>
        <w:pStyle w:val="StructureList1"/>
        <w:spacing w:before="120" w:after="0"/>
        <w:rPr>
          <w:lang w:val="el" w:eastAsia="el"/>
        </w:rPr>
      </w:pPr>
      <w:r>
        <w:rPr>
          <w:lang w:val="el" w:eastAsia="el"/>
        </w:rPr>
        <w:t>γγ)</w:t>
      </w:r>
      <w:r>
        <w:rPr>
          <w:lang w:val="en" w:eastAsia="en"/>
        </w:rPr>
        <w:tab/>
      </w:r>
      <w:r>
        <w:rPr>
          <w:lang w:val="el" w:eastAsia="el"/>
        </w:rPr>
        <w:t>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εγγυοδοσίες που διατάσσονται από τη δικαστική αρχή στο πλαίσιο ποινικών διαδικασιών,</w:t>
      </w:r>
    </w:p>
    <w:p>
      <w:pPr>
        <w:pStyle w:val="StructureList1"/>
        <w:spacing w:before="120" w:after="0"/>
        <w:rPr>
          <w:lang w:val="el" w:eastAsia="el"/>
        </w:rPr>
      </w:pPr>
      <w:r>
        <w:rPr>
          <w:lang w:val="el" w:eastAsia="el"/>
        </w:rPr>
        <w:t>δδ)</w:t>
      </w:r>
      <w:r>
        <w:rPr>
          <w:lang w:val="en" w:eastAsia="en"/>
        </w:rPr>
        <w:tab/>
      </w:r>
      <w:r>
        <w:rPr>
          <w:lang w:val="el" w:eastAsia="el"/>
        </w:rPr>
        <w:t>τις αναγκαίες εισφορές για τη σύσταση, λειτουργία ή διοίκηση εταιρειών,</w:t>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καταπιστευμάτων (trusts), εταιρειών καταπιστευματικής διαχείρισης, επιχειρήσεων, ιδρυμάτων ή ανάλογων σχημάτων ή αντίστοιχων νομικών μορφωμάτων,</w:t>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καταπιστεύματα (trusts), εξαιρουμένων των προσώπων που αναφέρονται στις περιπτώσεις γ΄, δ΄ και ε΄, τα οποία παρέχουν κατά επιχειρηματική δραστηριότητα οποιαδήποτε από τις εξής υπηρεσίες σε τρίτα μέρη:</w:t>
      </w:r>
    </w:p>
    <w:p>
      <w:pPr>
        <w:pStyle w:val="StructureList1"/>
        <w:spacing w:before="120" w:after="0"/>
        <w:rPr>
          <w:lang w:val="el" w:eastAsia="el"/>
        </w:rPr>
      </w:pPr>
      <w:r>
        <w:rPr>
          <w:lang w:val="el" w:eastAsia="el"/>
        </w:rPr>
        <w:t>αα)</w:t>
      </w:r>
      <w:r>
        <w:rPr>
          <w:lang w:val="en" w:eastAsia="en"/>
        </w:rPr>
        <w:tab/>
      </w:r>
      <w:r>
        <w:rPr>
          <w:lang w:val="el" w:eastAsia="el"/>
        </w:rPr>
        <w:t>συστήνουν εταιρείες ή άλλα νομικά πρόσωπα,</w:t>
      </w:r>
    </w:p>
    <w:p>
      <w:pPr>
        <w:pStyle w:val="StructureList1"/>
        <w:spacing w:before="120" w:after="0"/>
        <w:rPr>
          <w:lang w:val="el" w:eastAsia="el"/>
        </w:rPr>
      </w:pPr>
      <w:r>
        <w:rPr>
          <w:lang w:val="el" w:eastAsia="el"/>
        </w:rPr>
        <w:t>ββ)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p>
    <w:p>
      <w:pPr>
        <w:pStyle w:val="StructureList1"/>
        <w:spacing w:before="120" w:after="0"/>
        <w:rPr>
          <w:lang w:val="el" w:eastAsia="el"/>
        </w:rPr>
      </w:pPr>
      <w:r>
        <w:rPr>
          <w:lang w:val="el" w:eastAsia="el"/>
        </w:rPr>
        <w:t>γγ)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p>
    <w:p>
      <w:pPr>
        <w:pStyle w:val="StructureList1"/>
        <w:spacing w:before="120" w:after="0"/>
        <w:rPr>
          <w:lang w:val="el" w:eastAsia="el"/>
        </w:rPr>
      </w:pPr>
      <w:r>
        <w:rPr>
          <w:lang w:val="el" w:eastAsia="el"/>
        </w:rPr>
        <w:t>δδ)</w:t>
      </w:r>
      <w:r>
        <w:rPr>
          <w:lang w:val="en" w:eastAsia="en"/>
        </w:rPr>
        <w:tab/>
      </w:r>
      <w:r>
        <w:rPr>
          <w:lang w:val="el" w:eastAsia="el"/>
        </w:rPr>
        <w:t>ασκούν τα ίδια ή μεριμνούν ώστε άλλο πρόσωπο να ασκήσει καθήκοντα καταπιστευματοδόχου ρητού καταπιστεύματος (express trust) ή αντίστοιχου νομικού μορφώματος,</w:t>
      </w:r>
    </w:p>
    <w:p>
      <w:pPr>
        <w:pStyle w:val="StructureList1"/>
        <w:spacing w:before="120" w:after="0"/>
        <w:rPr>
          <w:lang w:val="el" w:eastAsia="el"/>
        </w:rPr>
      </w:pPr>
      <w:r>
        <w:rPr>
          <w:lang w:val="el" w:eastAsia="el"/>
        </w:rPr>
        <w:t>εε)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αα)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p>
    <w:p>
      <w:pPr>
        <w:pStyle w:val="StructureList1"/>
        <w:spacing w:before="120" w:after="0"/>
        <w:rPr>
          <w:lang w:val="el" w:eastAsia="el"/>
        </w:rPr>
      </w:pPr>
      <w:r>
        <w:rPr>
          <w:lang w:val="el" w:eastAsia="el"/>
        </w:rPr>
        <w:t>ββ)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p>
    <w:p>
      <w:pPr>
        <w:pStyle w:val="StructureList1"/>
        <w:spacing w:before="120" w:after="0"/>
        <w:rPr>
          <w:lang w:val="el" w:eastAsia="el"/>
        </w:rPr>
      </w:pPr>
      <w:r>
        <w:rPr>
          <w:lang w:val="el" w:eastAsia="el"/>
        </w:rPr>
        <w:t>γγ)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p>
    <w:p>
      <w:pPr>
        <w:pStyle w:val="StructureList1"/>
        <w:spacing w:before="120" w:after="0"/>
        <w:rPr>
          <w:lang w:val="el" w:eastAsia="el"/>
        </w:rPr>
      </w:pPr>
      <w:r>
        <w:rPr>
          <w:lang w:val="el" w:eastAsia="el"/>
        </w:rPr>
        <w:t>δδ)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p>
    <w:p>
      <w:pPr>
        <w:pStyle w:val="StructureList1"/>
        <w:spacing w:before="120" w:after="0"/>
        <w:rPr>
          <w:lang w:val="el" w:eastAsia="el"/>
        </w:rPr>
      </w:pPr>
      <w:r>
        <w:rPr>
          <w:lang w:val="el" w:eastAsia="el"/>
        </w:rPr>
        <w:t>εε)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ββ)</w:t>
      </w:r>
      <w:r>
        <w:rPr>
          <w:lang w:val="en" w:eastAsia="en"/>
        </w:rPr>
        <w:tab/>
      </w:r>
      <w:r>
        <w:rPr>
          <w:lang w:val="el" w:eastAsia="el"/>
        </w:rPr>
        <w:t>τις ασφαλιστικές επιχειρήσεις και τους ασφαλιστικούς διαμεσολαβητές,</w:t>
      </w:r>
    </w:p>
    <w:p>
      <w:pPr>
        <w:pStyle w:val="StructureList1"/>
        <w:spacing w:before="120" w:after="0"/>
        <w:rPr>
          <w:lang w:val="el" w:eastAsia="el"/>
        </w:rPr>
      </w:pPr>
      <w:r>
        <w:rPr>
          <w:lang w:val="el" w:eastAsia="el"/>
        </w:rPr>
        <w:t>γγ)</w:t>
      </w:r>
      <w:r>
        <w:rPr>
          <w:lang w:val="en" w:eastAsia="en"/>
        </w:rPr>
        <w:tab/>
      </w:r>
      <w:r>
        <w:rPr>
          <w:lang w:val="el" w:eastAsia="el"/>
        </w:rPr>
        <w:t>τις εταιρείες χρηματοδοτικής μίσθωσης,</w:t>
      </w:r>
    </w:p>
    <w:p>
      <w:pPr>
        <w:pStyle w:val="StructureList1"/>
        <w:spacing w:before="120" w:after="0"/>
        <w:rPr>
          <w:lang w:val="el" w:eastAsia="el"/>
        </w:rPr>
      </w:pPr>
      <w:r>
        <w:rPr>
          <w:lang w:val="el" w:eastAsia="el"/>
        </w:rPr>
        <w:t>δδ)</w:t>
      </w:r>
      <w:r>
        <w:rPr>
          <w:lang w:val="en" w:eastAsia="en"/>
        </w:rPr>
        <w:tab/>
      </w:r>
      <w:r>
        <w:rPr>
          <w:lang w:val="el" w:eastAsia="el"/>
        </w:rPr>
        <w:t>τις εταιρείες πρακτορείας επιχειρηματικών απαιτήσεων τρίτων,</w:t>
      </w:r>
    </w:p>
    <w:p>
      <w:pPr>
        <w:pStyle w:val="StructureList1"/>
        <w:spacing w:before="120" w:after="0"/>
        <w:rPr>
          <w:lang w:val="el" w:eastAsia="el"/>
        </w:rPr>
      </w:pPr>
      <w:r>
        <w:rPr>
          <w:lang w:val="el" w:eastAsia="el"/>
        </w:rPr>
        <w:t>εε)</w:t>
      </w:r>
      <w:r>
        <w:rPr>
          <w:lang w:val="en" w:eastAsia="en"/>
        </w:rPr>
        <w:tab/>
      </w:r>
      <w:r>
        <w:rPr>
          <w:lang w:val="el" w:eastAsia="el"/>
        </w:rPr>
        <w:t>τις εταιρείες διαχείρισης απαιτήσεων πιστωτικών ιδρυμάτων από δάνεια και πιστώσεις,</w:t>
      </w:r>
    </w:p>
    <w:p>
      <w:pPr>
        <w:pStyle w:val="StructureList1"/>
        <w:spacing w:before="120" w:after="0"/>
        <w:rPr>
          <w:lang w:val="el" w:eastAsia="el"/>
        </w:rPr>
      </w:pPr>
      <w:r>
        <w:rPr>
          <w:lang w:val="el" w:eastAsia="el"/>
        </w:rPr>
        <w:t>στστ)</w:t>
      </w:r>
      <w:r>
        <w:rPr>
          <w:lang w:val="en" w:eastAsia="en"/>
        </w:rPr>
        <w:tab/>
      </w:r>
      <w:r>
        <w:rPr>
          <w:lang w:val="el" w:eastAsia="el"/>
        </w:rPr>
        <w:t>τις εταιρείες παροχής πιστώσεων,</w:t>
      </w:r>
    </w:p>
    <w:p>
      <w:pPr>
        <w:pStyle w:val="StructureList1"/>
        <w:spacing w:before="120" w:after="0"/>
        <w:rPr>
          <w:lang w:val="el" w:eastAsia="el"/>
        </w:rPr>
      </w:pPr>
      <w:r>
        <w:rPr>
          <w:lang w:val="el" w:eastAsia="el"/>
        </w:rPr>
        <w:t>ζζ)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θθ)</w:t>
      </w:r>
      <w:r>
        <w:rPr>
          <w:lang w:val="en" w:eastAsia="en"/>
        </w:rPr>
        <w:tab/>
      </w:r>
      <w:r>
        <w:rPr>
          <w:lang w:val="el" w:eastAsia="el"/>
        </w:rPr>
        <w:t>τις ταχυδρομικές εταιρείες, ως προς τις παρεχόμενες υπηρεσίες πληρωμών,</w:t>
      </w:r>
    </w:p>
    <w:p>
      <w:pPr>
        <w:pStyle w:val="StructureList1"/>
        <w:spacing w:before="120" w:after="0"/>
        <w:rPr>
          <w:lang w:val="el" w:eastAsia="el"/>
        </w:rPr>
      </w:pPr>
      <w:r>
        <w:rPr>
          <w:lang w:val="el" w:eastAsia="el"/>
        </w:rPr>
        <w:t>ιι)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ιαια)</w:t>
      </w:r>
      <w:r>
        <w:rPr>
          <w:lang w:val="en" w:eastAsia="en"/>
        </w:rPr>
        <w:tab/>
      </w:r>
      <w:r>
        <w:rPr>
          <w:lang w:val="el" w:eastAsia="el"/>
        </w:rPr>
        <w:t>τις επιχειρήσεις της περίπτωσης ιθ΄ του στοιχείου 3 του άρθρου 3,</w:t>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p>
    <w:p>
      <w:pPr>
        <w:pStyle w:val="StructureList1"/>
        <w:spacing w:before="120" w:after="0"/>
        <w:rPr>
          <w:lang w:val="el" w:eastAsia="el"/>
        </w:rPr>
      </w:pPr>
      <w:r>
        <w:rPr>
          <w:lang w:val="el" w:eastAsia="el"/>
        </w:rPr>
        <w:t>αα)</w:t>
      </w:r>
      <w:r>
        <w:rPr>
          <w:lang w:val="en" w:eastAsia="en"/>
        </w:rPr>
        <w:tab/>
      </w:r>
      <w:r>
        <w:rPr>
          <w:lang w:val="el" w:eastAsia="el"/>
        </w:rPr>
        <w:t>τις εταιρείες επενδύσεων χαρτοφυλακίου,</w:t>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p>
    <w:p>
      <w:pPr>
        <w:pStyle w:val="StructureList1"/>
        <w:spacing w:before="120" w:after="0"/>
        <w:rPr>
          <w:lang w:val="el" w:eastAsia="el"/>
        </w:rPr>
      </w:pPr>
      <w:r>
        <w:rPr>
          <w:lang w:val="el" w:eastAsia="el"/>
        </w:rPr>
        <w:t>γγ)</w:t>
      </w:r>
      <w:r>
        <w:rPr>
          <w:lang w:val="en" w:eastAsia="en"/>
        </w:rPr>
        <w:tab/>
      </w:r>
      <w:r>
        <w:rPr>
          <w:lang w:val="el" w:eastAsia="el"/>
        </w:rPr>
        <w:t>τις εταιρείες παροχής επενδυτικών υπηρεσιών και τους συνδεδεμένους αντιπροσώπους τους,</w:t>
      </w:r>
    </w:p>
    <w:p>
      <w:pPr>
        <w:pStyle w:val="StructureList1"/>
        <w:spacing w:before="120" w:after="0"/>
        <w:rPr>
          <w:lang w:val="el" w:eastAsia="el"/>
        </w:rPr>
      </w:pPr>
      <w:r>
        <w:rPr>
          <w:lang w:val="el" w:eastAsia="el"/>
        </w:rPr>
        <w:t>δδ)</w:t>
      </w:r>
      <w:r>
        <w:rPr>
          <w:lang w:val="en" w:eastAsia="en"/>
        </w:rPr>
        <w:tab/>
      </w:r>
      <w:r>
        <w:rPr>
          <w:lang w:val="el" w:eastAsia="el"/>
        </w:rPr>
        <w:t>τις εταιρείες επενδυτικής διαμεσολάβησης,</w:t>
      </w:r>
    </w:p>
    <w:p>
      <w:pPr>
        <w:pStyle w:val="StructureList1"/>
        <w:spacing w:before="120" w:after="0"/>
        <w:rPr>
          <w:lang w:val="el" w:eastAsia="el"/>
        </w:rPr>
      </w:pPr>
      <w:r>
        <w:rPr>
          <w:lang w:val="el" w:eastAsia="el"/>
        </w:rPr>
        <w:t>εε)</w:t>
      </w:r>
      <w:r>
        <w:rPr>
          <w:lang w:val="en" w:eastAsia="en"/>
        </w:rPr>
        <w:tab/>
      </w:r>
      <w:r>
        <w:rPr>
          <w:lang w:val="el" w:eastAsia="el"/>
        </w:rPr>
        <w:t>τις εταιρείες κεφαλαίου επιχειρηματικών συμμετοχών,</w:t>
      </w:r>
    </w:p>
    <w:p>
      <w:pPr>
        <w:pStyle w:val="StructureList1"/>
        <w:spacing w:before="120" w:after="0"/>
        <w:rPr>
          <w:lang w:val="el" w:eastAsia="el"/>
        </w:rPr>
      </w:pPr>
      <w:r>
        <w:rPr>
          <w:lang w:val="el" w:eastAsia="el"/>
        </w:rPr>
        <w:t>στστ)</w:t>
      </w:r>
      <w:r>
        <w:rPr>
          <w:lang w:val="en" w:eastAsia="en"/>
        </w:rPr>
        <w:tab/>
      </w:r>
      <w:r>
        <w:rPr>
          <w:lang w:val="el" w:eastAsia="el"/>
        </w:rPr>
        <w:t>τις εταιρείες επενδύσεων σε ακίνητη περιουσία,</w:t>
      </w:r>
    </w:p>
    <w:p>
      <w:pPr>
        <w:pStyle w:val="StructureList1"/>
        <w:spacing w:before="120" w:after="0"/>
        <w:rPr>
          <w:lang w:val="el" w:eastAsia="el"/>
        </w:rPr>
      </w:pPr>
      <w:r>
        <w:rPr>
          <w:lang w:val="el" w:eastAsia="el"/>
        </w:rPr>
        <w:t>ζζ)</w:t>
      </w:r>
      <w:r>
        <w:rPr>
          <w:lang w:val="en" w:eastAsia="en"/>
        </w:rPr>
        <w:tab/>
      </w:r>
      <w:r>
        <w:rPr>
          <w:lang w:val="el" w:eastAsia="el"/>
        </w:rPr>
        <w:t>τους διαχειριστές οργανισμών εναλλακτικών επενδύσεων,</w:t>
      </w:r>
    </w:p>
    <w:p>
      <w:pPr>
        <w:pStyle w:val="StructureList1"/>
        <w:spacing w:before="120" w:after="0"/>
        <w:rPr>
          <w:lang w:val="el" w:eastAsia="el"/>
        </w:rPr>
      </w:pPr>
      <w:r>
        <w:rPr>
          <w:lang w:val="el" w:eastAsia="el"/>
        </w:rPr>
        <w:t>γ)</w:t>
      </w:r>
      <w:r>
        <w:rPr>
          <w:lang w:val="en" w:eastAsia="en"/>
        </w:rPr>
        <w:tab/>
      </w:r>
      <w:r>
        <w:rPr>
          <w:lang w:val="el" w:eastAsia="el"/>
        </w:rPr>
        <w:t>η Υπηρεσία Οικονομικής Αστυνομίας και Δίωξης Ηλεκτρονικού Εγκλήματος (ΥΠ.Ο.Α.Δ.Η.Ε.) για τους ενεχυροδανειστές και τους αργυραμοιβούς,</w:t>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w:t>
      </w:r>
    </w:p>
    <w:p>
      <w:pPr>
        <w:pStyle w:val="StructureList1"/>
        <w:spacing w:before="120" w:after="0"/>
        <w:rPr>
          <w:lang w:val="el" w:eastAsia="el"/>
        </w:rPr>
      </w:pPr>
      <w:r>
        <w:rPr>
          <w:lang w:val="el" w:eastAsia="el"/>
        </w:rPr>
        <w:t>αα)</w:t>
      </w:r>
      <w:r>
        <w:rPr>
          <w:lang w:val="en" w:eastAsia="en"/>
        </w:rPr>
        <w:tab/>
      </w:r>
      <w:r>
        <w:rPr>
          <w:lang w:val="el" w:eastAsia="el"/>
        </w:rPr>
        <w:t>τους εξωτερικούς λογιστές-φοροτεχνικούς και τα νομικά πρόσωπα παροχής λογιστικών-φοροτεχνικών υπηρεσιών, καθώς και τους ιδιώτες ελεγκτές,</w:t>
      </w:r>
    </w:p>
    <w:p>
      <w:pPr>
        <w:pStyle w:val="StructureList1"/>
        <w:spacing w:before="120" w:after="0"/>
        <w:rPr>
          <w:lang w:val="el" w:eastAsia="el"/>
        </w:rPr>
      </w:pPr>
      <w:r>
        <w:rPr>
          <w:lang w:val="el" w:eastAsia="el"/>
        </w:rPr>
        <w:t>ββ)</w:t>
      </w:r>
      <w:r>
        <w:rPr>
          <w:lang w:val="en" w:eastAsia="en"/>
        </w:rPr>
        <w:tab/>
      </w:r>
      <w:r>
        <w:rPr>
          <w:lang w:val="el" w:eastAsia="el"/>
        </w:rPr>
        <w:t>τους μεσίτες ακινήτων,</w:t>
      </w:r>
    </w:p>
    <w:p>
      <w:pPr>
        <w:pStyle w:val="StructureList1"/>
        <w:spacing w:before="120" w:after="0"/>
        <w:rPr>
          <w:lang w:val="el" w:eastAsia="el"/>
        </w:rPr>
      </w:pPr>
      <w:r>
        <w:rPr>
          <w:lang w:val="el" w:eastAsia="el"/>
        </w:rPr>
        <w:t>γγ)</w:t>
      </w:r>
      <w:r>
        <w:rPr>
          <w:lang w:val="en" w:eastAsia="en"/>
        </w:rPr>
        <w:tab/>
      </w:r>
      <w:r>
        <w:rPr>
          <w:lang w:val="el" w:eastAsia="el"/>
        </w:rPr>
        <w:t>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αα) τις επιχειρήσεις καζίνο και τα καζίνο που λειτουργούν επί πλοίων στην Ελλάδα ή υπό ελληνική σημαία,</w:t>
      </w:r>
    </w:p>
    <w:p>
      <w:pPr>
        <w:pStyle w:val="StructureList1"/>
        <w:spacing w:before="120" w:after="0"/>
        <w:rPr>
          <w:lang w:val="el" w:eastAsia="el"/>
        </w:rPr>
      </w:pPr>
      <w:r>
        <w:rPr>
          <w:lang w:val="el" w:eastAsia="el"/>
        </w:rPr>
        <w:t>ββ)</w:t>
      </w:r>
      <w:r>
        <w:rPr>
          <w:lang w:val="en" w:eastAsia="en"/>
        </w:rPr>
        <w:tab/>
      </w:r>
      <w:r>
        <w:rPr>
          <w:lang w:val="el" w:eastAsia="el"/>
        </w:rPr>
        <w:t>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Διαφάνειας και Ανθρωπίνων Δικαιωμάτων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το Υπουργείο Οικονομίας και Ανάπτυξης για τα πρόσωπα της περίπτωσης ι΄ της παραγράφου 1 του άρθρου 5,</w:t>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αλλά και σε υποκαταστήματα και θυγατρικές που εδρεύουν ή λειτουργούν στην Ελλάδα ή το εξωτερικό, σε συνεργασία ενδεχομένως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παράγραφο 11 του άρθρου 13, καθώς και την επάρκεια των εφαρμοζόμενων μέτρων δέουσας επιμέλειας και εσωτερικών διαδικασιών.</w:t>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οι εγκαταστάσεις που λειτουργούν τα υπόχρεα πρόσωπα άλλου κράτους - μέλους της Ευρωπαϊκής Ένωσης στην Ελληνική Επικράτεια τηρούν τις διατάξεις του παρόντος. Για το σκοπό αυτό συνεργάζονται με την εκάστοτε αρμόδια εποπτική αρχή του κράτους - μέλους στο οποίο έχει την έδρα του το υπόχρεο πρόσωπο. Στην περίπτωση των εγκαταστάσεων που αναφέρονται στην παράγραφο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αντιμετωπιστούν οι ελλείψεις που έχουν επισημανθεί με τη συνδρομή ή συνεργασία της εποπτικής αρχής του κράτους -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παραβάσεις από τα υπόχρεα πρόσωπα των διατάξεων του παρόντος. Οι μηχανισμοί αυτοί περιλαμβάνουν ειδικές διαδικασίες για την παραλαβή των σχετικών καταγγελιών και την παρακολούθηση της έκβασής τους, κατάλληλα μέτρα προστασίας των εργαζομένων που καταγγέλλουν παραβάσεις που έχουν διαπραχθεί εντός του υπόχρεου προσώπου και των καταγγελλόμενων προσώπων, μέτρα προστασίας των δεδομένων προσωπικού χαρακτήρα αυτών, καθώς και σαφείς κανόνες ώστε να εξασφαλίζεται στο μέτρο του δυνατού η εμπιστευτικότητα των καταγγελιών.</w:t>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τις Ευρωπαϊκές Εποπτικές Αρχές σχετικά με τα μέτρα και τις διοικητικές κυρώσεις που έχουν επιβάλει, συμπεριλαμβανομένης κάθε προσφυγής που έχει ασκηθεί και της έκβασής της.</w:t>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το τελευταίο διατηρεί υψηλό επαγγελματικό επίπεδο μεταξύ άλλων σε ζητήματα εμπιστευτικότητας και προστασίας προσωπικών δεδομένων, διακρίνεται για την ακεραιότητά του και διαθέτει τα απαιτούμενα προσόντα. Με αποφάσεις του Διοικητή της Τράπεζας της Ελλάδας, του Προέδρου της Επιτροπής Κεφαλαιαγοράς, του Προέδρου της Επιτροπής Λογιστικής Τυποποίησης και Ελέγχων, του Προέδρου της Επιτροπής Εποπτείας και Ελέγχου Παιγνίων και του Διοικητή της Α.Α.Δ.Ε., κατά περίπτωση, συγκροτούνται ειδικές υπηρεσιακές μονάδες στις οποίες ανατίθενται τα ανωτέρω εποπτικά καθήκοντα. Στο προσωπικό των μονάδων αυτών παρέχεται συνεχής ενημέρωση και εκπαίδευση για το χειρισμό ζητημάτων εμπιστευτικών και θεμάτων που άπτονται της προστασίας των προσωπικών δεδομένων. </w:t>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τις Ευρωπαϊκές Εποπτικές Αρχές και παρέχουν σε αυτές όλες τις πληροφορίες που τους είναι αναγκαίες για την εκτέλεση των καθηκόντων τους..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Γενικής Διεύθυνσης Οικονομικής Πολιτικής που συνεργάζεται, όταν απαιτείται, με τις υπόλοιπες υπηρεσίες του Υπουργείου Οικονομικών.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(άρθρα 7 και 49 της Οδηγίας 2015/849) </w:t>
      </w:r>
    </w:p>
    <w:p>
      <w:pPr>
        <w:pStyle w:val="MainText"/>
        <w:spacing w:before="120" w:after="0"/>
        <w:rPr>
          <w:lang w:val="el" w:eastAsia="el"/>
        </w:rPr>
      </w:pPr>
      <w:r>
        <w:rPr>
          <w:b/>
          <w:bCs/>
          <w:lang w:val="el" w:eastAsia="el"/>
        </w:rPr>
        <w:t>1.</w:t>
      </w:r>
      <w:r>
        <w:rPr>
          <w:lang w:val="el" w:eastAsia="el"/>
        </w:rPr>
        <w:t xml:space="preserve"> Η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που έχει συσταθεί στο Υπουργείο Οικονομικών με το άρθρο 9 του Ν. 3691/2008 (Α΄166) είναι ο μηχανισμός που καθορίζει σε εθνικό επίπεδο τη στρατηγική για τις ανωτέρω ενέργειες. </w:t>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Α.Α.Δ.Ε.,</w:t>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p>
    <w:p>
      <w:pPr>
        <w:pStyle w:val="StructureList1"/>
        <w:spacing w:before="120" w:after="0"/>
        <w:rPr>
          <w:lang w:val="el" w:eastAsia="el"/>
        </w:rPr>
      </w:pPr>
      <w:r>
        <w:rPr>
          <w:lang w:val="el" w:eastAsia="el"/>
        </w:rPr>
        <w:t>ε)</w:t>
      </w:r>
      <w:r>
        <w:rPr>
          <w:lang w:val="en" w:eastAsia="en"/>
        </w:rPr>
        <w:tab/>
      </w:r>
      <w:r>
        <w:rPr>
          <w:lang w:val="el" w:eastAsia="el"/>
        </w:rPr>
        <w:t>ο Ειδικός Γραμματέας του Σώματος Δίωξης Οικονομικού Εγκλήματος,</w:t>
      </w:r>
    </w:p>
    <w:p>
      <w:pPr>
        <w:pStyle w:val="StructureList1"/>
        <w:spacing w:before="120" w:after="0"/>
        <w:rPr>
          <w:lang w:val="el" w:eastAsia="el"/>
        </w:rPr>
      </w:pPr>
      <w:r>
        <w:rPr>
          <w:lang w:val="el" w:eastAsia="el"/>
        </w:rPr>
        <w:t>στ)</w:t>
      </w:r>
      <w:r>
        <w:rPr>
          <w:lang w:val="en" w:eastAsia="en"/>
        </w:rPr>
        <w:tab/>
      </w:r>
      <w:r>
        <w:rPr>
          <w:lang w:val="el" w:eastAsia="el"/>
        </w:rPr>
        <w:t>ο Γενικός Γραμματέας Δημόσιας Τάξης του Υπουργείου Εσωτερικών,</w:t>
      </w:r>
    </w:p>
    <w:p>
      <w:pPr>
        <w:pStyle w:val="StructureList1"/>
        <w:spacing w:before="120" w:after="0"/>
        <w:rPr>
          <w:lang w:val="el" w:eastAsia="el"/>
        </w:rPr>
      </w:pPr>
      <w:r>
        <w:rPr>
          <w:lang w:val="el" w:eastAsia="el"/>
        </w:rPr>
        <w:t>ζ)</w:t>
      </w:r>
      <w:r>
        <w:rPr>
          <w:lang w:val="en" w:eastAsia="en"/>
        </w:rPr>
        <w:tab/>
      </w:r>
      <w:r>
        <w:rPr>
          <w:lang w:val="el" w:eastAsia="el"/>
        </w:rPr>
        <w:t>ο Διευθυντής της Δ1 Διευθύνσεως ΟΗΕ και Διεθνών Ειδικευμένων Οργανισμών και Διασκέψεων του Υπουργείου Εξωτερικών,</w:t>
      </w:r>
    </w:p>
    <w:p>
      <w:pPr>
        <w:pStyle w:val="StructureList1"/>
        <w:spacing w:before="120" w:after="0"/>
        <w:rPr>
          <w:lang w:val="el" w:eastAsia="el"/>
        </w:rPr>
      </w:pPr>
      <w:r>
        <w:rPr>
          <w:lang w:val="el" w:eastAsia="el"/>
        </w:rPr>
        <w:t>η)</w:t>
      </w:r>
      <w:r>
        <w:rPr>
          <w:lang w:val="en" w:eastAsia="en"/>
        </w:rPr>
        <w:tab/>
      </w:r>
      <w:r>
        <w:rPr>
          <w:lang w:val="el" w:eastAsia="el"/>
        </w:rPr>
        <w:t>ο Γενικός Γραμματέας του Υπουργείου Δικαιοσύνης, Διαφάνειας και Ανθρωπίνων Δικαιωμάτων,</w:t>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Καταπολέμησης της Διαφθοράς του Υπουργείου Δικαιοσύνης, Διαφάνειας και Ανθρωπίνων Δικαιωμάτων,</w:t>
      </w:r>
    </w:p>
    <w:p>
      <w:pPr>
        <w:pStyle w:val="StructureList1"/>
        <w:spacing w:before="120" w:after="0"/>
        <w:rPr>
          <w:lang w:val="el" w:eastAsia="el"/>
        </w:rPr>
      </w:pPr>
      <w:r>
        <w:rPr>
          <w:lang w:val="el" w:eastAsia="el"/>
        </w:rPr>
        <w:t>ι)</w:t>
      </w:r>
      <w:r>
        <w:rPr>
          <w:lang w:val="en" w:eastAsia="en"/>
        </w:rPr>
        <w:tab/>
      </w:r>
      <w:r>
        <w:rPr>
          <w:lang w:val="el" w:eastAsia="el"/>
        </w:rPr>
        <w:t>ο Γενικός Γραμματέας Εμπορίου και Καταναλωτή του Υπουργείου Οικονομίας και Ανάπτυξης,</w:t>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του Υπουργείου Ναυτιλίας και Νησιωτικής Πολιτικής,</w:t>
      </w:r>
    </w:p>
    <w:p>
      <w:pPr>
        <w:pStyle w:val="StructureList1"/>
        <w:spacing w:before="120" w:after="0"/>
        <w:rPr>
          <w:lang w:val="el" w:eastAsia="el"/>
        </w:rPr>
      </w:pPr>
      <w:r>
        <w:rPr>
          <w:lang w:val="el" w:eastAsia="el"/>
        </w:rPr>
        <w:t>ιβ)</w:t>
      </w:r>
      <w:r>
        <w:rPr>
          <w:lang w:val="en" w:eastAsia="en"/>
        </w:rPr>
        <w:tab/>
      </w:r>
      <w:r>
        <w:rPr>
          <w:lang w:val="el" w:eastAsia="el"/>
        </w:rPr>
        <w:t>ο Γενικός Γραμματέας Μεταναστευτικής Πολιτικής του Υπουργείου Μεταναστευτικής Πολιτικής,</w:t>
      </w:r>
    </w:p>
    <w:p>
      <w:pPr>
        <w:pStyle w:val="StructureList1"/>
        <w:spacing w:before="120" w:after="0"/>
        <w:rPr>
          <w:lang w:val="el" w:eastAsia="el"/>
        </w:rPr>
      </w:pPr>
      <w:r>
        <w:rPr>
          <w:lang w:val="el" w:eastAsia="el"/>
        </w:rPr>
        <w:t>ιγ)</w:t>
      </w:r>
      <w:r>
        <w:rPr>
          <w:lang w:val="en" w:eastAsia="en"/>
        </w:rPr>
        <w:tab/>
      </w:r>
      <w:r>
        <w:rPr>
          <w:lang w:val="el" w:eastAsia="el"/>
        </w:rPr>
        <w:t>ο Διευθυντής της Διεύθυνσης Επιθεώρησης Εποπτευόμενων Εταιρειών της Τράπεζας της Ελλάδος,</w:t>
      </w:r>
    </w:p>
    <w:p>
      <w:pPr>
        <w:pStyle w:val="StructureList1"/>
        <w:spacing w:before="120" w:after="0"/>
        <w:rPr>
          <w:lang w:val="el" w:eastAsia="el"/>
        </w:rPr>
      </w:pPr>
      <w:r>
        <w:rPr>
          <w:lang w:val="el" w:eastAsia="el"/>
        </w:rPr>
        <w:t>ιδ)</w:t>
      </w:r>
      <w:r>
        <w:rPr>
          <w:lang w:val="en" w:eastAsia="en"/>
        </w:rPr>
        <w:tab/>
      </w:r>
      <w:r>
        <w:rPr>
          <w:lang w:val="el" w:eastAsia="el"/>
        </w:rPr>
        <w:t>ο Γενικός Διευθυντής της Επιτροπής Κεφαλαιαγοράς,</w:t>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Λογιστικής Τυποποίησης και Ελέγχων,</w:t>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Εποπτείας και Ελέγχου Παιγνίων.</w:t>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τα μέλη μπορεί να συνεπικουρούνται από στελέχη εξειδικευμένα στα θέματα της εκάστοτε ημερήσιας διάταξης.</w:t>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p>
    <w:p>
      <w:pPr>
        <w:pStyle w:val="MainText"/>
        <w:spacing w:before="120" w:after="0"/>
        <w:rPr>
          <w:lang w:val="el" w:eastAsia="el"/>
        </w:rPr>
      </w:pPr>
      <w:r>
        <w:rPr>
          <w:b/>
          <w:bCs/>
          <w:lang w:val="el" w:eastAsia="el"/>
        </w:rPr>
        <w:t>5.</w:t>
      </w:r>
      <w:r>
        <w:rPr>
          <w:lang w:val="el" w:eastAsia="el"/>
        </w:rPr>
        <w:t xml:space="preserve"> Με απόφαση της Επιτροπής Στρατηγικής συντάσσεται ο Κανονισμός Λειτουργίας της, ο οποίος εγκρίνεται με απόφαση του Υπουργού Οικονομικών. Με τον Κανονισμό Λειτουργίας ορίζεται ο τρόπος κατάρτισης της ημερήσιας διάταξης των συνεδριάσεων, ο τρόπος λήψης αποφάσεων και οργάνωσης της γραμματειακής και επιστημονικής υποστήριξης,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Γραμματειακή υποστήριξη στην Επιτροπή Στρατηγικής παρέχει η Γενική Διεύθυνση Οικονομικής Πολιτικής του Υπουργείου Οικονομικών.</w:t>
      </w:r>
    </w:p>
    <w:p>
      <w:pPr>
        <w:pStyle w:val="MainText"/>
        <w:spacing w:before="120" w:after="0"/>
        <w:rPr>
          <w:lang w:val="el" w:eastAsia="el"/>
        </w:rPr>
      </w:pPr>
      <w:r>
        <w:rPr>
          <w:b/>
          <w:bCs/>
          <w:lang w:val="el" w:eastAsia="el"/>
        </w:rPr>
        <w:t>7.</w:t>
      </w:r>
      <w:r>
        <w:rPr>
          <w:lang w:val="el" w:eastAsia="el"/>
        </w:rPr>
        <w:t xml:space="preserve"> Έργο της Επιτροπής Στρατηγικής είναι:</w:t>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 μετριασμό των κινδύνων και την αξιοποίηση των ευρημάτων στην κατανομή πόρων και στο σχεδιασμό δράσεων σε επιλεγμένους τομείς και ειδικότερα:</w:t>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τις ΕΕΑ και τις αντίστοιχες αρχές άλλων κρατών - μελών της Ευρωπαϊκής Ένωσης για τα αποτελέσματα των ανωτέρω εκτιμήσεων κινδύνου:</w:t>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διαβίβαση πληροφοριών προς την Αρχή.</w:t>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των φορέων της παραγράφου 2, ιδίως μέσω διμερών ή πολυμερών μνημονίων.</w:t>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w:t>
      </w:r>
    </w:p>
    <w:p>
      <w:pPr>
        <w:pStyle w:val="MainText"/>
        <w:spacing w:before="120" w:after="0"/>
        <w:rPr>
          <w:lang w:val="el" w:eastAsia="el"/>
        </w:rPr>
      </w:pPr>
      <w:r>
        <w:rPr>
          <w:b/>
          <w:bCs/>
          <w:lang w:val="el" w:eastAsia="el"/>
        </w:rPr>
        <w:t>8.</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την FATF. Προς τούτο ενημερώνεται σχετικά από τον Κεντρικό Συντονιστικό Φορέα και την Αρχή.</w:t>
      </w:r>
    </w:p>
    <w:p>
      <w:pPr>
        <w:pStyle w:val="MainText"/>
        <w:spacing w:before="120" w:after="0"/>
        <w:rPr>
          <w:lang w:val="el" w:eastAsia="el"/>
        </w:rPr>
      </w:pPr>
      <w:r>
        <w:rPr>
          <w:b/>
          <w:bCs/>
          <w:lang w:val="el" w:eastAsia="el"/>
        </w:rPr>
        <w:t>9.</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της χρηματοδότησης της διάδοσης όπλων μαζικής καταστροφής. Η έκθεση υποβάλλεται μέσα στο πρώτο τρίμηνο κάθε έτους.</w:t>
      </w:r>
    </w:p>
    <w:p>
      <w:pPr>
        <w:pStyle w:val="MainText"/>
        <w:spacing w:before="120" w:after="0"/>
        <w:rPr>
          <w:lang w:val="el" w:eastAsia="el"/>
        </w:rPr>
      </w:pPr>
      <w:r>
        <w:rPr>
          <w:b/>
          <w:bCs/>
          <w:lang w:val="el" w:eastAsia="el"/>
        </w:rPr>
        <w:t>10.</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 </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Α.Φ.Μ. στην Ελλάδα. </w:t>
      </w:r>
    </w:p>
    <w:p>
      <w:pPr>
        <w:spacing w:before="240" w:after="240"/>
        <w:rPr>
          <w:lang w:val="el" w:eastAsia="el"/>
        </w:rPr>
      </w:pPr>
      <w:r>
        <w:rPr>
          <w:lang w:val="el" w:eastAsia="el"/>
        </w:rPr>
        <w:t>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Α.Α.Δ.Ε., Ο.Τ.Α. ή Φορείς Κοινωνικής Ασφάλισης ή Πρόνοιας με πίστωση λογαριασμού πληρωμών (ΙΒΑΝ) του δικαιούχου, απαιτείται η προηγούμενη ταυτοποίησή του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την ως άνω υποχρέωση.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συνάπτουν επιχειρηματική σχέση,</w:t>
      </w:r>
    </w:p>
    <w:p>
      <w:pPr>
        <w:pStyle w:val="StructureList1"/>
        <w:spacing w:before="120" w:after="0"/>
        <w:rPr>
          <w:lang w:val="el" w:eastAsia="el"/>
        </w:rPr>
      </w:pPr>
      <w:r>
        <w:rPr>
          <w:lang w:val="el" w:eastAsia="el"/>
        </w:rPr>
        <w:t>β)</w:t>
      </w:r>
      <w:r>
        <w:rPr>
          <w:lang w:val="en" w:eastAsia="en"/>
        </w:rPr>
        <w:tab/>
      </w:r>
      <w:r>
        <w:rPr>
          <w:lang w:val="el" w:eastAsia="el"/>
        </w:rPr>
        <w:t>όταν διενεργούν περιστασιακή συναλλαγή που: αα)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p>
    <w:p>
      <w:pPr>
        <w:pStyle w:val="StructureList1"/>
        <w:spacing w:before="120" w:after="0"/>
        <w:rPr>
          <w:lang w:val="el" w:eastAsia="el"/>
        </w:rPr>
      </w:pPr>
      <w:r>
        <w:rPr>
          <w:lang w:val="el" w:eastAsia="el"/>
        </w:rPr>
        <w:t>γ)</w:t>
      </w:r>
      <w:r>
        <w:rPr>
          <w:lang w:val="en" w:eastAsia="en"/>
        </w:rPr>
        <w:tab/>
      </w:r>
      <w:r>
        <w:rPr>
          <w:lang w:val="el" w:eastAsia="el"/>
        </w:rPr>
        <w:t>όταν πρόκειται για πρόσωπα που εμπορεύονται αγαθά και διενεργούν περιστασιακή συναλλαγή σε μετρητά που αφορά ποσό δέκα χιλιάδων (10.000) ευρώ τουλάχιστον, ανεξάρτητα από το αν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δ)</w:t>
      </w:r>
      <w:r>
        <w:rPr>
          <w:lang w:val="en" w:eastAsia="en"/>
        </w:rPr>
        <w:tab/>
      </w:r>
      <w:r>
        <w:rPr>
          <w:lang w:val="el" w:eastAsia="el"/>
        </w:rPr>
        <w:t>όταν πρόκειται για παρόχους υπηρεσιών τυχερών παιγνίων που διενεργούν συναλλαγή που αφορά ποσό δύο χιλιάδων (2.000) ευρώ τουλάχιστον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p>
    <w:p>
      <w:pPr>
        <w:pStyle w:val="StructureList1"/>
        <w:spacing w:before="120" w:after="0"/>
        <w:rPr>
          <w:lang w:val="el" w:eastAsia="el"/>
        </w:rPr>
      </w:pPr>
      <w:r>
        <w:rPr>
          <w:lang w:val="el" w:eastAsia="el"/>
        </w:rPr>
        <w:t>ε)</w:t>
      </w:r>
      <w:r>
        <w:rPr>
          <w:lang w:val="en" w:eastAsia="en"/>
        </w:rPr>
        <w:tab/>
      </w:r>
      <w:r>
        <w:rPr>
          <w:lang w:val="el" w:eastAsia="el"/>
        </w:rPr>
        <w:t>όταν 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p>
    <w:p>
      <w:pPr>
        <w:pStyle w:val="StructureList1"/>
        <w:spacing w:before="120" w:after="0"/>
        <w:rPr>
          <w:lang w:val="el" w:eastAsia="el"/>
        </w:rPr>
      </w:pPr>
      <w:r>
        <w:rPr>
          <w:lang w:val="el" w:eastAsia="el"/>
        </w:rPr>
        <w:t>στ)</w:t>
      </w:r>
      <w:r>
        <w:rPr>
          <w:lang w:val="en" w:eastAsia="en"/>
        </w:rPr>
        <w:tab/>
      </w:r>
      <w:r>
        <w:rPr>
          <w:lang w:val="el" w:eastAsia="el"/>
        </w:rPr>
        <w:t>όταν 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p>
    <w:p>
      <w:pPr>
        <w:pStyle w:val="StructureList1"/>
        <w:spacing w:before="120" w:after="0"/>
        <w:rPr>
          <w:lang w:val="el" w:eastAsia="el"/>
        </w:rPr>
      </w:pPr>
      <w:r>
        <w:rPr>
          <w:lang w:val="el" w:eastAsia="el"/>
        </w:rPr>
        <w:t>ζ)</w:t>
      </w:r>
      <w:r>
        <w:rPr>
          <w:lang w:val="en" w:eastAsia="en"/>
        </w:rPr>
        <w:tab/>
      </w:r>
      <w:r>
        <w:rPr>
          <w:lang w:val="el" w:eastAsia="el"/>
        </w:rPr>
        <w:t>όταν πρόκειται για ηλεκτρονικό χρήμα ή για ειδικά προπληρωμένα μέσα που διαθέτουν δυνατότητα επαναφόρτισης με μηνιαίο όριο πράξεων πληρωμής άνω των διακοσίων πενήντα (250) ευρώ, σε αμφότερες τις περιπτώσεις.</w:t>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p>
    <w:p>
      <w:pPr>
        <w:pStyle w:val="MainText"/>
        <w:spacing w:before="120" w:after="0"/>
        <w:rPr>
          <w:lang w:val="el" w:eastAsia="el"/>
        </w:rPr>
      </w:pPr>
      <w:r>
        <w:rPr>
          <w:b/>
          <w:bCs/>
          <w:lang w:val="el" w:eastAsia="el"/>
        </w:rPr>
        <w:t>2.</w:t>
      </w:r>
      <w:r>
        <w:rPr>
          <w:lang w:val="el" w:eastAsia="el"/>
        </w:rPr>
        <w:t xml:space="preserve"> Κατά παρέκκλιση της περίπτωσης ζ΄ της παραγράφου 1, οι υπόχρεες οντότητες μπορεί να εφαρμόσουν μόνο τα μέτρα δέουσας επιμέλειας ως προς τον πελάτη των περιπτώσεων α΄ και β΄ της παραγράφου 1 του άρθρου 13 σε ό,τι αφορά το ηλεκτρονικό χρήμα αν πληρούνται σωρευτικά οι εξής προϋποθέσεις ελαχιστοποίησης του κινδύνου:</w:t>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πληρωμής διακόσια πενήντα (250) ευρώ και μπορεί να χρησιμοποιηθεί μόνο στην Ελλάδα,</w:t>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πεντακόσια (500) ευρώ και μπορεί να χρησιμοποιηθεί μόνο στην Ελλάδα,</w:t>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p>
    <w:p>
      <w:pPr>
        <w:pStyle w:val="MainText"/>
        <w:spacing w:before="120" w:after="0"/>
        <w:rPr>
          <w:lang w:val="el" w:eastAsia="el"/>
        </w:rPr>
      </w:pPr>
      <w:r>
        <w:rPr>
          <w:b/>
          <w:bCs/>
          <w:lang w:val="el" w:eastAsia="el"/>
        </w:rPr>
        <w:t>3.</w:t>
      </w:r>
      <w:r>
        <w:rPr>
          <w:lang w:val="el" w:eastAsia="el"/>
        </w:rPr>
        <w:t xml:space="preserve"> Η παράγραφος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εκατό (100) ευρώ.</w:t>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εκτίμηση κινδύνου και δεν βασίζονται αποκλειστικά στο Μητρώο Πραγματικών Δικαιούχων των άρθρων 20 και 21.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τα νομικά πρόσωπα, τα καταπιστεύματα ή άλλα νομικά μορφώματα λαμβάνονται εύλογα μέτρα για να γίνει γνωστή η διάρθρωση του καθεστώτος ιδιοκτησίας και ελέγχου του πελάτη,</w:t>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αριθμ. 2015/847 (ΕΕ L 141/5.6.2015), όσον αφορά τα στοιχεία που συνοδεύουν τις μεταφορές χρηματικών ποσών, λαμβάνοντας υπόψη τις σχετικές κατευθυντήριες οδηγίες των ΕΕΑ. </w:t>
      </w:r>
    </w:p>
    <w:p>
      <w:pPr>
        <w:pStyle w:val="MainText"/>
        <w:spacing w:before="120" w:after="0"/>
        <w:rPr>
          <w:lang w:val="el" w:eastAsia="el"/>
        </w:rPr>
      </w:pPr>
      <w:r>
        <w:rPr>
          <w:b/>
          <w:bCs/>
          <w:lang w:val="el" w:eastAsia="el"/>
        </w:rPr>
        <w:t>7.</w:t>
      </w:r>
      <w:r>
        <w:rPr>
          <w:lang w:val="el" w:eastAsia="el"/>
        </w:rPr>
        <w:t xml:space="preserve"> Τα υπόχρεα πρόσωπα εφαρμόζουν, την κατάλληλη χρονική στιγμή και ανάλογα με το βαθμό κινδύνου, τις διαδικασίες δέουσας επιμέλειας όχι μόνο στους νέους αλλά και στους υφιστάμενους πελάτες. </w:t>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παραγράφους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w:t>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που ορίζονται στα άρθρα 17 και 18 στις περιπτώσεις που αναφέρονται σ΄ αυτά.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όσα ορίζονται στην παράγραφο 4. </w:t>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 </w:t>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με ίδρυμα πελάτη από τρίτη χώρα, τα πιστωτικά ιδρύματα και οι χρηματοπιστωτικοί οργανισμοί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 - μέλος της Ευρωπαϊκής Ένωσης ή σε τρίτη χώρα που είναι μέλος της FATF.</w:t>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αντίγραφα, σε έντυπη ή ηλεκτρονική μορφή, των εγγράφων που έχει αποκτήσει το τρίτο μέρος κατά την εφαρμογή των ανωτέρω μέτρων δέουσας επιμέλειας.</w:t>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οντότητες που έχουν έδρα στην Ελλάδα υποχρεούνται να συλλέγουν και να φυλάσσουν, σε ειδικό μητρώο που τηρούν στην έδρα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αρμόδιου εταιρικού καταστατικού οργάνου, και καταχωρίζεται στο Κεντρικό Μητρώο Πραγματικών Δικαιούχων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 </w:t>
      </w:r>
    </w:p>
    <w:p>
      <w:pPr>
        <w:pStyle w:val="MainText"/>
        <w:spacing w:before="120" w:after="0"/>
        <w:rPr>
          <w:lang w:val="el" w:eastAsia="el"/>
        </w:rPr>
      </w:pPr>
      <w:r>
        <w:rPr>
          <w:b/>
          <w:bCs/>
          <w:lang w:val="el" w:eastAsia="el"/>
        </w:rPr>
        <w:t>2.</w:t>
      </w:r>
      <w:r>
        <w:rPr>
          <w:lang w:val="el" w:eastAsia="el"/>
        </w:rPr>
        <w:t xml:space="preserve"> Η τήρηση του ειδικού μητρώου της παραγράφου 1 γίνεται με επιμέλεια του υπευθύνου εταιρικής συμμόρφωσης για εισηγμένες εταιρείες σε οργανωμένη αγορά ή σε Πολυμερή Μηχανισμό Διαπραγμάτευσης ή του αρμόδιου ανώτατου στελέχους διοίκησης ανάλογου τμήματος σε κάθε άλλο νομικό πρόσωπο ή οντότητα, εφαρμοζομένων των διατάξεων του Ν. 2472/1997 (Α΄50) για την προστασία των προσωπικών δεδομένων, σύμφωνα με το άρθρο 31. </w:t>
      </w:r>
    </w:p>
    <w:p>
      <w:pPr>
        <w:pStyle w:val="MainText"/>
        <w:spacing w:before="120" w:after="0"/>
        <w:rPr>
          <w:lang w:val="el" w:eastAsia="el"/>
        </w:rPr>
      </w:pPr>
      <w:r>
        <w:rPr>
          <w:b/>
          <w:bCs/>
          <w:lang w:val="el" w:eastAsia="el"/>
        </w:rPr>
        <w:t>3.</w:t>
      </w:r>
      <w:r>
        <w:rPr>
          <w:lang w:val="el" w:eastAsia="el"/>
        </w:rPr>
        <w:t xml:space="preserve"> Τα νομικά αυτά πρόσωπα και οντότητες χορηγούν τις πληροφορίες τόσο για το νόμιμο όσο και για τον πραγματικό δικαιούχο τους στα υπόχρεα πρόσωπα,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p>
    <w:p>
      <w:pPr>
        <w:pStyle w:val="MainText"/>
        <w:spacing w:before="120" w:after="0"/>
        <w:rPr>
          <w:lang w:val="el" w:eastAsia="el"/>
        </w:rPr>
      </w:pPr>
      <w:r>
        <w:rPr>
          <w:b/>
          <w:bCs/>
          <w:lang w:val="el" w:eastAsia="el"/>
        </w:rPr>
        <w:t>4.</w:t>
      </w:r>
      <w:r>
        <w:rPr>
          <w:lang w:val="el" w:eastAsia="el"/>
        </w:rPr>
        <w:t xml:space="preserve"> Στη Γραμματεία Πληροφοριακών Συστημάτων (Γ.Γ.Π.Σ.) δημιουργείται, με χρήση διαδικτυακής ηλεκτρονικής εφαρμογής, Κεντρικό Μητρώο Πραγματικών Δικαιούχων, το οποίο συνδέεται ηλεκτρονικά με το Α.Φ.Μ. κάθε νομικού προσώπου ή νομικής οντότητας και για το οποίο η Α.Α.Δ.Ε. διαθέτει τα απαραίτητα στοιχεία από το φορολογικό μητρώο κατά παρέκκλιση των κειμένων διατάξεων. Η Γ.Γ.Π.Σ. σχεδιάζει, αναπτύσσει και λειτουργεί παραγωγικά, πληροφοριακό σύστημα και διαδικτυακές εφαρμογές για την υλοποίηση του Κεντρικού Μητρώου.</w:t>
      </w:r>
    </w:p>
    <w:p>
      <w:pPr>
        <w:spacing w:before="240" w:after="240"/>
        <w:rPr>
          <w:lang w:val="el" w:eastAsia="el"/>
        </w:rPr>
      </w:pPr>
      <w:r>
        <w:rPr>
          <w:lang w:val="el" w:eastAsia="el"/>
        </w:rPr>
        <w:t>Η είσοδος στο πληροφοριακό σύστημα γίνεται με την εισαγωγή των κωδικών του φυσικού ή νομικού προσώπου ή εξουσιοδοτούμενου αυτών, που παρέχονται από το Υπουργείο Οικονομικών σε συνεργασία με την Α.Α.Δ.Ε. Η Γ.Γ.Π.Σ. μεριμνά ως φορέας παραγωγικής λειτουργίας για την εύρυθμη και ασφαλή λειτουργία του πληροφοριακού συστήματος που φιλοξενείται στις υποδομές της.</w:t>
      </w:r>
    </w:p>
    <w:p>
      <w:pPr>
        <w:pStyle w:val="MainText"/>
        <w:spacing w:before="120" w:after="0"/>
        <w:rPr>
          <w:lang w:val="el" w:eastAsia="el"/>
        </w:rPr>
      </w:pPr>
      <w:r>
        <w:rPr>
          <w:b/>
          <w:bCs/>
          <w:lang w:val="el" w:eastAsia="el"/>
        </w:rPr>
        <w:t>5.</w:t>
      </w:r>
      <w:r>
        <w:rPr>
          <w:lang w:val="el" w:eastAsia="el"/>
        </w:rPr>
        <w:t xml:space="preserve"> Το Κεντρικό Μητρώο μπορεί, επίσης, να συνδέεται με το Γενικό Εμπορικό Μητρώο (Γ.Ε.ΜΗ.) του Υπουργείου Οικονομίας και Ανάπτυξης, από το οποίο διατίθενται τα απαραίτητα στοιχεία για το νομικό πρόσωπο ή τη νομική οντότητα, καθώς και με τα Αποθετήρια Τίτλων, ή και κάθε άλλο φορέα όπου τηρούνται πληροφορίες σχετικά με τους πραγματικούς δικαιούχους των εταιρικών και λοιπών οντοτήτων που έχουν έδρα στην Ελλάδα. Οι δημόσιες υπηρεσίες Υπουργείων, Ανεξάρτητων Αρχών και οι υπηρεσίες κάθε άλλου φορέα υποχρεούνται να συνεργάζονται με τη Γ.Γ.Π.Σ. και να παρέχουν τα στοιχεία που είναι απαραίτητα για την τροφοδότηση του Κεντρικού Μητρώου. Με κοινή απόφαση των Υπουργών Οικονομικών και Οικονομίας και Ανάπτυξης μπορεί να ρυθμίζονται ειδικότερα θέματα σχετικά με τη σύνδεση του Κεντρικού Μητρώου με τα στοιχεία του Γ.Ε.ΜΗ.</w:t>
      </w:r>
    </w:p>
    <w:p>
      <w:pPr>
        <w:pStyle w:val="MainText"/>
        <w:spacing w:before="120" w:after="0"/>
        <w:rPr>
          <w:lang w:val="el" w:eastAsia="el"/>
        </w:rPr>
      </w:pPr>
      <w:r>
        <w:rPr>
          <w:b/>
          <w:bCs/>
          <w:lang w:val="el" w:eastAsia="el"/>
        </w:rPr>
        <w:t>6.</w:t>
      </w:r>
      <w:r>
        <w:rPr>
          <w:lang w:val="el" w:eastAsia="el"/>
        </w:rPr>
        <w:t xml:space="preserve"> Πρόσβαση στο Μητρώο Πραγματικών Δικαιούχων έχουν η Αρχή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 καθώς και οι αρμόδιες αρχές και τα υπόχρεα πρόσωπα αποκλειστικά στο πλαίσιο της εφαρμογής των μέτρων δέουσας επιμέλειας. Η Αρχή, και οι άλλες αρχές των άρθρων 6 και 9 διαβιβάζουν τα στοιχεία στις αντίστοιχες αρχές άλλων κρατών - μελών της Ευρωπαϊκής Ένωσης, ύστερα από αιτιολογημένο αίτημά τους. Οι αρχές που έχουν πρόσβαση στο Κεντρικό Μητρώο, οι εποπτικές αρχές των υπόχρεων οντοτήτων, οι αρμόδιες αρχές που ασκούν καθήκοντα διερεύνησης ή δίωξης της νομιμοποίησης εσόδων από παράνομες δραστηριότητες, των συναφών βασικών αδικημάτων και της χρηματοδότησης της τρομοκρατίας, υποχρεούνται να αναφέρουν στον Κεντρικό Συντονιστικό Φορέα και στη Γ.Γ.Π.Σ. οποιαδήποτε αναντιστοιχία εντοπίζουν μεταξύ των πληροφοριών σχετικά με τον πραγματικό δικαιούχο που τηρούνται στο Κεντρικό Μητρώο και των στοιχείων που βρίσκονται στη διάθεσή τους. </w:t>
      </w:r>
    </w:p>
    <w:p>
      <w:pPr>
        <w:pStyle w:val="MainText"/>
        <w:spacing w:before="120" w:after="0"/>
        <w:rPr>
          <w:lang w:val="el" w:eastAsia="el"/>
        </w:rPr>
      </w:pPr>
      <w:r>
        <w:rPr>
          <w:b/>
          <w:bCs/>
          <w:lang w:val="el" w:eastAsia="el"/>
        </w:rPr>
        <w:t>7.</w:t>
      </w:r>
      <w:r>
        <w:rPr>
          <w:lang w:val="el" w:eastAsia="el"/>
        </w:rPr>
        <w:t xml:space="preserve"> Πληροφόρηση ως προς τα ελάχιστα στοιχεία του Μητρώου της παραγράφου 4 μπορεί να έχει κάθε πρόσωπο ή οργανισμός που αποδεικνύει ειδικό έννομο συμφέρον και υποβάλλει σχετικό αίτημα πλήρως τεκμηριωμένο στον Κεντρικό Συντονιστικό Φορέα. Με απόφαση του Υπουργού Οικονομικών, ύστερα από εισήγηση της Αρχής, μπορεί να θεσπίζονται περιορισμοί στην πρόσβαση των προσώπων αυτών, ως προς το σύνολο ή μέρος των πληροφοριών που αφορούν τον πραγματικό δικαιούχο, όταν η πρόσβαση αυτή αιτιολογημένα μπορεί να εκθέσει τον πραγματικό δικαιούχο σε κίνδυνο εξαπάτησης, απαγωγής, εκβιασμού, βίας ή εκφοβισμού ή αν ο πραγματικός δικαιούχος είναι ανήλικος ή με άλλον τρόπο ανίκανος για δικαιοπραξία. </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 δέσμευση χορήγησης αποδεικτικού έκδοσης φορολογικής ενημερότητας των υπόχρεων νομικών προσώπων και οντοτήτων.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 </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νομικών προσώπων και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 Ν.Δ. 356/1974 «Περί Κώδικος Εισπράξεως Δημοσίων Εσόδων» (Κ.Ε.Δ.Ε., Α΄ 90).</w:t>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συμπεριλαμβανομένων εκείνων που εδρεύουν στην αλλοδαπή. Για το σκοπό αυτό,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την επεξεργασία και τη διάθεση εμπορικών και διατραπεζικών πληροφοριών. Στα πληροφοριακά αυτά συστήματα πρέπει να παρέχεται πρόσβαση της Αρχής, της Τράπεζας της Ελλάδος, της Επιτροπής Κεφαλαιαγοράς και των αρμόδιων εισαγγελικών ή άλλων αρχών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Κεντρικού Μητρώου της παραγράφου 4, τον τρόπο και τη σειρά καταχώρισης σε αυτό των στοιχείων των ειδικών μητρώων της παραγράφου 1 του παρόντος άρθρου και της παραγράφου 1 του άρθρου 21, τη διασύνδεσή τους με τα Αποθετήρια Τίτλων και τα πληροφοριακά συστήματα της παραγράφου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Κεντρικού Μητρώου, την εξειδίκευση των τεχνικών λεπτομερειών για τη λειτουργία του συστήματος και κάθε άλλο σχετικό θέμα. </w:t>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νόμου μπορεί να ρυθμίζονται ειδικότερα θέματα σχετικά με την εντολή δέσμευσης και την άρση της δέσμευσης χορήγησης αποδεικτικού ενημερότητας.</w:t>
      </w:r>
    </w:p>
    <w:p>
      <w:pPr>
        <w:pStyle w:val="MainText"/>
        <w:spacing w:before="120" w:after="0"/>
        <w:rPr>
          <w:lang w:val="el" w:eastAsia="el"/>
        </w:rPr>
      </w:pPr>
      <w:r>
        <w:rPr>
          <w:b/>
          <w:bCs/>
          <w:lang w:val="el" w:eastAsia="el"/>
        </w:rPr>
        <w:t>13.</w:t>
      </w:r>
      <w:r>
        <w:rPr>
          <w:lang w:val="el" w:eastAsia="el"/>
        </w:rPr>
        <w:t xml:space="preserve"> Η λειτουργία του Μητρώου Πραγματικών Δικαιούχων τίθεται σε πλήρη ισχύ μέσα σε έξι (6) μήνες από την έναρξη ισχύος του παρόντος νόμου.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p>
    <w:p>
      <w:pPr>
        <w:pStyle w:val="MainText"/>
        <w:spacing w:before="120" w:after="0"/>
        <w:rPr>
          <w:lang w:val="el" w:eastAsia="el"/>
        </w:rPr>
      </w:pPr>
      <w:r>
        <w:rPr>
          <w:b/>
          <w:bCs/>
          <w:lang w:val="el" w:eastAsia="el"/>
        </w:rPr>
        <w:t>3.</w:t>
      </w:r>
      <w:r>
        <w:rPr>
          <w:lang w:val="el" w:eastAsia="el"/>
        </w:rPr>
        <w:t xml:space="preserve"> Στις πληροφορίες της παραγράφου 1 έχουν άμεση πρόσβαση η Αρχή και οι αρμόδιες αρχές του άρθρου 6.</w:t>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στην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 σύμφωνα με τις διαδικασίες που προβλέπουν οι κείμενες διατάξεις</w:t>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τυχόν νομοθετικής, κανονιστικής, διοικητικής ή συμβατικής απαγόρευσης γνωστοποίησης πληροφοριών και δεν συνεπάγεται οποιουδήποτε είδους ευθύνη για το υπόχρεο πρόσωπο και τους υπαλλήλους του, ακόμη και αν αποδειχθεί ότι δεν υπήρξε εγκληματική δραστηριότητα, ούτε μπορεί να αποτελέσει λόγο καταγγελίας της εργασιακής σύμβασης ή μεταβολή των όρων της επί το δυσμενέστερον.</w:t>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πιθανή εκδίκηση ή εκφοβισμό, σύμφωνα με τις διατάξεις του άρθρου 9 του Ν. 2928/2001 (Α΄ 141).</w:t>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 xml:space="preserve">Συνιστάται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Διαφάνειας και Ανθρωπίνων Δικαιωμάτων,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υποχρεώσεις δέουσας επιμέλειας που ορίζονται στο άρθρο 13,</w:t>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παραγράφων 1 και 2 φυλάσσονται σε έντυπη ή ηλεκτρονική μορφή για χρονικό διάστημα πέντε (5) ετών μετά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αιτιολογημένα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υποθέσεις για τις οποίες στις 25 Ιουνίου 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 Ιουνίου 2020 και, αν εκκρεμούσε ήδη ποινική διαδικασία, μέχρι τις 25.6.2025. </w:t>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11 του Ν. 2472/1997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σύμφωνα με τον παρόντα νόμο με σκοπό την πρόληψη της νομιμοποίησης εσόδων από εγκληματικές δραστηριότητες και της χρηματοδότησης της τρομοκρατίας θεωρείται ζήτημα δημόσιου συμφέροντος, σύμφωνα με το Ν. 2472/1997.</w:t>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δεδομένα όσον αφορά τον αριθμό των διασυνοριακών αιτήσεων παροχής πληροφοριών που έχουν υποβληθεί, απορριφθεί και απαντηθεί πλήρως ή εν μέρει από την Αρχή,</w:t>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MainText"/>
        <w:spacing w:before="120" w:after="0"/>
        <w:rPr>
          <w:lang w:val="el" w:eastAsia="el"/>
        </w:rPr>
      </w:pPr>
      <w:r>
        <w:rPr>
          <w:b/>
          <w:bCs/>
          <w:lang w:val="el" w:eastAsia="el"/>
        </w:rPr>
        <w:t>3.</w:t>
      </w:r>
      <w:r>
        <w:rPr>
          <w:lang w:val="el" w:eastAsia="el"/>
        </w:rPr>
        <w:t xml:space="preserve"> Το Υπουργείο Δικαιοσύνης, Διαφάνειας και Ανθρωπίνων Δικαιωμάτων, η Αρχή και οι αρμόδιες αρχές δημοσιεύουν συγκεντρωτικά στατιστικά στοιχεία για την επαρκή ενημέρωση του κοινού..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 - μελών της Ευρωπαϊκής Ένωσης πληροφορίες εμπιστευτικής φύσης, που μπορεί να είναι χρήσιμες για τις επιχειρησιακές τους αναλύσεις. Για τη λήψη αιτήματος παροχής πληροφοριών από ΜΧΠ άλλων κρατών - μελών, η Αρχή ορίζει τουλάχιστον έναν υπεύθυνο ή σημείο επικοινωνίας. Αν λαμβάνει αναφορές ύποπτων ή ασύνηθων συναλλαγών που αφορούν άλλο κράτος - μέλος, τις διαβιβάζει αμελλητί στην αντίστοιχη ΜΧΠ. </w:t>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 ΜΧΠ άλλων κρατών - μελών της Ευρωπαϊκής Ένωσης, μπορεί να επιβάλλονται περιορισμοί και προϋποθέσεις ως προς τη χρήση τους. Οι πληροφορίες που προέρχονται από Μονάδες άλλων κρατών - μελών, μπορούν να χρησιμοποιούνται από την Αρχή μόνο για το σκοπό για τον οποίο ζητήθηκαν και με σεβασμό των επιβληθέντων περιορισμών ή προϋποθέσεων. Οποιαδήποτε διαβίβαση των πληροφοριών αυτών σε άλλη αρχή ή φορέα ή χρήση του για σκοπούς πέραν των αρχικώς εγκριθέντων, υπόκειται σε προηγούμενη συγκατάθεση της Μονάδας που παρέχει τις πληροφορίες. Αν ζητείται η συγκατάθεση της Αρχής για τη διαβίβαση των πληροφοριών που έχει παράσχει σε άλλες αρχές ή φορείς του αιτούντος κράτους -μέλους, η Αρχή δεν αρνείται τη σχετική συγκατάθεση, παρά μόνον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καθώς και αν η διαβίβαση θα μπορούσε να παρακωλύσει τη διενέργεια εγχώριας ποινικής έρευνας ή να προξενήσει σαφώς δυσανάλογη βλάβη στα έννομα συμφέροντα ενός προσώπου ή στο δημόσιο συμφέρον ή να αντίκειται σε θεμελιώδεις αρχές του κράτους δικαίου. Η άρνηση συγκατάθεσης αιτιολογείται δεόντως. </w:t>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των διατάξεων του παρόντος, ως πληροφορίες εμπιστευτικής φύσης νοούνται εκείνες που αφορούν 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φορολογικών εγκλημάτων, σύμφωνα με το εκάστοτε εθνικό δίκαιο δεν εμποδίζουν την ικανότητα των ΜΧΠ να ανταλλάσσουν πληροφορίες ή να παρέχουν συνδρομή σε άλλη ΜΧΠ, στο μέγιστο δυνατό βαθμό, σύμφωνα με την οικεία εθνική νομοθεσία.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 χαρακτήρα και το μέγεθος του εκάστοτε υπόχρεου προσώπου.</w:t>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παράγραφο 1 σε υποκαταστήματα και θυγατρικές των υπόχρεων προσώπων στη χώρα αυτή, τα υπόχρεα πρόσωπα ενημερώνουν την Αρχή, την κατά περίπτωση αρμόδια αρχή και τον Κεντρικό Συντονιστικό Φορέα. Η Τράπεζα της Ελλάδος και η Επιτροπή Κεφαλαιαγοράς ενημερώνουν ακολούθως τις αντίστοιχες Ευρωπαϊκές Εποπτικές Αρχές. </w:t>
      </w:r>
    </w:p>
    <w:p>
      <w:pPr>
        <w:pStyle w:val="MainText"/>
        <w:spacing w:before="120" w:after="0"/>
        <w:rPr>
          <w:lang w:val="el" w:eastAsia="el"/>
        </w:rPr>
      </w:pPr>
      <w:r>
        <w:rPr>
          <w:b/>
          <w:bCs/>
          <w:lang w:val="el" w:eastAsia="el"/>
        </w:rPr>
        <w:t>5.</w:t>
      </w:r>
      <w:r>
        <w:rPr>
          <w:lang w:val="el" w:eastAsia="el"/>
        </w:rPr>
        <w:t xml:space="preserve"> Πληροφορίες οι οποίες περιλαμβάνονται σε αναφορές ασύνηθων ή ύποπτων συναλλαγών που υποβάλλονται στην Αρχή από τα υπόχρεα πρόσωπα και αφορούν κεφάλαια που αποτελούν προϊόντα εγκληματικής δραστηριότητας ή σχετίζονται με τη χρηματοδότηση της τρομοκρατίας, επιτρέπεται να ανταλλάσσονται εντός του ομίλου, εκτός αν δοθούν διαφορετικές οδηγίες από την Αρχή. </w:t>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 - μέλος της Ευρωπαϊκής Ένωσης, ορίζουν ένα κεντρικό σημείο επαφής στην Ελλάδα, για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σ΄ αυτήν ύστερα από σχετικό αίτημα.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καθώς και στο σύστημα «Τειρεσίας». Όπου λειτουργούν ηλεκτρονικά συστήματα δημόσιας αρχής ή οργανισμού, η πρόσβαση γίνεται μέσω της απευθείας σύνδεσης με αυτά. </w:t>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 xml:space="preserve">Άρθρο 56. </w:t>
      </w:r>
    </w:p>
    <w:p>
      <w:pPr>
        <w:spacing w:before="240" w:after="240"/>
        <w:rPr>
          <w:lang w:val="el" w:eastAsia="el"/>
        </w:rPr>
      </w:pPr>
      <w:r>
        <w:rPr>
          <w:lang w:val="el" w:eastAsia="el"/>
        </w:rPr>
        <w:t xml:space="preserve">Η εποπτεία λειτουργίας του Οικοδομικού Συνεταιρισμού Μονίμων Αξιωματικών Ελληνικού Στρατού (ΟΣΜΑ-ΕΣ) παραμένει στο Υπουργείο Εθνικής `Αμυνας και εξακολουθεί να διέπεται από τις διατάξεις του α.ν. 564/1968 (Α΄ 220) μέχρι τις 15.9.2019. Εντός του τελευταίου τριμήνου της προθεσμίας του προηγούμενου εδαφίου,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σύμφωνα με το άρθρο 1 του Ν. 1667/1986 (Α΄ 196), η εποπτεία του ΟΣΜΑΕΣ περιέρχεται αυτοδικαίως στο Υπουργείο Οικονομικών και συγκαλείται Γενική Συνέλευση για την ανάδειξη νέου Διοικητικού και Εποπτικού Συμβουλίου.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4607/2019, Άρθρο 62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78" w:history="1">
        <w:r>
          <w:rPr>
            <w:rStyle w:val="Hyperlink"/>
            <w:color w:val="0000EE"/>
            <w:u w:color="0000EE"/>
            <w:lang w:val="el" w:eastAsia="el"/>
          </w:rPr>
          <w:t>Τροποποίηση 4583/2018, Άρθρο 78</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2" w:history="1">
        <w:r>
          <w:rPr>
            <w:rStyle w:val="Hyperlink"/>
            <w:color w:val="0000EE"/>
            <w:u w:color="0000EE"/>
            <w:lang w:val="el" w:eastAsia="el"/>
          </w:rPr>
          <w:t>Τροποποίηση 4607/2019, Άρθρο 62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3" w:history="1">
        <w:r>
          <w:rPr>
            <w:rStyle w:val="Hyperlink"/>
            <w:color w:val="0000EE"/>
            <w:u w:color="0000EE"/>
            <w:lang w:val="el" w:eastAsia="el"/>
          </w:rPr>
          <w:t>Τροποποίηση 4646/2019, Άρθρο 63</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3" w:history="1">
        <w:r>
          <w:rPr>
            <w:rStyle w:val="Hyperlink"/>
            <w:color w:val="0000EE"/>
            <w:u w:color="0000EE"/>
            <w:lang w:val="el" w:eastAsia="el"/>
          </w:rPr>
          <w:t>Τροποποίηση 4646/2019, Άρθρο 63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3" w:history="1">
        <w:r>
          <w:rPr>
            <w:rStyle w:val="Hyperlink"/>
            <w:color w:val="0000EE"/>
            <w:u w:color="0000EE"/>
            <w:lang w:val="el" w:eastAsia="el"/>
          </w:rPr>
          <w:t>Προσθήκη 4646/2019, Άρθρο 63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9/04/24/4607" TargetMode="External" /><Relationship Id="rId2" Type="http://schemas.openxmlformats.org/officeDocument/2006/relationships/hyperlink" Target="http://data.aade.gr/eli/pri/law/2018/12/18/4583"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6"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