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Σκοπός του παρόντος είναι η ενσωμάτωση στην ελληνική έννομη τάξη της Οδηγίας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141/5.6.2015) και η κωδικοποίηση των σχετικών διατάξεων της εθνικής νομοθεσίας.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 (άρθρο 1 της Οδηγίας 2015/849)</w:t>
      </w:r>
    </w:p>
    <w:p>
      <w:pPr>
        <w:pStyle w:val="MainText"/>
        <w:spacing w:before="120" w:after="0"/>
        <w:rPr>
          <w:lang w:val="el" w:eastAsia="el"/>
        </w:rPr>
      </w:pPr>
      <w:r>
        <w:rPr>
          <w:b/>
          <w:bCs/>
          <w:lang w:val="el" w:eastAsia="el"/>
        </w:rPr>
        <w:t>1.</w:t>
      </w:r>
      <w:r>
        <w:rPr>
          <w:lang w:val="el" w:eastAsia="el"/>
        </w:rPr>
        <w:t xml:space="preserve"> Αντικείμενο του παρόντος είναι η πρόληψη και καταστολή της νομιμοποίησης εσόδων από εγκληματικές δραστηριότητες και της χρηματοδότησης της τρομοκρατίας, όπως αυτά τα αδικήματα ορίζονται κατωτέρω, καθώς και η προστασία του χρηματοπιστωτικού συστήματος από τους κινδύνους που ενέχουν.</w:t>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(ξέπλυμα χρήματος) συνιστούν οι εξής πράξεις:</w:t>
      </w:r>
    </w:p>
    <w:p>
      <w:pPr>
        <w:pStyle w:val="StructureList1"/>
        <w:spacing w:before="120" w:after="0"/>
        <w:rPr>
          <w:lang w:val="el" w:eastAsia="el"/>
        </w:rPr>
      </w:pPr>
      <w:r>
        <w:rPr>
          <w:lang w:val="el" w:eastAsia="el"/>
        </w:rPr>
        <w:t>α)</w:t>
      </w:r>
      <w:r>
        <w:rPr>
          <w:lang w:val="en" w:eastAsia="en"/>
        </w:rPr>
        <w:tab/>
      </w:r>
      <w:r>
        <w:rPr>
          <w:lang w:val="el" w:eastAsia="el"/>
        </w:rPr>
        <w:t>H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p>
    <w:p>
      <w:pPr>
        <w:pStyle w:val="StructureList1"/>
        <w:spacing w:before="120" w:after="0"/>
        <w:rPr>
          <w:lang w:val="el" w:eastAsia="el"/>
        </w:rPr>
      </w:pPr>
      <w:r>
        <w:rPr>
          <w:lang w:val="el" w:eastAsia="el"/>
        </w:rPr>
        <w:t>β)</w:t>
      </w:r>
      <w:r>
        <w:rPr>
          <w:lang w:val="en" w:eastAsia="en"/>
        </w:rPr>
        <w:tab/>
      </w:r>
      <w:r>
        <w:rPr>
          <w:lang w:val="el" w:eastAsia="el"/>
        </w:rPr>
        <w:t>η απόκρυψη ή η συγκάλυψη της αλήθειας, όσον αφορά τη φύση, την προέλευση, τη διάθεση, τη διακίνηση ή τη χρήση περιουσίας ή τον τόπο όπου αυτή αποκτήθηκε ή βρίσκεται ή την κυριότητα επί περιουσίας ή σχετικών με αυτή δικαιωμάτων, εν γνώσει του γεγονότος ότι η περιουσία αυτή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 χρόνο της κτήσης ή της διαχείρισής της, του γεγονότος ότι η περιουσία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p>
    <w:p>
      <w:pPr>
        <w:pStyle w:val="StructureList1"/>
        <w:spacing w:before="120" w:after="0"/>
        <w:rPr>
          <w:lang w:val="el" w:eastAsia="el"/>
        </w:rPr>
      </w:pPr>
      <w:r>
        <w:rPr>
          <w:lang w:val="el" w:eastAsia="el"/>
        </w:rPr>
        <w:t>ε)</w:t>
      </w:r>
      <w:r>
        <w:rPr>
          <w:lang w:val="en" w:eastAsia="en"/>
        </w:rPr>
        <w:tab/>
      </w:r>
      <w:r>
        <w:rPr>
          <w:lang w:val="el" w:eastAsia="el"/>
        </w:rPr>
        <w:t>η σύσταση οργάνωσης ή ομάδας δύο τουλάχιστον ατόμων για τη διάπραξη μίας ή περισσοτέρων από τις πράξεις που αναφέρονται στις περιπτώσεις α΄ έως και δ΄ και η συμμετοχή σε τέτοια οργάνωση ή ομάδα,</w:t>
      </w:r>
    </w:p>
    <w:p>
      <w:pPr>
        <w:pStyle w:val="StructureList1"/>
        <w:spacing w:before="120" w:after="0"/>
        <w:rPr>
          <w:lang w:val="el" w:eastAsia="el"/>
        </w:rPr>
      </w:pPr>
      <w:r>
        <w:rPr>
          <w:lang w:val="el" w:eastAsia="el"/>
        </w:rPr>
        <w:t>στ)</w:t>
      </w:r>
      <w:r>
        <w:rPr>
          <w:lang w:val="en" w:eastAsia="en"/>
        </w:rPr>
        <w:tab/>
      </w:r>
      <w:r>
        <w:rPr>
          <w:lang w:val="el" w:eastAsia="el"/>
        </w:rPr>
        <w:t>η απόπειρα διάπραξης, η υποβοήθηση, η υποκίνηση, η διευκόλυνση ή η παροχή συμβουλών σε τρίτο για τη διάπραξη μίας ή περισσοτέρων από τις πράξεις που αναφέρονται στις περιπτώσεις α΄ έως και δ΄.</w:t>
      </w:r>
    </w:p>
    <w:p>
      <w:pPr>
        <w:pStyle w:val="MainText"/>
        <w:spacing w:before="120" w:after="0"/>
        <w:rPr>
          <w:lang w:val="el" w:eastAsia="el"/>
        </w:rPr>
      </w:pPr>
      <w:r>
        <w:rPr>
          <w:b/>
          <w:bCs/>
          <w:lang w:val="el" w:eastAsia="el"/>
        </w:rPr>
        <w:t>3.</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απαιτήσεων πιστωτικών ιδρυμάτων από δάνεια και πιστώσεις με τις προϋποθέσεις της παρ. 25 του άρθρου 1 του Ν. 4354/2015 (Α΄ 176),</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w:t>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w:t>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w:t>
      </w:r>
    </w:p>
    <w:p>
      <w:pPr>
        <w:pStyle w:val="StructureList1"/>
        <w:spacing w:before="120" w:after="0"/>
        <w:rPr>
          <w:lang w:val="el" w:eastAsia="el"/>
        </w:rPr>
      </w:pPr>
      <w:r>
        <w:rPr>
          <w:lang w:val="el" w:eastAsia="el"/>
        </w:rPr>
        <w:t>α)</w:t>
      </w:r>
      <w:r>
        <w:rPr>
          <w:lang w:val="en" w:eastAsia="en"/>
        </w:rPr>
        <w:tab/>
      </w:r>
      <w:r>
        <w:rPr>
          <w:lang w:val="el" w:eastAsia="el"/>
        </w:rPr>
        <w:t>Όσον αφορά 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παραγράφων 2 έως και 5 του άρθρου 32 του Ν. 4308/2014 .</w:t>
      </w:r>
    </w:p>
    <w:p>
      <w:pPr>
        <w:spacing w:before="240" w:after="240"/>
        <w:rPr>
          <w:lang w:val="el" w:eastAsia="el"/>
        </w:rPr>
      </w:pPr>
      <w:r>
        <w:rPr>
          <w:lang w:val="el" w:eastAsia="el"/>
        </w:rPr>
        <w:t>Τα ανωτέρω δεν αφορούν την περίπτωση εισηγμένης σε ρυθμιζόμενη αγορά εταιρείας, υποκείμενης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υποκείμενης σε απαιτήσεις γνωστοποίησης ισοδύναμες αυτών της ρυθμιζόμενης αγοράς.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περίπτωση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τα καταπιστεύματα (trusts): αα) ο ιδρυτής,</w:t>
      </w:r>
    </w:p>
    <w:p>
      <w:pPr>
        <w:pStyle w:val="StructureList1"/>
        <w:spacing w:before="120" w:after="0"/>
        <w:rPr>
          <w:lang w:val="el" w:eastAsia="el"/>
        </w:rPr>
      </w:pPr>
      <w:r>
        <w:rPr>
          <w:lang w:val="el" w:eastAsia="el"/>
        </w:rPr>
        <w:t>ββ)</w:t>
      </w:r>
      <w:r>
        <w:rPr>
          <w:lang w:val="en" w:eastAsia="en"/>
        </w:rPr>
        <w:tab/>
      </w:r>
      <w:r>
        <w:rPr>
          <w:lang w:val="el" w:eastAsia="el"/>
        </w:rPr>
        <w:t>ο καταπιστευματοδόχος,</w:t>
      </w:r>
    </w:p>
    <w:p>
      <w:pPr>
        <w:pStyle w:val="StructureList1"/>
        <w:spacing w:before="120" w:after="0"/>
        <w:rPr>
          <w:lang w:val="el" w:eastAsia="el"/>
        </w:rPr>
      </w:pPr>
      <w:r>
        <w:rPr>
          <w:lang w:val="el" w:eastAsia="el"/>
        </w:rPr>
        <w:t>γγ)</w:t>
      </w:r>
      <w:r>
        <w:rPr>
          <w:lang w:val="en" w:eastAsia="en"/>
        </w:rPr>
        <w:tab/>
      </w:r>
      <w:r>
        <w:rPr>
          <w:lang w:val="el" w:eastAsia="el"/>
        </w:rPr>
        <w:t>ο προστάτης, αν υπάρχει,</w:t>
      </w:r>
    </w:p>
    <w:p>
      <w:pPr>
        <w:pStyle w:val="StructureList1"/>
        <w:spacing w:before="120" w:after="0"/>
        <w:rPr>
          <w:lang w:val="el" w:eastAsia="el"/>
        </w:rPr>
      </w:pPr>
      <w:r>
        <w:rPr>
          <w:lang w:val="el" w:eastAsia="el"/>
        </w:rPr>
        <w:t>δδ)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p>
    <w:p>
      <w:pPr>
        <w:pStyle w:val="StructureList1"/>
        <w:spacing w:before="120" w:after="0"/>
        <w:rPr>
          <w:lang w:val="el" w:eastAsia="el"/>
        </w:rPr>
      </w:pPr>
      <w:r>
        <w:rPr>
          <w:lang w:val="el" w:eastAsia="el"/>
        </w:rPr>
        <w:t>εε)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καταπιστεύματος.</w:t>
      </w:r>
    </w:p>
    <w:p>
      <w:pPr>
        <w:pStyle w:val="StructureList1"/>
        <w:spacing w:before="120" w:after="0"/>
        <w:rPr>
          <w:lang w:val="el" w:eastAsia="el"/>
        </w:rPr>
      </w:pPr>
      <w:r>
        <w:rPr>
          <w:lang w:val="el" w:eastAsia="el"/>
        </w:rPr>
        <w:t>γ)</w:t>
      </w:r>
      <w:r>
        <w:rPr>
          <w:lang w:val="en" w:eastAsia="en"/>
        </w:rPr>
        <w:tab/>
      </w:r>
      <w:r>
        <w:rPr>
          <w:lang w:val="el" w:eastAsia="el"/>
        </w:rPr>
        <w:t>Όσον αφορά λοιπές νομικές οντότητες ή νομικά μορφώματα παρεμφερή με τα καταπιστεύματα συμπεριλαμβάνονται τα πρόσωπα που κατέχουν αντίστοιχη ή ανάλογη θέση με τα πρόσωπα που αναφέρονται στην περίπτωση β΄.</w:t>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με υψηλή ιεραρχική θέση ικανή για τη λήψη αποφάσεων ιδρύματος ή οργανισμού που επηρεάζουν την έκθεση σε κίνδυνο νομιμοποίησης εσόδων από εγκληματικές δραστηριότητες και χρηματοδότησης της τρομοκρατίας, ο οποίος γνωρίζει επαρκώς το βαθμό έκθεσης του ιδρύματος ή του οργανισμού στον ανωτέρω κίνδυνο χωρίς να είναι απαραίτητα μέλος του διοικητικού συμβουλίου. </w:t>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w:t>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για την Ελλάδα η Αρχή Καταπολέμησης της Νομιμοποίησης Εσόδων από Εγκληματικές Δραστηριότητες του άρθρου 47 και για τα άλλα κράτη - μέλη η αρμόδια Μονάδα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 (άρθρο 3 στοιχείο 4 της Οδηγίας 2015/849)</w:t>
      </w:r>
    </w:p>
    <w:p>
      <w:pPr>
        <w:spacing w:before="240" w:after="240"/>
        <w:rPr>
          <w:lang w:val="el" w:eastAsia="el"/>
        </w:rPr>
      </w:pPr>
      <w:r>
        <w:rPr>
          <w:lang w:val="el" w:eastAsia="el"/>
        </w:rPr>
        <w:t>Για τους σκοπούς του παρόντος, ως «βασικά αδικήματα» νοούνται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όπως ορίζεται στο άρθρο 187 ΠΚ,</w:t>
      </w:r>
    </w:p>
    <w:p>
      <w:pPr>
        <w:pStyle w:val="StructureList1"/>
        <w:spacing w:before="120" w:after="0"/>
        <w:rPr>
          <w:lang w:val="el" w:eastAsia="el"/>
        </w:rPr>
      </w:pPr>
      <w:r>
        <w:rPr>
          <w:lang w:val="el" w:eastAsia="el"/>
        </w:rPr>
        <w:t>β)</w:t>
      </w:r>
      <w:r>
        <w:rPr>
          <w:lang w:val="en" w:eastAsia="en"/>
        </w:rPr>
        <w:tab/>
      </w:r>
      <w:r>
        <w:rPr>
          <w:lang w:val="el" w:eastAsia="el"/>
        </w:rPr>
        <w:t>τρομοκρατικές πράξεις και χρηματοδότηση της τρομοκρατίας, όπως ορίζονται στο άρθρο 187Α ΠΚ,</w:t>
      </w:r>
    </w:p>
    <w:p>
      <w:pPr>
        <w:pStyle w:val="StructureList1"/>
        <w:spacing w:before="120" w:after="0"/>
        <w:rPr>
          <w:lang w:val="el" w:eastAsia="el"/>
        </w:rPr>
      </w:pPr>
      <w:r>
        <w:rPr>
          <w:lang w:val="el" w:eastAsia="el"/>
        </w:rPr>
        <w:t>γ)</w:t>
      </w:r>
      <w:r>
        <w:rPr>
          <w:lang w:val="en" w:eastAsia="en"/>
        </w:rPr>
        <w:tab/>
      </w:r>
      <w:r>
        <w:rPr>
          <w:lang w:val="el" w:eastAsia="el"/>
        </w:rPr>
        <w:t>δωροληψία και δωροδοκία υπαλλήλου, όπως ορίζονται στα άρθρα 235 και 236 ΠΚ,</w:t>
      </w:r>
    </w:p>
    <w:p>
      <w:pPr>
        <w:pStyle w:val="StructureList1"/>
        <w:spacing w:before="120" w:after="0"/>
        <w:rPr>
          <w:lang w:val="el" w:eastAsia="el"/>
        </w:rPr>
      </w:pPr>
      <w:r>
        <w:rPr>
          <w:lang w:val="el" w:eastAsia="el"/>
        </w:rPr>
        <w:t>δ)</w:t>
      </w:r>
      <w:r>
        <w:rPr>
          <w:lang w:val="en" w:eastAsia="en"/>
        </w:rPr>
        <w:tab/>
      </w:r>
      <w:r>
        <w:rPr>
          <w:lang w:val="el" w:eastAsia="el"/>
        </w:rPr>
        <w:t>εμπορία επιρροής-μεσάζοντες και δωροληψία και δωροδοκία στον ιδιωτικό τομέα, όπως ορίζονται στα άρθρα 237Α και 237Β ΠΚ,</w:t>
      </w:r>
    </w:p>
    <w:p>
      <w:pPr>
        <w:pStyle w:val="StructureList1"/>
        <w:spacing w:before="120" w:after="0"/>
        <w:rPr>
          <w:lang w:val="el" w:eastAsia="el"/>
        </w:rPr>
      </w:pPr>
      <w:r>
        <w:rPr>
          <w:lang w:val="el" w:eastAsia="el"/>
        </w:rPr>
        <w:t>ε)</w:t>
      </w:r>
      <w:r>
        <w:rPr>
          <w:lang w:val="en" w:eastAsia="en"/>
        </w:rPr>
        <w:tab/>
      </w:r>
      <w:r>
        <w:rPr>
          <w:lang w:val="el" w:eastAsia="el"/>
        </w:rPr>
        <w:t>δωροληψία και δωροδοκία πολιτικών προσώπων και δικαστικών λειτουργών, όπως ορίζονται στα άρθρα 159, 159Α και 237 ΠΚ,</w:t>
      </w:r>
    </w:p>
    <w:p>
      <w:pPr>
        <w:pStyle w:val="StructureList1"/>
        <w:spacing w:before="120" w:after="0"/>
        <w:rPr>
          <w:lang w:val="el" w:eastAsia="el"/>
        </w:rPr>
      </w:pPr>
      <w:r>
        <w:rPr>
          <w:lang w:val="el" w:eastAsia="el"/>
        </w:rPr>
        <w:t>στ)</w:t>
      </w:r>
      <w:r>
        <w:rPr>
          <w:lang w:val="en" w:eastAsia="en"/>
        </w:rPr>
        <w:tab/>
      </w:r>
      <w:r>
        <w:rPr>
          <w:lang w:val="el" w:eastAsia="el"/>
        </w:rPr>
        <w:t>εμπορία ανθρώπων, όπως ορίζεται στο άρθρο 323Α ΠΚ,</w:t>
      </w:r>
    </w:p>
    <w:p>
      <w:pPr>
        <w:pStyle w:val="StructureList1"/>
        <w:spacing w:before="120" w:after="0"/>
        <w:rPr>
          <w:lang w:val="el" w:eastAsia="el"/>
        </w:rPr>
      </w:pPr>
      <w:r>
        <w:rPr>
          <w:lang w:val="el" w:eastAsia="el"/>
        </w:rPr>
        <w:t>ζ)</w:t>
      </w:r>
      <w:r>
        <w:rPr>
          <w:lang w:val="en" w:eastAsia="en"/>
        </w:rPr>
        <w:tab/>
      </w:r>
      <w:r>
        <w:rPr>
          <w:lang w:val="el" w:eastAsia="el"/>
        </w:rPr>
        <w:t>απάτη με υπολογιστή, όπως ορίζεται στο άρθρο 386Α ΠΚ,</w:t>
      </w:r>
    </w:p>
    <w:p>
      <w:pPr>
        <w:pStyle w:val="StructureList1"/>
        <w:spacing w:before="120" w:after="0"/>
        <w:rPr>
          <w:lang w:val="el" w:eastAsia="el"/>
        </w:rPr>
      </w:pPr>
      <w:r>
        <w:rPr>
          <w:lang w:val="el" w:eastAsia="el"/>
        </w:rPr>
        <w:t>η)</w:t>
      </w:r>
      <w:r>
        <w:rPr>
          <w:lang w:val="en" w:eastAsia="en"/>
        </w:rPr>
        <w:tab/>
      </w:r>
      <w:r>
        <w:rPr>
          <w:lang w:val="el" w:eastAsia="el"/>
        </w:rPr>
        <w:t>σωματεμπορία, όπως ορίζεται στο άρθρο 351 ΠΚ,</w:t>
      </w:r>
    </w:p>
    <w:p>
      <w:pPr>
        <w:pStyle w:val="StructureList1"/>
        <w:spacing w:before="120" w:after="0"/>
        <w:rPr>
          <w:lang w:val="el" w:eastAsia="el"/>
        </w:rPr>
      </w:pPr>
      <w:r>
        <w:rPr>
          <w:lang w:val="el" w:eastAsia="el"/>
        </w:rPr>
        <w:t>θ)</w:t>
      </w:r>
      <w:r>
        <w:rPr>
          <w:lang w:val="en" w:eastAsia="en"/>
        </w:rPr>
        <w:tab/>
      </w:r>
      <w:r>
        <w:rPr>
          <w:lang w:val="el" w:eastAsia="el"/>
        </w:rPr>
        <w:t>τα αδικήματα που προβλέπονται στα άρθρα 20 έως και 23 του Ν. 4139/2013 (Α΄ 74),</w:t>
      </w:r>
    </w:p>
    <w:p>
      <w:pPr>
        <w:pStyle w:val="StructureList1"/>
        <w:spacing w:before="120" w:after="0"/>
        <w:rPr>
          <w:lang w:val="el" w:eastAsia="el"/>
        </w:rPr>
      </w:pPr>
      <w:r>
        <w:rPr>
          <w:lang w:val="el" w:eastAsia="el"/>
        </w:rPr>
        <w:t>ι)</w:t>
      </w:r>
      <w:r>
        <w:rPr>
          <w:lang w:val="en" w:eastAsia="en"/>
        </w:rPr>
        <w:tab/>
      </w:r>
      <w:r>
        <w:rPr>
          <w:lang w:val="el" w:eastAsia="el"/>
        </w:rPr>
        <w:t>τα αδικήματα που προβλέπονται στα άρθρα 15 και 17 του Ν. 2168/1993 (Α΄ 147),</w:t>
      </w:r>
    </w:p>
    <w:p>
      <w:pPr>
        <w:pStyle w:val="StructureList1"/>
        <w:spacing w:before="120" w:after="0"/>
        <w:rPr>
          <w:lang w:val="el" w:eastAsia="el"/>
        </w:rPr>
      </w:pPr>
      <w:r>
        <w:rPr>
          <w:lang w:val="el" w:eastAsia="el"/>
        </w:rPr>
        <w:t>ια)</w:t>
      </w:r>
      <w:r>
        <w:rPr>
          <w:lang w:val="en" w:eastAsia="en"/>
        </w:rPr>
        <w:tab/>
      </w:r>
      <w:r>
        <w:rPr>
          <w:lang w:val="el" w:eastAsia="el"/>
        </w:rPr>
        <w:t>τα αδικήματα που προβλέπονται στα άρθρα 53, 54, 55, 61 και 63 του Ν. 3028/2002 (Α΄ 153),</w:t>
      </w:r>
    </w:p>
    <w:p>
      <w:pPr>
        <w:pStyle w:val="StructureList1"/>
        <w:spacing w:before="120" w:after="0"/>
        <w:rPr>
          <w:lang w:val="el" w:eastAsia="el"/>
        </w:rPr>
      </w:pPr>
      <w:r>
        <w:rPr>
          <w:lang w:val="el" w:eastAsia="el"/>
        </w:rPr>
        <w:t>ιβ)</w:t>
      </w:r>
      <w:r>
        <w:rPr>
          <w:lang w:val="en" w:eastAsia="en"/>
        </w:rPr>
        <w:tab/>
      </w:r>
      <w:r>
        <w:rPr>
          <w:lang w:val="el" w:eastAsia="el"/>
        </w:rPr>
        <w:t>τα αδικήματα που προβλέπονται στις παραγράφους 1 και 3 του άρθρου 8 του Ν.Δ. 181/1974 (Α΄ 347),</w:t>
      </w:r>
    </w:p>
    <w:p>
      <w:pPr>
        <w:pStyle w:val="StructureList1"/>
        <w:spacing w:before="120" w:after="0"/>
        <w:rPr>
          <w:lang w:val="el" w:eastAsia="el"/>
        </w:rPr>
      </w:pPr>
      <w:r>
        <w:rPr>
          <w:lang w:val="el" w:eastAsia="el"/>
        </w:rPr>
        <w:t>ιγ)</w:t>
      </w:r>
      <w:r>
        <w:rPr>
          <w:lang w:val="en" w:eastAsia="en"/>
        </w:rPr>
        <w:tab/>
      </w:r>
      <w:r>
        <w:rPr>
          <w:lang w:val="el" w:eastAsia="el"/>
        </w:rPr>
        <w:t>τα αδικήματα που προβλέπονται στις παραγράφους 5 έως και 8 του άρθρου 29 και στο άρθρο 30 του Ν. 4251/2014 (Α΄ 80),</w:t>
      </w:r>
    </w:p>
    <w:p>
      <w:pPr>
        <w:pStyle w:val="StructureList1"/>
        <w:spacing w:before="120" w:after="0"/>
        <w:rPr>
          <w:lang w:val="el" w:eastAsia="el"/>
        </w:rPr>
      </w:pPr>
      <w:r>
        <w:rPr>
          <w:lang w:val="el" w:eastAsia="el"/>
        </w:rPr>
        <w:t>ιδ)</w:t>
      </w:r>
      <w:r>
        <w:rPr>
          <w:lang w:val="en" w:eastAsia="en"/>
        </w:rPr>
        <w:tab/>
      </w:r>
      <w:r>
        <w:rPr>
          <w:lang w:val="el" w:eastAsia="el"/>
        </w:rPr>
        <w:t>τα αδικήματα που προβλέπονται στα άρθρα τέταρτο και έκτο του Ν. 2803/2000 (Α΄ 48),</w:t>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αδικήματα που προβλέπονται στα άρθρα 28 έως και 31 του Ν. 4443/2016 (Α΄ 232),</w:t>
      </w:r>
    </w:p>
    <w:p>
      <w:pPr>
        <w:pStyle w:val="StructureList1"/>
        <w:spacing w:before="120" w:after="0"/>
        <w:rPr>
          <w:lang w:val="el" w:eastAsia="el"/>
        </w:rPr>
      </w:pPr>
      <w:r>
        <w:rPr>
          <w:lang w:val="el" w:eastAsia="el"/>
        </w:rPr>
        <w:t>ιστ)</w:t>
      </w:r>
      <w:r>
        <w:rPr>
          <w:lang w:val="en" w:eastAsia="en"/>
        </w:rPr>
        <w:tab/>
      </w:r>
      <w:r>
        <w:rPr>
          <w:lang w:val="el" w:eastAsia="el"/>
        </w:rPr>
        <w:t>τα αδικήματα:</w:t>
      </w:r>
    </w:p>
    <w:p>
      <w:pPr>
        <w:pStyle w:val="StructureList1"/>
        <w:spacing w:before="120" w:after="0"/>
        <w:rPr>
          <w:lang w:val="el" w:eastAsia="el"/>
        </w:rPr>
      </w:pPr>
      <w:r>
        <w:rPr>
          <w:lang w:val="el" w:eastAsia="el"/>
        </w:rPr>
        <w:t>αα)</w:t>
      </w:r>
      <w:r>
        <w:rPr>
          <w:lang w:val="en" w:eastAsia="en"/>
        </w:rPr>
        <w:tab/>
      </w:r>
      <w:r>
        <w:rPr>
          <w:lang w:val="el" w:eastAsia="el"/>
        </w:rPr>
        <w:t>φοροδιαφυγής που προβλέπονται στο άρθρο 66 του Ν. 4174/2013 (Α΄ 170) με την εξαίρεση του πρώτου εδαφίου της παραγράφου 5,</w:t>
      </w:r>
    </w:p>
    <w:p>
      <w:pPr>
        <w:pStyle w:val="StructureList1"/>
        <w:spacing w:before="120" w:after="0"/>
        <w:rPr>
          <w:lang w:val="el" w:eastAsia="el"/>
        </w:rPr>
      </w:pPr>
      <w:r>
        <w:rPr>
          <w:lang w:val="el" w:eastAsia="el"/>
        </w:rPr>
        <w:t>ββ)</w:t>
      </w:r>
      <w:r>
        <w:rPr>
          <w:lang w:val="en" w:eastAsia="en"/>
        </w:rPr>
        <w:tab/>
      </w:r>
      <w:r>
        <w:rPr>
          <w:lang w:val="el" w:eastAsia="el"/>
        </w:rPr>
        <w:t>λαθρεμπορίας που προβλέπονται στα άρθρα 155 έως και 157 του Ν. 2960/2001 (Α΄ 265),</w:t>
      </w:r>
    </w:p>
    <w:p>
      <w:pPr>
        <w:pStyle w:val="StructureList1"/>
        <w:spacing w:before="120" w:after="0"/>
        <w:rPr>
          <w:lang w:val="el" w:eastAsia="el"/>
        </w:rPr>
      </w:pPr>
      <w:r>
        <w:rPr>
          <w:lang w:val="el" w:eastAsia="el"/>
        </w:rPr>
        <w:t>γγ)</w:t>
      </w:r>
      <w:r>
        <w:rPr>
          <w:lang w:val="en" w:eastAsia="en"/>
        </w:rPr>
        <w:tab/>
      </w:r>
      <w:r>
        <w:rPr>
          <w:lang w:val="el" w:eastAsia="el"/>
        </w:rPr>
        <w:t>μη καταβολής χρεών προς το Δημόσιο που προβλέπονται στο άρθρο 25 του Ν. 1882/1990 (Α΄ 43), με την εξαίρεση της περίπτωσης α΄ της παραγράφου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w:t>
      </w:r>
    </w:p>
    <w:p>
      <w:pPr>
        <w:pStyle w:val="StructureList1"/>
        <w:spacing w:before="120" w:after="0"/>
        <w:rPr>
          <w:lang w:val="el" w:eastAsia="el"/>
        </w:rPr>
      </w:pPr>
      <w:r>
        <w:rPr>
          <w:lang w:val="el" w:eastAsia="el"/>
        </w:rPr>
        <w:t>ιζ)</w:t>
      </w:r>
      <w:r>
        <w:rPr>
          <w:lang w:val="en" w:eastAsia="en"/>
        </w:rPr>
        <w:tab/>
      </w:r>
      <w:r>
        <w:rPr>
          <w:lang w:val="el" w:eastAsia="el"/>
        </w:rPr>
        <w:t>τα αδικήματα που προβλέπονται στην παρ. 3 του άρθρου 28 του Ν. 1650/1986 (Α΄ 160),</w:t>
      </w:r>
    </w:p>
    <w:p>
      <w:pPr>
        <w:pStyle w:val="StructureList1"/>
        <w:spacing w:before="120" w:after="0"/>
        <w:rPr>
          <w:lang w:val="el" w:eastAsia="el"/>
        </w:rPr>
      </w:pPr>
      <w:r>
        <w:rPr>
          <w:lang w:val="el" w:eastAsia="el"/>
        </w:rPr>
        <w:t>ιη)</w:t>
      </w:r>
      <w:r>
        <w:rPr>
          <w:lang w:val="en" w:eastAsia="en"/>
        </w:rPr>
        <w:tab/>
      </w:r>
      <w:r>
        <w:rPr>
          <w:lang w:val="el" w:eastAsia="el"/>
        </w:rPr>
        <w:t xml:space="preserve">κάθε άλλο αδίκημα που τιμωρείται με ποινή στερητική της ελευθερίας, της οποίας το ελάχιστο όριο είναι άνω των έξι (6) μηνών και από το οποίο προκύπτει περιουσιακό όφελος..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τα νομικά πρόσωπα παροχής λογιστικών-φοροτεχνικών υπηρεσιών,</w:t>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 σχεδιασμό ή τη διενέργεια συναλλαγών για τους πελάτες τους σχετικά με:</w:t>
      </w:r>
    </w:p>
    <w:p>
      <w:pPr>
        <w:pStyle w:val="StructureList1"/>
        <w:spacing w:before="120" w:after="0"/>
        <w:rPr>
          <w:lang w:val="el" w:eastAsia="el"/>
        </w:rPr>
      </w:pPr>
      <w:r>
        <w:rPr>
          <w:lang w:val="el" w:eastAsia="el"/>
        </w:rPr>
        <w:t>αα)</w:t>
      </w:r>
      <w:r>
        <w:rPr>
          <w:lang w:val="en" w:eastAsia="en"/>
        </w:rPr>
        <w:tab/>
      </w:r>
      <w:r>
        <w:rPr>
          <w:lang w:val="el" w:eastAsia="el"/>
        </w:rPr>
        <w:t>την αγορά ή πώληση ακινήτων ή επιχειρήσεων,</w:t>
      </w:r>
    </w:p>
    <w:p>
      <w:pPr>
        <w:pStyle w:val="StructureList1"/>
        <w:spacing w:before="120" w:after="0"/>
        <w:rPr>
          <w:lang w:val="el" w:eastAsia="el"/>
        </w:rPr>
      </w:pPr>
      <w:r>
        <w:rPr>
          <w:lang w:val="el" w:eastAsia="el"/>
        </w:rPr>
        <w:t>ββ)</w:t>
      </w:r>
      <w:r>
        <w:rPr>
          <w:lang w:val="en" w:eastAsia="en"/>
        </w:rPr>
        <w:tab/>
      </w:r>
      <w:r>
        <w:rPr>
          <w:lang w:val="el" w:eastAsia="el"/>
        </w:rPr>
        <w:t>τη διαχείριση χρημάτων, τίτλων ή άλλων περιουσιακών στοιχείων των πελατών τους,</w:t>
      </w:r>
    </w:p>
    <w:p>
      <w:pPr>
        <w:pStyle w:val="StructureList1"/>
        <w:spacing w:before="120" w:after="0"/>
        <w:rPr>
          <w:lang w:val="el" w:eastAsia="el"/>
        </w:rPr>
      </w:pPr>
      <w:r>
        <w:rPr>
          <w:lang w:val="el" w:eastAsia="el"/>
        </w:rPr>
        <w:t>γγ)</w:t>
      </w:r>
      <w:r>
        <w:rPr>
          <w:lang w:val="en" w:eastAsia="en"/>
        </w:rPr>
        <w:tab/>
      </w:r>
      <w:r>
        <w:rPr>
          <w:lang w:val="el" w:eastAsia="el"/>
        </w:rPr>
        <w:t>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εγγυοδοσίες που διατάσσονται από τη δικαστική αρχή στο πλαίσιο ποινικών διαδικασιών,</w:t>
      </w:r>
    </w:p>
    <w:p>
      <w:pPr>
        <w:pStyle w:val="StructureList1"/>
        <w:spacing w:before="120" w:after="0"/>
        <w:rPr>
          <w:lang w:val="el" w:eastAsia="el"/>
        </w:rPr>
      </w:pPr>
      <w:r>
        <w:rPr>
          <w:lang w:val="el" w:eastAsia="el"/>
        </w:rPr>
        <w:t>δδ)</w:t>
      </w:r>
      <w:r>
        <w:rPr>
          <w:lang w:val="en" w:eastAsia="en"/>
        </w:rPr>
        <w:tab/>
      </w:r>
      <w:r>
        <w:rPr>
          <w:lang w:val="el" w:eastAsia="el"/>
        </w:rPr>
        <w:t>τις αναγκαίες εισφορές για τη σύσταση, λειτουργία ή διοίκηση εταιρειών,</w:t>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καταπιστευμάτων (trusts), εταιρειών καταπιστευματικής διαχείρισης, επιχειρήσεων, ιδρυμάτων ή ανάλογων σχημάτων ή αντίστοιχων νομικών μορφωμάτων,</w:t>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καταπιστεύματα (trusts), εξαιρουμένων των προσώπων που αναφέρονται στις περιπτώσεις γ΄, δ΄ και ε΄, τα οποία παρέχουν κατά επιχειρηματική δραστηριότητα οποιαδήποτε από τις εξής υπηρεσίες σε τρίτα μέρη:</w:t>
      </w:r>
    </w:p>
    <w:p>
      <w:pPr>
        <w:pStyle w:val="StructureList1"/>
        <w:spacing w:before="120" w:after="0"/>
        <w:rPr>
          <w:lang w:val="el" w:eastAsia="el"/>
        </w:rPr>
      </w:pPr>
      <w:r>
        <w:rPr>
          <w:lang w:val="el" w:eastAsia="el"/>
        </w:rPr>
        <w:t>αα)</w:t>
      </w:r>
      <w:r>
        <w:rPr>
          <w:lang w:val="en" w:eastAsia="en"/>
        </w:rPr>
        <w:tab/>
      </w:r>
      <w:r>
        <w:rPr>
          <w:lang w:val="el" w:eastAsia="el"/>
        </w:rPr>
        <w:t>συστήνουν εταιρείες ή άλλα νομικά πρόσωπα,</w:t>
      </w:r>
    </w:p>
    <w:p>
      <w:pPr>
        <w:pStyle w:val="StructureList1"/>
        <w:spacing w:before="120" w:after="0"/>
        <w:rPr>
          <w:lang w:val="el" w:eastAsia="el"/>
        </w:rPr>
      </w:pPr>
      <w:r>
        <w:rPr>
          <w:lang w:val="el" w:eastAsia="el"/>
        </w:rPr>
        <w:t>ββ)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p>
    <w:p>
      <w:pPr>
        <w:pStyle w:val="StructureList1"/>
        <w:spacing w:before="120" w:after="0"/>
        <w:rPr>
          <w:lang w:val="el" w:eastAsia="el"/>
        </w:rPr>
      </w:pPr>
      <w:r>
        <w:rPr>
          <w:lang w:val="el" w:eastAsia="el"/>
        </w:rPr>
        <w:t>γγ)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p>
    <w:p>
      <w:pPr>
        <w:pStyle w:val="StructureList1"/>
        <w:spacing w:before="120" w:after="0"/>
        <w:rPr>
          <w:lang w:val="el" w:eastAsia="el"/>
        </w:rPr>
      </w:pPr>
      <w:r>
        <w:rPr>
          <w:lang w:val="el" w:eastAsia="el"/>
        </w:rPr>
        <w:t>δδ)</w:t>
      </w:r>
      <w:r>
        <w:rPr>
          <w:lang w:val="en" w:eastAsia="en"/>
        </w:rPr>
        <w:tab/>
      </w:r>
      <w:r>
        <w:rPr>
          <w:lang w:val="el" w:eastAsia="el"/>
        </w:rPr>
        <w:t>ασκούν τα ίδια ή μεριμνούν ώστε άλλο πρόσωπο να ασκήσει καθήκοντα καταπιστευματοδόχου ρητού καταπιστεύματος (express trust) ή αντίστοιχου νομικού μορφώματος,</w:t>
      </w:r>
    </w:p>
    <w:p>
      <w:pPr>
        <w:pStyle w:val="StructureList1"/>
        <w:spacing w:before="120" w:after="0"/>
        <w:rPr>
          <w:lang w:val="el" w:eastAsia="el"/>
        </w:rPr>
      </w:pPr>
      <w:r>
        <w:rPr>
          <w:lang w:val="el" w:eastAsia="el"/>
        </w:rPr>
        <w:t>εε)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αα)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p>
    <w:p>
      <w:pPr>
        <w:pStyle w:val="StructureList1"/>
        <w:spacing w:before="120" w:after="0"/>
        <w:rPr>
          <w:lang w:val="el" w:eastAsia="el"/>
        </w:rPr>
      </w:pPr>
      <w:r>
        <w:rPr>
          <w:lang w:val="el" w:eastAsia="el"/>
        </w:rPr>
        <w:t>ββ)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p>
    <w:p>
      <w:pPr>
        <w:pStyle w:val="StructureList1"/>
        <w:spacing w:before="120" w:after="0"/>
        <w:rPr>
          <w:lang w:val="el" w:eastAsia="el"/>
        </w:rPr>
      </w:pPr>
      <w:r>
        <w:rPr>
          <w:lang w:val="el" w:eastAsia="el"/>
        </w:rPr>
        <w:t>γγ)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p>
    <w:p>
      <w:pPr>
        <w:pStyle w:val="StructureList1"/>
        <w:spacing w:before="120" w:after="0"/>
        <w:rPr>
          <w:lang w:val="el" w:eastAsia="el"/>
        </w:rPr>
      </w:pPr>
      <w:r>
        <w:rPr>
          <w:lang w:val="el" w:eastAsia="el"/>
        </w:rPr>
        <w:t>δδ)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p>
    <w:p>
      <w:pPr>
        <w:pStyle w:val="StructureList1"/>
        <w:spacing w:before="120" w:after="0"/>
        <w:rPr>
          <w:lang w:val="el" w:eastAsia="el"/>
        </w:rPr>
      </w:pPr>
      <w:r>
        <w:rPr>
          <w:lang w:val="el" w:eastAsia="el"/>
        </w:rPr>
        <w:t>εε)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ββ)</w:t>
      </w:r>
      <w:r>
        <w:rPr>
          <w:lang w:val="en" w:eastAsia="en"/>
        </w:rPr>
        <w:tab/>
      </w:r>
      <w:r>
        <w:rPr>
          <w:lang w:val="el" w:eastAsia="el"/>
        </w:rPr>
        <w:t>τις ασφαλιστικές επιχειρήσεις και τους ασφαλιστικούς διαμεσολαβητές,</w:t>
      </w:r>
    </w:p>
    <w:p>
      <w:pPr>
        <w:pStyle w:val="StructureList1"/>
        <w:spacing w:before="120" w:after="0"/>
        <w:rPr>
          <w:lang w:val="el" w:eastAsia="el"/>
        </w:rPr>
      </w:pPr>
      <w:r>
        <w:rPr>
          <w:lang w:val="el" w:eastAsia="el"/>
        </w:rPr>
        <w:t>γγ)</w:t>
      </w:r>
      <w:r>
        <w:rPr>
          <w:lang w:val="en" w:eastAsia="en"/>
        </w:rPr>
        <w:tab/>
      </w:r>
      <w:r>
        <w:rPr>
          <w:lang w:val="el" w:eastAsia="el"/>
        </w:rPr>
        <w:t>τις εταιρείες χρηματοδοτικής μίσθωσης,</w:t>
      </w:r>
    </w:p>
    <w:p>
      <w:pPr>
        <w:pStyle w:val="StructureList1"/>
        <w:spacing w:before="120" w:after="0"/>
        <w:rPr>
          <w:lang w:val="el" w:eastAsia="el"/>
        </w:rPr>
      </w:pPr>
      <w:r>
        <w:rPr>
          <w:lang w:val="el" w:eastAsia="el"/>
        </w:rPr>
        <w:t>δδ)</w:t>
      </w:r>
      <w:r>
        <w:rPr>
          <w:lang w:val="en" w:eastAsia="en"/>
        </w:rPr>
        <w:tab/>
      </w:r>
      <w:r>
        <w:rPr>
          <w:lang w:val="el" w:eastAsia="el"/>
        </w:rPr>
        <w:t>τις εταιρείες πρακτορείας επιχειρηματικών απαιτήσεων τρίτων,</w:t>
      </w:r>
    </w:p>
    <w:p>
      <w:pPr>
        <w:pStyle w:val="StructureList1"/>
        <w:spacing w:before="120" w:after="0"/>
        <w:rPr>
          <w:lang w:val="el" w:eastAsia="el"/>
        </w:rPr>
      </w:pPr>
      <w:r>
        <w:rPr>
          <w:lang w:val="el" w:eastAsia="el"/>
        </w:rPr>
        <w:t>εε)</w:t>
      </w:r>
      <w:r>
        <w:rPr>
          <w:lang w:val="en" w:eastAsia="en"/>
        </w:rPr>
        <w:tab/>
      </w:r>
      <w:r>
        <w:rPr>
          <w:lang w:val="el" w:eastAsia="el"/>
        </w:rPr>
        <w:t>τις εταιρείες διαχείρισης απαιτήσεων πιστωτικών ιδρυμάτων από δάνεια και πιστώσεις,</w:t>
      </w:r>
    </w:p>
    <w:p>
      <w:pPr>
        <w:pStyle w:val="StructureList1"/>
        <w:spacing w:before="120" w:after="0"/>
        <w:rPr>
          <w:lang w:val="el" w:eastAsia="el"/>
        </w:rPr>
      </w:pPr>
      <w:r>
        <w:rPr>
          <w:lang w:val="el" w:eastAsia="el"/>
        </w:rPr>
        <w:t>στστ)</w:t>
      </w:r>
      <w:r>
        <w:rPr>
          <w:lang w:val="en" w:eastAsia="en"/>
        </w:rPr>
        <w:tab/>
      </w:r>
      <w:r>
        <w:rPr>
          <w:lang w:val="el" w:eastAsia="el"/>
        </w:rPr>
        <w:t>τις εταιρείες παροχής πιστώσεων,</w:t>
      </w:r>
    </w:p>
    <w:p>
      <w:pPr>
        <w:pStyle w:val="StructureList1"/>
        <w:spacing w:before="120" w:after="0"/>
        <w:rPr>
          <w:lang w:val="el" w:eastAsia="el"/>
        </w:rPr>
      </w:pPr>
      <w:r>
        <w:rPr>
          <w:lang w:val="el" w:eastAsia="el"/>
        </w:rPr>
        <w:t>ζζ)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θθ)</w:t>
      </w:r>
      <w:r>
        <w:rPr>
          <w:lang w:val="en" w:eastAsia="en"/>
        </w:rPr>
        <w:tab/>
      </w:r>
      <w:r>
        <w:rPr>
          <w:lang w:val="el" w:eastAsia="el"/>
        </w:rPr>
        <w:t>τις ταχυδρομικές εταιρείες, ως προς τις παρεχόμενες υπηρεσίες πληρωμών,</w:t>
      </w:r>
    </w:p>
    <w:p>
      <w:pPr>
        <w:pStyle w:val="StructureList1"/>
        <w:spacing w:before="120" w:after="0"/>
        <w:rPr>
          <w:lang w:val="el" w:eastAsia="el"/>
        </w:rPr>
      </w:pPr>
      <w:r>
        <w:rPr>
          <w:lang w:val="el" w:eastAsia="el"/>
        </w:rPr>
        <w:t>ιι)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ιαια)</w:t>
      </w:r>
      <w:r>
        <w:rPr>
          <w:lang w:val="en" w:eastAsia="en"/>
        </w:rPr>
        <w:tab/>
      </w:r>
      <w:r>
        <w:rPr>
          <w:lang w:val="el" w:eastAsia="el"/>
        </w:rPr>
        <w:t>τις επιχειρήσεις της περίπτωσης ιθ΄ του στοιχείου 3 του άρθρου 3,</w:t>
      </w:r>
    </w:p>
    <w:p>
      <w:pPr>
        <w:pStyle w:val="StructureList1"/>
        <w:spacing w:before="120" w:after="0"/>
        <w:rPr>
          <w:lang w:val="el" w:eastAsia="el"/>
        </w:rPr>
      </w:pPr>
      <w:r>
        <w:rPr>
          <w:lang w:val="el" w:eastAsia="el"/>
        </w:rPr>
        <w:t>ιβιβ)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p>
    <w:p>
      <w:pPr>
        <w:pStyle w:val="StructureList1"/>
        <w:spacing w:before="120" w:after="0"/>
        <w:rPr>
          <w:lang w:val="el" w:eastAsia="el"/>
        </w:rPr>
      </w:pPr>
      <w:r>
        <w:rPr>
          <w:lang w:val="el" w:eastAsia="el"/>
        </w:rPr>
        <w:t>αα)</w:t>
      </w:r>
      <w:r>
        <w:rPr>
          <w:lang w:val="en" w:eastAsia="en"/>
        </w:rPr>
        <w:tab/>
      </w:r>
      <w:r>
        <w:rPr>
          <w:lang w:val="el" w:eastAsia="el"/>
        </w:rPr>
        <w:t>τις εταιρείες επενδύσεων χαρτοφυλακίου,</w:t>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p>
    <w:p>
      <w:pPr>
        <w:pStyle w:val="StructureList1"/>
        <w:spacing w:before="120" w:after="0"/>
        <w:rPr>
          <w:lang w:val="el" w:eastAsia="el"/>
        </w:rPr>
      </w:pPr>
      <w:r>
        <w:rPr>
          <w:lang w:val="el" w:eastAsia="el"/>
        </w:rPr>
        <w:t>γγ)</w:t>
      </w:r>
      <w:r>
        <w:rPr>
          <w:lang w:val="en" w:eastAsia="en"/>
        </w:rPr>
        <w:tab/>
      </w:r>
      <w:r>
        <w:rPr>
          <w:lang w:val="el" w:eastAsia="el"/>
        </w:rPr>
        <w:t>τις εταιρείες παροχής επενδυτικών υπηρεσιών και τους συνδεδεμένους αντιπροσώπους τους,</w:t>
      </w:r>
    </w:p>
    <w:p>
      <w:pPr>
        <w:pStyle w:val="StructureList1"/>
        <w:spacing w:before="120" w:after="0"/>
        <w:rPr>
          <w:lang w:val="el" w:eastAsia="el"/>
        </w:rPr>
      </w:pPr>
      <w:r>
        <w:rPr>
          <w:lang w:val="el" w:eastAsia="el"/>
        </w:rPr>
        <w:t>δδ)</w:t>
      </w:r>
      <w:r>
        <w:rPr>
          <w:lang w:val="en" w:eastAsia="en"/>
        </w:rPr>
        <w:tab/>
      </w:r>
      <w:r>
        <w:rPr>
          <w:lang w:val="el" w:eastAsia="el"/>
        </w:rPr>
        <w:t>τις εταιρείες επενδυτικής διαμεσολάβησης,</w:t>
      </w:r>
    </w:p>
    <w:p>
      <w:pPr>
        <w:pStyle w:val="StructureList1"/>
        <w:spacing w:before="120" w:after="0"/>
        <w:rPr>
          <w:lang w:val="el" w:eastAsia="el"/>
        </w:rPr>
      </w:pPr>
      <w:r>
        <w:rPr>
          <w:lang w:val="el" w:eastAsia="el"/>
        </w:rPr>
        <w:t>εε)</w:t>
      </w:r>
      <w:r>
        <w:rPr>
          <w:lang w:val="en" w:eastAsia="en"/>
        </w:rPr>
        <w:tab/>
      </w:r>
      <w:r>
        <w:rPr>
          <w:lang w:val="el" w:eastAsia="el"/>
        </w:rPr>
        <w:t>τις εταιρείες κεφαλαίου επιχειρηματικών συμμετοχών,</w:t>
      </w:r>
    </w:p>
    <w:p>
      <w:pPr>
        <w:pStyle w:val="StructureList1"/>
        <w:spacing w:before="120" w:after="0"/>
        <w:rPr>
          <w:lang w:val="el" w:eastAsia="el"/>
        </w:rPr>
      </w:pPr>
      <w:r>
        <w:rPr>
          <w:lang w:val="el" w:eastAsia="el"/>
        </w:rPr>
        <w:t>στστ)</w:t>
      </w:r>
      <w:r>
        <w:rPr>
          <w:lang w:val="en" w:eastAsia="en"/>
        </w:rPr>
        <w:tab/>
      </w:r>
      <w:r>
        <w:rPr>
          <w:lang w:val="el" w:eastAsia="el"/>
        </w:rPr>
        <w:t>τις εταιρείες επενδύσεων σε ακίνητη περιουσία,</w:t>
      </w:r>
    </w:p>
    <w:p>
      <w:pPr>
        <w:pStyle w:val="StructureList1"/>
        <w:spacing w:before="120" w:after="0"/>
        <w:rPr>
          <w:lang w:val="el" w:eastAsia="el"/>
        </w:rPr>
      </w:pPr>
      <w:r>
        <w:rPr>
          <w:lang w:val="el" w:eastAsia="el"/>
        </w:rPr>
        <w:t>ζζ)</w:t>
      </w:r>
      <w:r>
        <w:rPr>
          <w:lang w:val="en" w:eastAsia="en"/>
        </w:rPr>
        <w:tab/>
      </w:r>
      <w:r>
        <w:rPr>
          <w:lang w:val="el" w:eastAsia="el"/>
        </w:rPr>
        <w:t>τους διαχειριστές οργανισμών εναλλακτικών επενδύσεων,</w:t>
      </w:r>
    </w:p>
    <w:p>
      <w:pPr>
        <w:pStyle w:val="StructureList1"/>
        <w:spacing w:before="120" w:after="0"/>
        <w:rPr>
          <w:lang w:val="el" w:eastAsia="el"/>
        </w:rPr>
      </w:pPr>
      <w:r>
        <w:rPr>
          <w:lang w:val="el" w:eastAsia="el"/>
        </w:rPr>
        <w:t>γ)</w:t>
      </w:r>
      <w:r>
        <w:rPr>
          <w:lang w:val="en" w:eastAsia="en"/>
        </w:rPr>
        <w:tab/>
      </w:r>
      <w:r>
        <w:rPr>
          <w:lang w:val="el" w:eastAsia="el"/>
        </w:rPr>
        <w:t>η Υπηρεσία Οικονομικής Αστυνομίας και Δίωξης Ηλεκτρονικού Εγκλήματος (ΥΠ.Ο.Α.Δ.Η.Ε.) για τους ενεχυροδανειστές και τους αργυραμοιβούς,</w:t>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w:t>
      </w:r>
    </w:p>
    <w:p>
      <w:pPr>
        <w:pStyle w:val="StructureList1"/>
        <w:spacing w:before="120" w:after="0"/>
        <w:rPr>
          <w:lang w:val="el" w:eastAsia="el"/>
        </w:rPr>
      </w:pPr>
      <w:r>
        <w:rPr>
          <w:lang w:val="el" w:eastAsia="el"/>
        </w:rPr>
        <w:t>αα)</w:t>
      </w:r>
      <w:r>
        <w:rPr>
          <w:lang w:val="en" w:eastAsia="en"/>
        </w:rPr>
        <w:tab/>
      </w:r>
      <w:r>
        <w:rPr>
          <w:lang w:val="el" w:eastAsia="el"/>
        </w:rPr>
        <w:t>τους εξωτερικούς λογιστές-φοροτεχνικούς και τα νομικά πρόσωπα παροχής λογιστικών-φοροτεχνικών υπηρεσιών, καθώς και τους ιδιώτες ελεγκτές,</w:t>
      </w:r>
    </w:p>
    <w:p>
      <w:pPr>
        <w:pStyle w:val="StructureList1"/>
        <w:spacing w:before="120" w:after="0"/>
        <w:rPr>
          <w:lang w:val="el" w:eastAsia="el"/>
        </w:rPr>
      </w:pPr>
      <w:r>
        <w:rPr>
          <w:lang w:val="el" w:eastAsia="el"/>
        </w:rPr>
        <w:t>ββ)</w:t>
      </w:r>
      <w:r>
        <w:rPr>
          <w:lang w:val="en" w:eastAsia="en"/>
        </w:rPr>
        <w:tab/>
      </w:r>
      <w:r>
        <w:rPr>
          <w:lang w:val="el" w:eastAsia="el"/>
        </w:rPr>
        <w:t>τους μεσίτες ακινήτων,</w:t>
      </w:r>
    </w:p>
    <w:p>
      <w:pPr>
        <w:pStyle w:val="StructureList1"/>
        <w:spacing w:before="120" w:after="0"/>
        <w:rPr>
          <w:lang w:val="el" w:eastAsia="el"/>
        </w:rPr>
      </w:pPr>
      <w:r>
        <w:rPr>
          <w:lang w:val="el" w:eastAsia="el"/>
        </w:rPr>
        <w:t>γγ)</w:t>
      </w:r>
      <w:r>
        <w:rPr>
          <w:lang w:val="en" w:eastAsia="en"/>
        </w:rPr>
        <w:tab/>
      </w:r>
      <w:r>
        <w:rPr>
          <w:lang w:val="el" w:eastAsia="el"/>
        </w:rPr>
        <w:t>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αα) τις επιχειρήσεις καζίνο και τα καζίνο που λειτουργούν επί πλοίων στην Ελλάδα ή υπό ελληνική σημαία,</w:t>
      </w:r>
    </w:p>
    <w:p>
      <w:pPr>
        <w:pStyle w:val="StructureList1"/>
        <w:spacing w:before="120" w:after="0"/>
        <w:rPr>
          <w:lang w:val="el" w:eastAsia="el"/>
        </w:rPr>
      </w:pPr>
      <w:r>
        <w:rPr>
          <w:lang w:val="el" w:eastAsia="el"/>
        </w:rPr>
        <w:t>ββ)</w:t>
      </w:r>
      <w:r>
        <w:rPr>
          <w:lang w:val="en" w:eastAsia="en"/>
        </w:rPr>
        <w:tab/>
      </w:r>
      <w:r>
        <w:rPr>
          <w:lang w:val="el" w:eastAsia="el"/>
        </w:rPr>
        <w:t>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Διαφάνειας και Ανθρωπίνων Δικαιωμάτων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το Υπουργείο Οικονομίας και Ανάπτυξης για τα πρόσωπα της περίπτωσης ι΄ της παραγράφου 1 του άρθρου 5,</w:t>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αλλά και σε υποκαταστήματα και θυγατρικές που εδρεύουν ή λειτουργούν στην Ελλάδα ή το εξωτερικό, σε συνεργασία ενδεχομένως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παράγραφο 11 του άρθρου 13, καθώς και την επάρκεια των εφαρμοζόμενων μέτρων δέουσας επιμέλειας και εσωτερικών διαδικασιών.</w:t>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οι εγκαταστάσεις που λειτουργούν τα υπόχρεα πρόσωπα άλλου κράτους - μέλους της Ευρωπαϊκής Ένωσης στην Ελληνική Επικράτεια τηρούν τις διατάξεις του παρόντος. Για το σκοπό αυτό συνεργάζονται με την εκάστοτε αρμόδια εποπτική αρχή του κράτους - μέλους στο οποίο έχει την έδρα του το υπόχρεο πρόσωπο. Στην περίπτωση των εγκαταστάσεων που αναφέρονται στην παράγραφο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αντιμετωπιστούν οι ελλείψεις που έχουν επισημανθεί με τη συνδρομή ή συνεργασία της εποπτικής αρχής του κράτους -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παραβάσεις από τα υπόχρεα πρόσωπα των διατάξεων του παρόντος. Οι μηχανισμοί αυτοί περιλαμβάνουν ειδικές διαδικασίες για την παραλαβή των σχετικών καταγγελιών και την παρακολούθηση της έκβασής τους, κατάλληλα μέτρα προστασίας των εργαζομένων που καταγγέλλουν παραβάσεις που έχουν διαπραχθεί εντός του υπόχρεου προσώπου και των καταγγελλόμενων προσώπων, μέτρα προστασίας των δεδομένων προσωπικού χαρακτήρα αυτών, καθώς και σαφείς κανόνες ώστε να εξασφαλίζεται στο μέτρο του δυνατού η εμπιστευτικότητα των καταγγελιών.</w:t>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τις Ευρωπαϊκές Εποπτικές Αρχές σχετικά με τα μέτρα και τις διοικητικές κυρώσεις που έχουν επιβάλει, συμπεριλαμβανομένης κάθε προσφυγής που έχει ασκηθεί και της έκβασής της.</w:t>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το τελευταίο διατηρεί υψηλό επαγγελματικό επίπεδο μεταξύ άλλων σε ζητήματα εμπιστευτικότητας και προστασίας προσωπικών δεδομένων, διακρίνεται για την ακεραιότητά του και διαθέτει τα απαιτούμενα προσόντα. Με αποφάσεις του Διοικητή της Τράπεζας της Ελλάδας, του Προέδρου της Επιτροπής Κεφαλαιαγοράς, του Προέδρου της Επιτροπής Λογιστικής Τυποποίησης και Ελέγχων, του Προέδρου της Επιτροπής Εποπτείας και Ελέγχου Παιγνίων και του Διοικητή της Α.Α.Δ.Ε., κατά περίπτωση, συγκροτούνται ειδικές υπηρεσιακές μονάδες στις οποίες ανατίθενται τα ανωτέρω εποπτικά καθήκοντα. Στο προσωπικό των μονάδων αυτών παρέχεται συνεχής ενημέρωση και εκπαίδευση για το χειρισμό ζητημάτων εμπιστευτικών και θεμάτων που άπτονται της προστασίας των προσωπικών δεδομένων. </w:t>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τις Ευρωπαϊκές Εποπτικές Αρχές και παρέχουν σε αυτές όλες τις πληροφορίες που τους είναι αναγκαίες για την εκτέλεση των καθηκόντων τους..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Γενικής Διεύθυνσης Οικονομικής Πολιτικής που συνεργάζεται, όταν απαιτείται, με τις υπόλοιπες υπηρεσίες του Υπουργείου Οικονομικών.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(άρθρα 7 και 49 της Οδηγίας 2015/849) </w:t>
      </w:r>
    </w:p>
    <w:p>
      <w:pPr>
        <w:pStyle w:val="MainText"/>
        <w:spacing w:before="120" w:after="0"/>
        <w:rPr>
          <w:lang w:val="el" w:eastAsia="el"/>
        </w:rPr>
      </w:pPr>
      <w:r>
        <w:rPr>
          <w:b/>
          <w:bCs/>
          <w:lang w:val="el" w:eastAsia="el"/>
        </w:rPr>
        <w:t>1.</w:t>
      </w:r>
      <w:r>
        <w:rPr>
          <w:lang w:val="el" w:eastAsia="el"/>
        </w:rPr>
        <w:t xml:space="preserve"> Η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που έχει συσταθεί στο Υπουργείο Οικονομικών με το άρθρο 9 του Ν. 3691/2008 (Α΄166) είναι ο μηχανισμός που καθορίζει σε εθνικό επίπεδο τη στρατηγική για τις ανωτέρω ενέργειες. </w:t>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Α.Α.Δ.Ε.,</w:t>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p>
    <w:p>
      <w:pPr>
        <w:pStyle w:val="StructureList1"/>
        <w:spacing w:before="120" w:after="0"/>
        <w:rPr>
          <w:lang w:val="el" w:eastAsia="el"/>
        </w:rPr>
      </w:pPr>
      <w:r>
        <w:rPr>
          <w:lang w:val="el" w:eastAsia="el"/>
        </w:rPr>
        <w:t>ε)</w:t>
      </w:r>
      <w:r>
        <w:rPr>
          <w:lang w:val="en" w:eastAsia="en"/>
        </w:rPr>
        <w:tab/>
      </w:r>
      <w:r>
        <w:rPr>
          <w:lang w:val="el" w:eastAsia="el"/>
        </w:rPr>
        <w:t>ο Ειδικός Γραμματέας του Σώματος Δίωξης Οικονομικού Εγκλήματος,</w:t>
      </w:r>
    </w:p>
    <w:p>
      <w:pPr>
        <w:pStyle w:val="StructureList1"/>
        <w:spacing w:before="120" w:after="0"/>
        <w:rPr>
          <w:lang w:val="el" w:eastAsia="el"/>
        </w:rPr>
      </w:pPr>
      <w:r>
        <w:rPr>
          <w:lang w:val="el" w:eastAsia="el"/>
        </w:rPr>
        <w:t>στ)</w:t>
      </w:r>
      <w:r>
        <w:rPr>
          <w:lang w:val="en" w:eastAsia="en"/>
        </w:rPr>
        <w:tab/>
      </w:r>
      <w:r>
        <w:rPr>
          <w:lang w:val="el" w:eastAsia="el"/>
        </w:rPr>
        <w:t>ο Γενικός Γραμματέας Δημόσιας Τάξης του Υπουργείου Εσωτερικών,</w:t>
      </w:r>
    </w:p>
    <w:p>
      <w:pPr>
        <w:pStyle w:val="StructureList1"/>
        <w:spacing w:before="120" w:after="0"/>
        <w:rPr>
          <w:lang w:val="el" w:eastAsia="el"/>
        </w:rPr>
      </w:pPr>
      <w:r>
        <w:rPr>
          <w:lang w:val="el" w:eastAsia="el"/>
        </w:rPr>
        <w:t>ζ)</w:t>
      </w:r>
      <w:r>
        <w:rPr>
          <w:lang w:val="en" w:eastAsia="en"/>
        </w:rPr>
        <w:tab/>
      </w:r>
      <w:r>
        <w:rPr>
          <w:lang w:val="el" w:eastAsia="el"/>
        </w:rPr>
        <w:t>ο Διευθυντής της Δ1 Διευθύνσεως ΟΗΕ και Διεθνών Ειδικευμένων Οργανισμών και Διασκέψεων του Υπουργείου Εξωτερικών,</w:t>
      </w:r>
    </w:p>
    <w:p>
      <w:pPr>
        <w:pStyle w:val="StructureList1"/>
        <w:spacing w:before="120" w:after="0"/>
        <w:rPr>
          <w:lang w:val="el" w:eastAsia="el"/>
        </w:rPr>
      </w:pPr>
      <w:r>
        <w:rPr>
          <w:lang w:val="el" w:eastAsia="el"/>
        </w:rPr>
        <w:t>η)</w:t>
      </w:r>
      <w:r>
        <w:rPr>
          <w:lang w:val="en" w:eastAsia="en"/>
        </w:rPr>
        <w:tab/>
      </w:r>
      <w:r>
        <w:rPr>
          <w:lang w:val="el" w:eastAsia="el"/>
        </w:rPr>
        <w:t>ο Γενικός Γραμματέας του Υπουργείου Δικαιοσύνης, Διαφάνειας και Ανθρωπίνων Δικαιωμάτων,</w:t>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Καταπολέμησης της Διαφθοράς του Υπουργείου Δικαιοσύνης, Διαφάνειας και Ανθρωπίνων Δικαιωμάτων,</w:t>
      </w:r>
    </w:p>
    <w:p>
      <w:pPr>
        <w:pStyle w:val="StructureList1"/>
        <w:spacing w:before="120" w:after="0"/>
        <w:rPr>
          <w:lang w:val="el" w:eastAsia="el"/>
        </w:rPr>
      </w:pPr>
      <w:r>
        <w:rPr>
          <w:lang w:val="el" w:eastAsia="el"/>
        </w:rPr>
        <w:t>ι)</w:t>
      </w:r>
      <w:r>
        <w:rPr>
          <w:lang w:val="en" w:eastAsia="en"/>
        </w:rPr>
        <w:tab/>
      </w:r>
      <w:r>
        <w:rPr>
          <w:lang w:val="el" w:eastAsia="el"/>
        </w:rPr>
        <w:t>ο Γενικός Γραμματέας Εμπορίου και Καταναλωτή του Υπουργείου Οικονομίας και Ανάπτυξης,</w:t>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του Υπουργείου Ναυτιλίας και Νησιωτικής Πολιτικής,</w:t>
      </w:r>
    </w:p>
    <w:p>
      <w:pPr>
        <w:pStyle w:val="StructureList1"/>
        <w:spacing w:before="120" w:after="0"/>
        <w:rPr>
          <w:lang w:val="el" w:eastAsia="el"/>
        </w:rPr>
      </w:pPr>
      <w:r>
        <w:rPr>
          <w:lang w:val="el" w:eastAsia="el"/>
        </w:rPr>
        <w:t>ιβ)</w:t>
      </w:r>
      <w:r>
        <w:rPr>
          <w:lang w:val="en" w:eastAsia="en"/>
        </w:rPr>
        <w:tab/>
      </w:r>
      <w:r>
        <w:rPr>
          <w:lang w:val="el" w:eastAsia="el"/>
        </w:rPr>
        <w:t>ο Γενικός Γραμματέας Μεταναστευτικής Πολιτικής του Υπουργείου Μεταναστευτικής Πολιτικής,</w:t>
      </w:r>
    </w:p>
    <w:p>
      <w:pPr>
        <w:pStyle w:val="StructureList1"/>
        <w:spacing w:before="120" w:after="0"/>
        <w:rPr>
          <w:lang w:val="el" w:eastAsia="el"/>
        </w:rPr>
      </w:pPr>
      <w:r>
        <w:rPr>
          <w:lang w:val="el" w:eastAsia="el"/>
        </w:rPr>
        <w:t>ιγ)</w:t>
      </w:r>
      <w:r>
        <w:rPr>
          <w:lang w:val="en" w:eastAsia="en"/>
        </w:rPr>
        <w:tab/>
      </w:r>
      <w:r>
        <w:rPr>
          <w:lang w:val="el" w:eastAsia="el"/>
        </w:rPr>
        <w:t>ο Διευθυντής της Διεύθυνσης Επιθεώρησης Εποπτευόμενων Εταιρειών της Τράπεζας της Ελλάδος,</w:t>
      </w:r>
    </w:p>
    <w:p>
      <w:pPr>
        <w:pStyle w:val="StructureList1"/>
        <w:spacing w:before="120" w:after="0"/>
        <w:rPr>
          <w:lang w:val="el" w:eastAsia="el"/>
        </w:rPr>
      </w:pPr>
      <w:r>
        <w:rPr>
          <w:lang w:val="el" w:eastAsia="el"/>
        </w:rPr>
        <w:t>ιδ)</w:t>
      </w:r>
      <w:r>
        <w:rPr>
          <w:lang w:val="en" w:eastAsia="en"/>
        </w:rPr>
        <w:tab/>
      </w:r>
      <w:r>
        <w:rPr>
          <w:lang w:val="el" w:eastAsia="el"/>
        </w:rPr>
        <w:t>ο Γενικός Διευθυντής της Επιτροπής Κεφαλαιαγοράς,</w:t>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Λογιστικής Τυποποίησης και Ελέγχων,</w:t>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Εποπτείας και Ελέγχου Παιγνίων.</w:t>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τα μέλη μπορεί να συνεπικουρούνται από στελέχη εξειδικευμένα στα θέματα της εκάστοτε ημερήσιας διάταξης.</w:t>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p>
    <w:p>
      <w:pPr>
        <w:pStyle w:val="MainText"/>
        <w:spacing w:before="120" w:after="0"/>
        <w:rPr>
          <w:lang w:val="el" w:eastAsia="el"/>
        </w:rPr>
      </w:pPr>
      <w:r>
        <w:rPr>
          <w:b/>
          <w:bCs/>
          <w:lang w:val="el" w:eastAsia="el"/>
        </w:rPr>
        <w:t>5.</w:t>
      </w:r>
      <w:r>
        <w:rPr>
          <w:lang w:val="el" w:eastAsia="el"/>
        </w:rPr>
        <w:t xml:space="preserve"> Με απόφαση της Επιτροπής Στρατηγικής συντάσσεται ο Κανονισμός Λειτουργίας της, ο οποίος εγκρίνεται με απόφαση του Υπουργού Οικονομικών. Με τον Κανονισμό Λειτουργίας ορίζεται ο τρόπος κατάρτισης της ημερήσιας διάταξης των συνεδριάσεων, ο τρόπος λήψης αποφάσεων και οργάνωσης της γραμματειακής και επιστημονικής υποστήριξης, καθώς και κάθε άλλο σχετικό θέμα.</w:t>
      </w:r>
    </w:p>
    <w:p>
      <w:pPr>
        <w:pStyle w:val="MainText"/>
        <w:spacing w:before="120" w:after="0"/>
        <w:rPr>
          <w:lang w:val="el" w:eastAsia="el"/>
        </w:rPr>
      </w:pPr>
      <w:r>
        <w:rPr>
          <w:b/>
          <w:bCs/>
          <w:lang w:val="el" w:eastAsia="el"/>
        </w:rPr>
        <w:t>6.</w:t>
      </w:r>
      <w:r>
        <w:rPr>
          <w:lang w:val="el" w:eastAsia="el"/>
        </w:rPr>
        <w:t xml:space="preserve"> Γραμματειακή υποστήριξη στην Επιτροπή Στρατηγικής παρέχει η Γενική Διεύθυνση Οικονομικής Πολιτικής του Υπουργείου Οικονομικών.</w:t>
      </w:r>
    </w:p>
    <w:p>
      <w:pPr>
        <w:pStyle w:val="MainText"/>
        <w:spacing w:before="120" w:after="0"/>
        <w:rPr>
          <w:lang w:val="el" w:eastAsia="el"/>
        </w:rPr>
      </w:pPr>
      <w:r>
        <w:rPr>
          <w:b/>
          <w:bCs/>
          <w:lang w:val="el" w:eastAsia="el"/>
        </w:rPr>
        <w:t>7.</w:t>
      </w:r>
      <w:r>
        <w:rPr>
          <w:lang w:val="el" w:eastAsia="el"/>
        </w:rPr>
        <w:t xml:space="preserve"> Έργο της Επιτροπής Στρατηγικής είναι:</w:t>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 μετριασμό των κινδύνων και την αξιοποίηση των ευρημάτων στην κατανομή πόρων και στο σχεδιασμό δράσεων σε επιλεγμένους τομείς και ειδικότερα:</w:t>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τις ΕΕΑ και τις αντίστοιχες αρχές άλλων κρατών - μελών της Ευρωπαϊκής Ένωσης για τα αποτελέσματα των ανωτέρω εκτιμήσεων κινδύνου:</w:t>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διαβίβαση πληροφοριών προς την Αρχή.</w:t>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των φορέων της παραγράφου 2, ιδίως μέσω διμερών ή πολυμερών μνημονίων.</w:t>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της χρηματοδότησης της διάδοσης όπλων μαζικής καταστροφής.</w:t>
      </w:r>
    </w:p>
    <w:p>
      <w:pPr>
        <w:pStyle w:val="MainText"/>
        <w:spacing w:before="120" w:after="0"/>
        <w:rPr>
          <w:lang w:val="el" w:eastAsia="el"/>
        </w:rPr>
      </w:pPr>
      <w:r>
        <w:rPr>
          <w:b/>
          <w:bCs/>
          <w:lang w:val="el" w:eastAsia="el"/>
        </w:rPr>
        <w:t>8.</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την FATF. Προς τούτο ενημερώνεται σχετικά από τον Κεντρικό Συντονιστικό Φορέα και την Αρχή.</w:t>
      </w:r>
    </w:p>
    <w:p>
      <w:pPr>
        <w:pStyle w:val="MainText"/>
        <w:spacing w:before="120" w:after="0"/>
        <w:rPr>
          <w:lang w:val="el" w:eastAsia="el"/>
        </w:rPr>
      </w:pPr>
      <w:r>
        <w:rPr>
          <w:b/>
          <w:bCs/>
          <w:lang w:val="el" w:eastAsia="el"/>
        </w:rPr>
        <w:t>9.</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της χρηματοδότησης της διάδοσης όπλων μαζικής καταστροφής. Η έκθεση υποβάλλεται μέσα στο πρώτο τρίμηνο κάθε έτους.</w:t>
      </w:r>
    </w:p>
    <w:p>
      <w:pPr>
        <w:pStyle w:val="MainText"/>
        <w:spacing w:before="120" w:after="0"/>
        <w:rPr>
          <w:lang w:val="el" w:eastAsia="el"/>
        </w:rPr>
      </w:pPr>
      <w:r>
        <w:rPr>
          <w:b/>
          <w:bCs/>
          <w:lang w:val="el" w:eastAsia="el"/>
        </w:rPr>
        <w:t>10.</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 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 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 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συνάπτουν επιχειρηματική σχέση,</w:t>
      </w:r>
    </w:p>
    <w:p>
      <w:pPr>
        <w:pStyle w:val="StructureList1"/>
        <w:spacing w:before="120" w:after="0"/>
        <w:rPr>
          <w:lang w:val="el" w:eastAsia="el"/>
        </w:rPr>
      </w:pPr>
      <w:r>
        <w:rPr>
          <w:lang w:val="el" w:eastAsia="el"/>
        </w:rPr>
        <w:t>β)</w:t>
      </w:r>
      <w:r>
        <w:rPr>
          <w:lang w:val="en" w:eastAsia="en"/>
        </w:rPr>
        <w:tab/>
      </w:r>
      <w:r>
        <w:rPr>
          <w:lang w:val="el" w:eastAsia="el"/>
        </w:rPr>
        <w:t>όταν διενεργούν περιστασιακή συναλλαγή που: αα)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p>
    <w:p>
      <w:pPr>
        <w:pStyle w:val="StructureList1"/>
        <w:spacing w:before="120" w:after="0"/>
        <w:rPr>
          <w:lang w:val="el" w:eastAsia="el"/>
        </w:rPr>
      </w:pPr>
      <w:r>
        <w:rPr>
          <w:lang w:val="el" w:eastAsia="el"/>
        </w:rPr>
        <w:t>γ)</w:t>
      </w:r>
      <w:r>
        <w:rPr>
          <w:lang w:val="en" w:eastAsia="en"/>
        </w:rPr>
        <w:tab/>
      </w:r>
      <w:r>
        <w:rPr>
          <w:lang w:val="el" w:eastAsia="el"/>
        </w:rPr>
        <w:t>όταν πρόκειται για πρόσωπα που εμπορεύονται αγαθά και διενεργούν περιστασιακή συναλλαγή σε μετρητά που αφορά ποσό δέκα χιλιάδων (10.000) ευρώ τουλάχιστον, ανεξάρτητα από το αν διενεργείται με μία μόνη πράξη ή με περισσότερες που φαίνεται να συνδέονται μεταξύ τους,</w:t>
      </w:r>
    </w:p>
    <w:p>
      <w:pPr>
        <w:pStyle w:val="StructureList1"/>
        <w:spacing w:before="120" w:after="0"/>
        <w:rPr>
          <w:lang w:val="el" w:eastAsia="el"/>
        </w:rPr>
      </w:pPr>
      <w:r>
        <w:rPr>
          <w:lang w:val="el" w:eastAsia="el"/>
        </w:rPr>
        <w:t>δ)</w:t>
      </w:r>
      <w:r>
        <w:rPr>
          <w:lang w:val="en" w:eastAsia="en"/>
        </w:rPr>
        <w:tab/>
      </w:r>
      <w:r>
        <w:rPr>
          <w:lang w:val="el" w:eastAsia="el"/>
        </w:rPr>
        <w:t>όταν πρόκειται για παρόχους υπηρεσιών τυχερών παιγνίων που διενεργούν συναλλαγή που αφορά ποσό δύο χιλιάδων (2.000) ευρώ τουλάχιστον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p>
    <w:p>
      <w:pPr>
        <w:pStyle w:val="StructureList1"/>
        <w:spacing w:before="120" w:after="0"/>
        <w:rPr>
          <w:lang w:val="el" w:eastAsia="el"/>
        </w:rPr>
      </w:pPr>
      <w:r>
        <w:rPr>
          <w:lang w:val="el" w:eastAsia="el"/>
        </w:rPr>
        <w:t>ε)</w:t>
      </w:r>
      <w:r>
        <w:rPr>
          <w:lang w:val="en" w:eastAsia="en"/>
        </w:rPr>
        <w:tab/>
      </w:r>
      <w:r>
        <w:rPr>
          <w:lang w:val="el" w:eastAsia="el"/>
        </w:rPr>
        <w:t>όταν 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p>
    <w:p>
      <w:pPr>
        <w:pStyle w:val="StructureList1"/>
        <w:spacing w:before="120" w:after="0"/>
        <w:rPr>
          <w:lang w:val="el" w:eastAsia="el"/>
        </w:rPr>
      </w:pPr>
      <w:r>
        <w:rPr>
          <w:lang w:val="el" w:eastAsia="el"/>
        </w:rPr>
        <w:t>στ)</w:t>
      </w:r>
      <w:r>
        <w:rPr>
          <w:lang w:val="en" w:eastAsia="en"/>
        </w:rPr>
        <w:tab/>
      </w:r>
      <w:r>
        <w:rPr>
          <w:lang w:val="el" w:eastAsia="el"/>
        </w:rPr>
        <w:t>όταν 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p>
    <w:p>
      <w:pPr>
        <w:pStyle w:val="StructureList1"/>
        <w:spacing w:before="120" w:after="0"/>
        <w:rPr>
          <w:lang w:val="el" w:eastAsia="el"/>
        </w:rPr>
      </w:pPr>
      <w:r>
        <w:rPr>
          <w:lang w:val="el" w:eastAsia="el"/>
        </w:rPr>
        <w:t>ζ)</w:t>
      </w:r>
      <w:r>
        <w:rPr>
          <w:lang w:val="en" w:eastAsia="en"/>
        </w:rPr>
        <w:tab/>
      </w:r>
      <w:r>
        <w:rPr>
          <w:lang w:val="el" w:eastAsia="el"/>
        </w:rPr>
        <w:t>όταν πρόκειται για ηλεκτρονικό χρήμα ή για ειδικά προπληρωμένα μέσα που διαθέτουν δυνατότητα επαναφόρτισης με μηνιαίο όριο πράξεων πληρωμής άνω των διακοσίων πενήντα (250) ευρώ, σε αμφότερες τις περιπτώσεις.</w:t>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p>
    <w:p>
      <w:pPr>
        <w:pStyle w:val="MainText"/>
        <w:spacing w:before="120" w:after="0"/>
        <w:rPr>
          <w:lang w:val="el" w:eastAsia="el"/>
        </w:rPr>
      </w:pPr>
      <w:r>
        <w:rPr>
          <w:b/>
          <w:bCs/>
          <w:lang w:val="el" w:eastAsia="el"/>
        </w:rPr>
        <w:t>2.</w:t>
      </w:r>
      <w:r>
        <w:rPr>
          <w:lang w:val="el" w:eastAsia="el"/>
        </w:rPr>
        <w:t xml:space="preserve"> Κατά παρέκκλιση της περίπτωσης ζ΄ της παραγράφου 1, οι υπόχρεες οντότητες μπορεί να εφαρμόσουν μόνο τα μέτρα δέουσας επιμέλειας ως προς τον πελάτη των περιπτώσεων α΄ και β΄ της παραγράφου 1 του άρθρου 13 σε ό,τι αφορά το ηλεκτρονικό χρήμα αν πληρούνται σωρευτικά οι εξής προϋποθέσεις ελαχιστοποίησης του κινδύνου:</w:t>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πληρωμής διακόσια πενήντα (250) ευρώ και μπορεί να χρησιμοποιηθεί μόνο στην Ελλάδα,</w:t>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πεντακόσια (500) ευρώ και μπορεί να χρησιμοποιηθεί μόνο στην Ελλάδα,</w:t>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3.</w:t>
      </w:r>
      <w:r>
        <w:rPr>
          <w:lang w:val="el" w:eastAsia="el"/>
        </w:rPr>
        <w:t xml:space="preserve"> Η παράγραφος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εκατό (100) ευρώ.</w:t>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εκτίμηση κινδύνου και δεν βασίζονται αποκλειστικά στο Μητρώο Πραγματικών Δικαιούχων των άρθρων 20 και 21.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τα νομικά πρόσωπα, τα καταπιστεύματα ή άλλα νομικά μορφώματα λαμβάνονται εύλογα μέτρα για να γίνει γνωστή η διάρθρωση του καθεστώτος ιδιοκτησίας και ελέγχου του πελάτη,</w:t>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β) να επαληθεύουν, κατά τη σύναψη επιχειρηματικής σχέσης, τα ετήσια εισοδήματα του πελάτη με βάση προσκομιζόμενη πρόσφατη πράξη διοικητικού προσδιορισμού φόρου εισοδήματος, εκτός αν ο πελάτης δεν υποχρεούται να υποβάλει δήλωση φόρου εισοδήματος.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αριθμ. 2015/847 (ΕΕ L 141/5.6.2015), όσον αφορά τα στοιχεία που συνοδεύουν τις μεταφορές χρηματικών ποσών, λαμβάνοντας υπόψη τις σχετικές κατευθυντήριες οδηγίες των ΕΕΑ. </w:t>
      </w:r>
    </w:p>
    <w:p>
      <w:pPr>
        <w:pStyle w:val="MainText"/>
        <w:spacing w:before="120" w:after="0"/>
        <w:rPr>
          <w:lang w:val="el" w:eastAsia="el"/>
        </w:rPr>
      </w:pPr>
      <w:r>
        <w:rPr>
          <w:b/>
          <w:bCs/>
          <w:lang w:val="el" w:eastAsia="el"/>
        </w:rPr>
        <w:t>7.</w:t>
      </w:r>
      <w:r>
        <w:rPr>
          <w:lang w:val="el" w:eastAsia="el"/>
        </w:rPr>
        <w:t xml:space="preserve"> Τα υπόχρεα πρόσωπα εφαρμόζουν, την κατάλληλη χρονική στιγμή και ανάλογα με το βαθμό κινδύνου, τις διαδικασίες δέουσας επιμέλειας όχι μόνο στους νέους αλλά και στους υφιστάμενους πελάτες. </w:t>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παραγράφους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w:t>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που ορίζονται στα άρθρα 17 και 18 στις περιπτώσεις που αναφέρονται σ΄ αυτά.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όσα ορίζονται στην παράγραφο 4. </w:t>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 </w:t>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με ίδρυμα πελάτη από τρίτη χώρα, τα πιστωτικά ιδρύματα και οι χρηματοπιστωτικοί οργανισμοί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 - μέλος της Ευρωπαϊκής Ένωσης ή σε τρίτη χώρα που είναι μέλος της FATF.</w:t>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αντίγραφα, σε έντυπη ή ηλεκτρονική μορφή, των εγγράφων που έχει αποκτήσει το τρίτο μέρος κατά την εφαρμογή των ανωτέρω μέτρων δέουσας επιμέλειας.</w:t>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οντότητες που έχουν έδρα στην Ελλάδα υποχρεούνται να συλλέγουν και να φυλάσσουν, σε ειδικό μητρώο που τηρούν στην έδρα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αρμόδιου εταιρικού καταστατικού οργάνου, και καταχωρίζεται στο Κεντρικό Μητρώο Πραγματικών Δικαιούχων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 </w:t>
      </w:r>
    </w:p>
    <w:p>
      <w:pPr>
        <w:pStyle w:val="MainText"/>
        <w:spacing w:before="120" w:after="0"/>
        <w:rPr>
          <w:lang w:val="el" w:eastAsia="el"/>
        </w:rPr>
      </w:pPr>
      <w:r>
        <w:rPr>
          <w:b/>
          <w:bCs/>
          <w:lang w:val="el" w:eastAsia="el"/>
        </w:rPr>
        <w:t>2.</w:t>
      </w:r>
      <w:r>
        <w:rPr>
          <w:lang w:val="el" w:eastAsia="el"/>
        </w:rPr>
        <w:t xml:space="preserve"> Η τήρηση του ειδικού μητρώου της παραγράφου 1 γίνεται με επιμέλεια του υπευθύνου εταιρικής συμμόρφωσης για εισηγμένες εταιρείες σε οργανωμένη αγορά ή σε Πολυμερή Μηχανισμό Διαπραγμάτευσης ή του αρμόδιου ανώτατου στελέχους διοίκησης ανάλογου τμήματος σε κάθε άλλο νομικό πρόσωπο ή οντότητα, εφαρμοζομένων των διατάξεων του Ν. 2472/1997 (Α΄50) για την προστασία των προσωπικών δεδομένων, σύμφωνα με το άρθρο 31. </w:t>
      </w:r>
    </w:p>
    <w:p>
      <w:pPr>
        <w:pStyle w:val="MainText"/>
        <w:spacing w:before="120" w:after="0"/>
        <w:rPr>
          <w:lang w:val="el" w:eastAsia="el"/>
        </w:rPr>
      </w:pPr>
      <w:r>
        <w:rPr>
          <w:b/>
          <w:bCs/>
          <w:lang w:val="el" w:eastAsia="el"/>
        </w:rPr>
        <w:t>3.</w:t>
      </w:r>
      <w:r>
        <w:rPr>
          <w:lang w:val="el" w:eastAsia="el"/>
        </w:rPr>
        <w:t xml:space="preserve"> Τα νομικά αυτά πρόσωπα και οντότητες χορηγούν τις πληροφορίες τόσο για το νόμιμο όσο και για τον πραγματικό δικαιούχο τους στα υπόχρεα πρόσωπα,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p>
    <w:p>
      <w:pPr>
        <w:pStyle w:val="MainText"/>
        <w:spacing w:before="120" w:after="0"/>
        <w:rPr>
          <w:lang w:val="el" w:eastAsia="el"/>
        </w:rPr>
      </w:pPr>
      <w:r>
        <w:rPr>
          <w:b/>
          <w:bCs/>
          <w:lang w:val="el" w:eastAsia="el"/>
        </w:rPr>
        <w:t>4.</w:t>
      </w:r>
      <w:r>
        <w:rPr>
          <w:lang w:val="el" w:eastAsia="el"/>
        </w:rPr>
        <w:t xml:space="preserve"> Στη Γραμματεία Πληροφοριακών Συστημάτων (Γ.Γ.Π.Σ.) δημιουργείται, με χρήση διαδικτυακής ηλεκτρονικής εφαρμογής, Κεντρικό Μητρώο Πραγματικών Δικαιούχων, το οποίο συνδέεται ηλεκτρονικά με το Α.Φ.Μ. κάθε νομικού προσώπου ή νομικής οντότητας και για το οποίο η Α.Α.Δ.Ε. διαθέτει τα απαραίτητα στοιχεία από το φορολογικό μητρώο κατά παρέκκλιση των κειμένων διατάξεων. Η Γ.Γ.Π.Σ. σχεδιάζει, αναπτύσσει και λειτουργεί παραγωγικά, πληροφοριακό σύστημα και διαδικτυακές εφαρμογές για την υλοποίηση του Κεντρικού Μητρώου.</w:t>
      </w:r>
    </w:p>
    <w:p>
      <w:pPr>
        <w:spacing w:before="240" w:after="240"/>
        <w:rPr>
          <w:lang w:val="el" w:eastAsia="el"/>
        </w:rPr>
      </w:pPr>
      <w:r>
        <w:rPr>
          <w:lang w:val="el" w:eastAsia="el"/>
        </w:rPr>
        <w:t>Η είσοδος στο πληροφοριακό σύστημα γίνεται με την εισαγωγή των κωδικών του φυσικού ή νομικού προσώπου ή εξουσιοδοτούμενου αυτών, που παρέχονται από το Υπουργείο Οικονομικών σε συνεργασία με την Α.Α.Δ.Ε. Η Γ.Γ.Π.Σ. μεριμνά ως φορέας παραγωγικής λειτουργίας για την εύρυθμη και ασφαλή λειτουργία του πληροφοριακού συστήματος που φιλοξενείται στις υποδομές της.</w:t>
      </w:r>
    </w:p>
    <w:p>
      <w:pPr>
        <w:pStyle w:val="MainText"/>
        <w:spacing w:before="120" w:after="0"/>
        <w:rPr>
          <w:lang w:val="el" w:eastAsia="el"/>
        </w:rPr>
      </w:pPr>
      <w:r>
        <w:rPr>
          <w:b/>
          <w:bCs/>
          <w:lang w:val="el" w:eastAsia="el"/>
        </w:rPr>
        <w:t>5.</w:t>
      </w:r>
      <w:r>
        <w:rPr>
          <w:lang w:val="el" w:eastAsia="el"/>
        </w:rPr>
        <w:t xml:space="preserve"> Το Κεντρικό Μητρώο μπορεί, επίσης, να συνδέεται με το Γενικό Εμπορικό Μητρώο (Γ.Ε.ΜΗ.) του Υπουργείου Οικονομίας και Ανάπτυξης, από το οποίο διατίθενται τα απαραίτητα στοιχεία για το νομικό πρόσωπο ή τη νομική οντότητα, καθώς και με τα Αποθετήρια Τίτλων, ή και κάθε άλλο φορέα όπου τηρούνται πληροφορίες σχετικά με τους πραγματικούς δικαιούχους των εταιρικών και λοιπών οντοτήτων που έχουν έδρα στην Ελλάδα. Οι δημόσιες υπηρεσίες Υπουργείων, Ανεξάρτητων Αρχών και οι υπηρεσίες κάθε άλλου φορέα υποχρεούνται να συνεργάζονται με τη Γ.Γ.Π.Σ. και να παρέχουν τα στοιχεία που είναι απαραίτητα για την τροφοδότηση του Κεντρικού Μητρώου. Με κοινή απόφαση των Υπουργών Οικονομικών και Οικονομίας και Ανάπτυξης μπορεί να ρυθμίζονται ειδικότερα θέματα σχετικά με τη σύνδεση του Κεντρικού Μητρώου με τα στοιχεία του Γ.Ε.ΜΗ.</w:t>
      </w:r>
    </w:p>
    <w:p>
      <w:pPr>
        <w:pStyle w:val="MainText"/>
        <w:spacing w:before="120" w:after="0"/>
        <w:rPr>
          <w:lang w:val="el" w:eastAsia="el"/>
        </w:rPr>
      </w:pPr>
      <w:r>
        <w:rPr>
          <w:b/>
          <w:bCs/>
          <w:lang w:val="el" w:eastAsia="el"/>
        </w:rPr>
        <w:t>6.</w:t>
      </w:r>
      <w:r>
        <w:rPr>
          <w:lang w:val="el" w:eastAsia="el"/>
        </w:rPr>
        <w:t xml:space="preserve"> Πρόσβαση στο Μητρώο Πραγματικών Δικαιούχων έχουν η Αρχή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 καθώς και οι αρμόδιες αρχές και τα υπόχρεα πρόσωπα αποκλειστικά στο πλαίσιο της εφαρμογής των μέτρων δέουσας επιμέλειας. Η Αρχή, και οι άλλες αρχές των άρθρων 6 και 9 διαβιβάζουν τα στοιχεία στις αντίστοιχες αρχές άλλων κρατών - μελών της Ευρωπαϊκής Ένωσης, ύστερα από αιτιολογημένο αίτημά τους. Οι αρχές που έχουν πρόσβαση στο Κεντρικό Μητρώο, οι εποπτικές αρχές των υπόχρεων οντοτήτων, οι αρμόδιες αρχές που ασκούν καθήκοντα διερεύνησης ή δίωξης της νομιμοποίησης εσόδων από παράνομες δραστηριότητες, των συναφών βασικών αδικημάτων και της χρηματοδότησης της τρομοκρατίας, υποχρεούνται να αναφέρουν στον Κεντρικό Συντονιστικό Φορέα και στη Γ.Γ.Π.Σ. οποιαδήποτε αναντιστοιχία εντοπίζουν μεταξύ των πληροφοριών σχετικά με τον πραγματικό δικαιούχο που τηρούνται στο Κεντρικό Μητρώο και των στοιχείων που βρίσκονται στη διάθεσή τους. </w:t>
      </w:r>
    </w:p>
    <w:p>
      <w:pPr>
        <w:pStyle w:val="MainText"/>
        <w:spacing w:before="120" w:after="0"/>
        <w:rPr>
          <w:lang w:val="el" w:eastAsia="el"/>
        </w:rPr>
      </w:pPr>
      <w:r>
        <w:rPr>
          <w:b/>
          <w:bCs/>
          <w:lang w:val="el" w:eastAsia="el"/>
        </w:rPr>
        <w:t>7.</w:t>
      </w:r>
      <w:r>
        <w:rPr>
          <w:lang w:val="el" w:eastAsia="el"/>
        </w:rPr>
        <w:t xml:space="preserve"> Πληροφόρηση ως προς τα ελάχιστα στοιχεία του Μητρώου της παραγράφου 4 μπορεί να έχει κάθε πρόσωπο ή οργανισμός που αποδεικνύει ειδικό έννομο συμφέρον και υποβάλλει σχετικό αίτημα πλήρως τεκμηριωμένο στον Κεντρικό Συντονιστικό Φορέα. Με απόφαση του Υπουργού Οικονομικών, ύστερα από εισήγηση της Αρχής, μπορεί να θεσπίζονται περιορισμοί στην πρόσβαση των προσώπων αυτών, ως προς το σύνολο ή μέρος των πληροφοριών που αφορούν τον πραγματικό δικαιούχο, όταν η πρόσβαση αυτή αιτιολογημένα μπορεί να εκθέσει τον πραγματικό δικαιούχο σε κίνδυνο εξαπάτησης, απαγωγής, εκβιασμού, βίας ή εκφοβισμού ή αν ο πραγματικός δικαιούχος είναι ανήλικος ή με άλλον τρόπο ανίκανος για δικαιοπραξία. </w:t>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 δέσμευση χορήγησης αποδεικτικού έκδοσης φορολογικής ενημερότητας των υπόχρεων νομικών προσώπων και οντοτήτων.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 </w:t>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νομικών προσώπων και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 Ν.Δ. 356/1974 «Περί Κώδικος Εισπράξεως Δημοσίων Εσόδων» (Κ.Ε.Δ.Ε., Α΄ 90).</w:t>
      </w:r>
    </w:p>
    <w:p>
      <w:pPr>
        <w:pStyle w:val="MainText"/>
        <w:spacing w:before="120" w:after="0"/>
        <w:rPr>
          <w:lang w:val="el" w:eastAsia="el"/>
        </w:rPr>
      </w:pPr>
      <w:r>
        <w:rPr>
          <w:b/>
          <w:bCs/>
          <w:lang w:val="el" w:eastAsia="el"/>
        </w:rPr>
        <w:t>10.</w:t>
      </w:r>
      <w:r>
        <w:rPr>
          <w:lang w:val="el" w:eastAsia="el"/>
        </w:rPr>
        <w:t xml:space="preserve"> 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συμπεριλαμβανομένων εκείνων που εδρεύουν στην αλλοδαπή. Για το σκοπό αυτό,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την επεξεργασία και τη διάθεση εμπορικών και διατραπεζικών πληροφοριών. Στα πληροφοριακά αυτά συστήματα πρέπει να παρέχεται πρόσβαση της Αρχής, της Τράπεζας της Ελλάδος, της Επιτροπής Κεφαλαιαγοράς και των αρμόδιων εισαγγελικών ή άλλων αρχών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Κεντρικού Μητρώου της παραγράφου 4, τον τρόπο και τη σειρά καταχώρισης σε αυτό των στοιχείων των ειδικών μητρώων της παραγράφου 1 του παρόντος άρθρου και της παραγράφου 1 του άρθρου 21, τη διασύνδεσή τους με τα Αποθετήρια Τίτλων και τα πληροφοριακά συστήματα της παραγράφου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Κεντρικού Μητρώου, την εξειδίκευση των τεχνικών λεπτομερειών για τη λειτουργία του συστήματος και κάθε άλλο σχετικό θέμα. </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νόμου μπορεί να ρυθμίζονται ειδικότερα θέματα σχετικά με την εντολή δέσμευσης και την άρση της δέσμευσης χορήγησης αποδεικτικού ενημερότητας.</w:t>
      </w:r>
    </w:p>
    <w:p>
      <w:pPr>
        <w:pStyle w:val="MainText"/>
        <w:spacing w:before="120" w:after="0"/>
        <w:rPr>
          <w:lang w:val="el" w:eastAsia="el"/>
        </w:rPr>
      </w:pPr>
      <w:r>
        <w:rPr>
          <w:b/>
          <w:bCs/>
          <w:lang w:val="el" w:eastAsia="el"/>
        </w:rPr>
        <w:t>13.</w:t>
      </w:r>
      <w:r>
        <w:rPr>
          <w:lang w:val="el" w:eastAsia="el"/>
        </w:rPr>
        <w:t xml:space="preserve"> Η λειτουργία του Μητρώου Πραγματικών Δικαιούχων τίθεται σε πλήρη ισχύ μέσα σε έξι (6) μήνες από την έναρξη ισχύος του παρόντος νόμου.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p>
    <w:p>
      <w:pPr>
        <w:pStyle w:val="MainText"/>
        <w:spacing w:before="120" w:after="0"/>
        <w:rPr>
          <w:lang w:val="el" w:eastAsia="el"/>
        </w:rPr>
      </w:pPr>
      <w:r>
        <w:rPr>
          <w:b/>
          <w:bCs/>
          <w:lang w:val="el" w:eastAsia="el"/>
        </w:rPr>
        <w:t>3.</w:t>
      </w:r>
      <w:r>
        <w:rPr>
          <w:lang w:val="el" w:eastAsia="el"/>
        </w:rPr>
        <w:t xml:space="preserve"> Στις πληροφορίες της παραγράφου 1 έχουν άμεση πρόσβαση η Αρχή και οι αρμόδιες αρχές του άρθρου 6.</w:t>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στην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 σύμφωνα με τις διαδικασίες που προβλέπουν οι κείμενες διατάξεις</w:t>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τυχόν νομοθετικής, κανονιστικής, διοικητικής ή συμβατικής απαγόρευσης γνωστοποίησης πληροφοριών και δεν συνεπάγεται οποιουδήποτε είδους ευθύνη για το υπόχρεο πρόσωπο και τους υπαλλήλους του, ακόμη και αν αποδειχθεί ότι δεν υπήρξε εγκληματική δραστηριότητα, ούτε μπορεί να αποτελέσει λόγο καταγγελίας της εργασιακής σύμβασης ή μεταβολή των όρων της επί το δυσμενέστερον.</w:t>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πιθανή εκδίκηση ή εκφοβισμό, σύμφωνα με τις διατάξεις του άρθρου 9 του Ν. 2928/2001 (Α΄ 141).</w:t>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 xml:space="preserve">Συνιστάται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Διαφάνειας και Ανθρωπίνων Δικαιωμάτων,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υποχρεώσεις δέουσας επιμέλειας που ορίζονται στο άρθρο 13,</w:t>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παραγράφων 1 και 2 φυλάσσονται σε έντυπη ή ηλεκτρονική μορφή για χρονικό διάστημα πέντε (5) ετών μετά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αιτιολογημένα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υποθέσεις για τις οποίες στις 25 Ιουνίου 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 Ιουνίου 2020 και, αν εκκρεμούσε ήδη ποινική διαδικασία, μέχρι τις 25.6.2025. </w:t>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11 του Ν. 2472/1997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σύμφωνα με τον παρόντα νόμο με σκοπό την πρόληψη της νομιμοποίησης εσόδων από εγκληματικές δραστηριότητες και της χρηματοδότησης της τρομοκρατίας θεωρείται ζήτημα δημόσιου συμφέροντος, σύμφωνα με το Ν. 2472/1997.</w:t>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δεδομένα όσον αφορά τον αριθμό των διασυνοριακών αιτήσεων παροχής πληροφοριών που έχουν υποβληθεί, απορριφθεί και απαντηθεί πλήρως ή εν μέρει από την Αρχή,</w:t>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MainText"/>
        <w:spacing w:before="120" w:after="0"/>
        <w:rPr>
          <w:lang w:val="el" w:eastAsia="el"/>
        </w:rPr>
      </w:pPr>
      <w:r>
        <w:rPr>
          <w:b/>
          <w:bCs/>
          <w:lang w:val="el" w:eastAsia="el"/>
        </w:rPr>
        <w:t>3.</w:t>
      </w:r>
      <w:r>
        <w:rPr>
          <w:lang w:val="el" w:eastAsia="el"/>
        </w:rPr>
        <w:t xml:space="preserve"> Το Υπουργείο Δικαιοσύνης, Διαφάνειας και Ανθρωπίνων Δικαιωμάτων, η Αρχή και οι αρμόδιες αρχές δημοσιεύουν συγκεντρωτικά στατιστικά στοιχεία για την επαρκή ενημέρωση του κοινού..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 - μελών της Ευρωπαϊκής Ένωσης πληροφορίες εμπιστευτικής φύσης, που μπορεί να είναι χρήσιμες για τις επιχειρησιακές τους αναλύσεις. Για τη λήψη αιτήματος παροχής πληροφοριών από ΜΧΠ άλλων κρατών - μελών, η Αρχή ορίζει τουλάχιστον έναν υπεύθυνο ή σημείο επικοινωνίας. Αν λαμβάνει αναφορές ύποπτων ή ασύνηθων συναλλαγών που αφορούν άλλο κράτος - μέλος, τις διαβιβάζει αμελλητί στην αντίστοιχη ΜΧΠ. </w:t>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 ΜΧΠ άλλων κρατών - μελών της Ευρωπαϊκής Ένωσης, μπορεί να επιβάλλονται περιορισμοί και προϋποθέσεις ως προς τη χρήση τους. Οι πληροφορίες που προέρχονται από Μονάδες άλλων κρατών - μελών, μπορούν να χρησιμοποιούνται από την Αρχή μόνο για το σκοπό για τον οποίο ζητήθηκαν και με σεβασμό των επιβληθέντων περιορισμών ή προϋποθέσεων. Οποιαδήποτε διαβίβαση των πληροφοριών αυτών σε άλλη αρχή ή φορέα ή χρήση του για σκοπούς πέραν των αρχικώς εγκριθέντων, υπόκειται σε προηγούμενη συγκατάθεση της Μονάδας που παρέχει τις πληροφορίες. Αν ζητείται η συγκατάθεση της Αρχής για τη διαβίβαση των πληροφοριών που έχει παράσχει σε άλλες αρχές ή φορείς του αιτούντος κράτους -μέλους, η Αρχή δεν αρνείται τη σχετική συγκατάθεση, παρά μόνον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καθώς και αν η διαβίβαση θα μπορούσε να παρακωλύσει τη διενέργεια εγχώριας ποινικής έρευνας ή να προξενήσει σαφώς δυσανάλογη βλάβη στα έννομα συμφέροντα ενός προσώπου ή στο δημόσιο συμφέρον ή να αντίκειται σε θεμελιώδεις αρχές του κράτους δικαίου. Η άρνηση συγκατάθεσης αιτιολογείται δεόντως. </w:t>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των διατάξεων του παρόντος, ως πληροφορίες εμπιστευτικής φύσης νοούνται εκείνες που αφορούν 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φορολογικών εγκλημάτων, σύμφωνα με το εκάστοτε εθνικό δίκαιο δεν εμποδίζουν την ικανότητα των ΜΧΠ να ανταλλάσσουν πληροφορίες ή να παρέχουν συνδρομή σε άλλη ΜΧΠ, στο μέγιστο δυνατό βαθμό, σύμφωνα με την οικεία εθνική νομοθεσία.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 χαρακτήρα και το μέγεθος του εκάστοτε υπόχρεου προσώπου.</w:t>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παράγραφο 1 σε υποκαταστήματα και θυγατρικές των υπόχρεων προσώπων στη χώρα αυτή, τα υπόχρεα πρόσωπα ενημερώνουν την Αρχή, την κατά περίπτωση αρμόδια αρχή και τον Κεντρικό Συντονιστικό Φορέα. Η Τράπεζα της Ελλάδος και η Επιτροπή Κεφαλαιαγοράς ενημερώνουν ακολούθως τις αντίστοιχες Ευρωπαϊκές Εποπτικές Αρχές. </w:t>
      </w:r>
    </w:p>
    <w:p>
      <w:pPr>
        <w:pStyle w:val="MainText"/>
        <w:spacing w:before="120" w:after="0"/>
        <w:rPr>
          <w:lang w:val="el" w:eastAsia="el"/>
        </w:rPr>
      </w:pPr>
      <w:r>
        <w:rPr>
          <w:b/>
          <w:bCs/>
          <w:lang w:val="el" w:eastAsia="el"/>
        </w:rPr>
        <w:t>5.</w:t>
      </w:r>
      <w:r>
        <w:rPr>
          <w:lang w:val="el" w:eastAsia="el"/>
        </w:rPr>
        <w:t xml:space="preserve"> Πληροφορίες οι οποίες περιλαμβάνονται σε αναφορές ασύνηθων ή ύποπτων συναλλαγών που υποβάλλονται στην Αρχή από τα υπόχρεα πρόσωπα και αφορούν κεφάλαια που αποτελούν προϊόντα εγκληματικής δραστηριότητας ή σχετίζονται με τη χρηματοδότηση της τρομοκρατίας, επιτρέπεται να ανταλλάσσονται εντός του ομίλου, εκτός αν δοθούν διαφορετικές οδηγίες από την Αρχή. </w:t>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 - μέλος της Ευρωπαϊκής Ένωσης, ορίζουν ένα κεντρικό σημείο επαφής στην Ελλάδα, για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σ΄ αυτήν ύστερα από σχετικό αίτημα.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Ποινικές κυρώσεις (άρθρο 58 παρ. 1 της Οδηγίας 2015/849) </w:t>
      </w:r>
    </w:p>
    <w:p>
      <w:pPr>
        <w:pStyle w:val="MainText"/>
        <w:spacing w:before="120" w:after="0"/>
        <w:rPr>
          <w:lang w:val="el" w:eastAsia="el"/>
        </w:rPr>
      </w:pPr>
      <w:r>
        <w:rPr>
          <w:b/>
          <w:bCs/>
          <w:lang w:val="el" w:eastAsia="el"/>
        </w:rPr>
        <w:t>1.</w:t>
      </w:r>
      <w:r>
        <w:rPr>
          <w:lang w:val="el" w:eastAsia="el"/>
        </w:rPr>
        <w:t xml:space="preserve"> α) Με κάθειρξη μέχρι δέκα (10) ετών και με χρηματική ποινή από είκοσι χιλιάδες (20.000) ευρώ έως ένα εκατομμύριο (1.000.000) ευρώ τιμωρείται ο υπαίτιος πράξεων νομιμοποίησης εσόδων από εγκληματικές δραστηριότητες.</w:t>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περίπτωσης α΄ τιμωρείται με κάθειρξη και με χρηματική ποινή από τριάντα χιλιάδες (30.000) ευρώ έως ένα εκατομμύριο πεντακόσιες χιλιάδες (1.500.000) ευρώ, αν έδρασε ως υπάλληλος υπόχρεου νομικού προσώπου ή αν το βασικό αδίκημα περιλαμβάνεται στα αδικήματα των περιπτώσεων γ΄ και ε΄ του άρθρου 4, ακόμη και αν για αυτά προβλέπεται ποινή φυλάκισης.</w:t>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περίπτωσης α΄ τιμωρείται με κάθειρξη τουλάχιστον δέκα (10) ετών και με χρηματική ποινή από πενήντα χιλιάδες (50.000) ευρώ έως δύο εκατομμύρια (2.000.000) ευρώ, αν ασκεί τέτοιου είδους δραστηριότητες κατ επάγγελμα ή κατά συνήθεια ή είναι υπότροπος ή έδρασε για λογαριασμό, προς όφελος ή εντός των πλαισίων εγκληματικής ή τρομοκρατικής οργάνωσης ή ομάδας.</w:t>
      </w:r>
    </w:p>
    <w:p>
      <w:pPr>
        <w:pStyle w:val="StructureList1"/>
        <w:spacing w:before="120" w:after="0"/>
        <w:rPr>
          <w:lang w:val="el" w:eastAsia="el"/>
        </w:rPr>
      </w:pPr>
      <w:r>
        <w:rPr>
          <w:lang w:val="el" w:eastAsia="el"/>
        </w:rPr>
        <w:t>δ)</w:t>
      </w:r>
      <w:r>
        <w:rPr>
          <w:lang w:val="en" w:eastAsia="en"/>
        </w:rPr>
        <w:tab/>
      </w:r>
      <w:r>
        <w:rPr>
          <w:lang w:val="el" w:eastAsia="el"/>
        </w:rPr>
        <w:t>Με φυλάκιση μέχρι δύο (2) ετών τιμωρείται ο υπάλληλος του υπόχρεου νομικού προσώπου ή όποιο άλλο υπόχρεο προς αναφορά ύποπτων συναλλαγών πρόσωπο παραλείπει από πρόθεση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συμμέτοχων, για τις πράξεις των περιπτώσεων α΄, β΄ και γ΄ ,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w:t>
      </w:r>
    </w:p>
    <w:p>
      <w:pPr>
        <w:pStyle w:val="StructureList1"/>
        <w:spacing w:before="120" w:after="0"/>
        <w:rPr>
          <w:lang w:val="el" w:eastAsia="el"/>
        </w:rPr>
      </w:pPr>
      <w:r>
        <w:rPr>
          <w:lang w:val="el" w:eastAsia="el"/>
        </w:rPr>
        <w:t>στ)</w:t>
      </w:r>
      <w:r>
        <w:rPr>
          <w:lang w:val="en" w:eastAsia="en"/>
        </w:rPr>
        <w:tab/>
      </w:r>
      <w:r>
        <w:rPr>
          <w:lang w:val="el" w:eastAsia="el"/>
        </w:rPr>
        <w:t>Αν η προβλεπόμενη ποινή για βασικό αδίκημα είναι φυλάκιση, ο υπαίτιος αυτού τιμωρείται για το αδίκημα της νομιμοποίησης εσόδων με φυλάκιση τουλάχιστον ενός (1) έτους και με χρηματική ποινή από δέκα χιλιάδες (10.000) ευρώ έως πεντακόσιες χιλιάδες (500.000) ευρώ. Με την ίδια ποινή τιμωρείται ο υπαίτιος του εγκλήματος της νομιμοποίησης εσόδων, που δεν είναι συμμέτοχος στη διάπραξη του βασικού αδικήματος, εφόσον είναι συγγενής εξ αίματος ή εξ αγχιστείας σε ευθεία γραμμή ή εκ πλαγίου μέχρι και του β΄ βαθμού ή σύζυγος, θετός γονέας ή θετό τέκνο του υπαιτίου του βασικού αδικήματος.</w:t>
      </w:r>
    </w:p>
    <w:p>
      <w:pPr>
        <w:pStyle w:val="StructureList1"/>
        <w:spacing w:before="120" w:after="0"/>
        <w:rPr>
          <w:lang w:val="el" w:eastAsia="el"/>
        </w:rPr>
      </w:pPr>
      <w:r>
        <w:rPr>
          <w:lang w:val="el" w:eastAsia="el"/>
        </w:rPr>
        <w:t>ζ)</w:t>
      </w:r>
      <w:r>
        <w:rPr>
          <w:lang w:val="en" w:eastAsia="en"/>
        </w:rPr>
        <w:tab/>
      </w:r>
      <w:r>
        <w:rPr>
          <w:lang w:val="el" w:eastAsia="el"/>
        </w:rPr>
        <w:t>Αν εχώρησε καταδίκη του υπαιτίου για βασικό αδίκημα, η ποινή κατ΄ αυτού ή τρίτου από τους αναφερόμενους στο δεύτερο εδάφιο της περίπτ. στ΄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p>
    <w:p>
      <w:pPr>
        <w:pStyle w:val="StructureList1"/>
        <w:spacing w:before="120" w:after="0"/>
        <w:rPr>
          <w:lang w:val="el" w:eastAsia="el"/>
        </w:rPr>
      </w:pPr>
      <w:r>
        <w:rPr>
          <w:lang w:val="el" w:eastAsia="el"/>
        </w:rPr>
        <w:t>η)</w:t>
      </w:r>
      <w:r>
        <w:rPr>
          <w:lang w:val="en" w:eastAsia="en"/>
        </w:rPr>
        <w:tab/>
      </w:r>
      <w:r>
        <w:rPr>
          <w:lang w:val="el" w:eastAsia="el"/>
        </w:rPr>
        <w:t>Οι περιπτώσεις στ΄ και ζ΄ δεν ισχύουν στις περιστάσεις της περίπτωσης γ΄ και στα βασικά αδικήματα που αναφέρονται στην περίπτωση β΄.</w:t>
      </w:r>
    </w:p>
    <w:p>
      <w:pPr>
        <w:pStyle w:val="StructureList1"/>
        <w:spacing w:before="120" w:after="0"/>
        <w:rPr>
          <w:lang w:val="el" w:eastAsia="el"/>
        </w:rPr>
      </w:pPr>
      <w:r>
        <w:rPr>
          <w:lang w:val="el" w:eastAsia="el"/>
        </w:rPr>
        <w:t>θ)</w:t>
      </w:r>
      <w:r>
        <w:rPr>
          <w:lang w:val="en" w:eastAsia="en"/>
        </w:rPr>
        <w:tab/>
      </w:r>
      <w:r>
        <w:rPr>
          <w:lang w:val="el" w:eastAsia="el"/>
        </w:rPr>
        <w:t>Αν η προβλεπόμενη ποινή για βασικό αδίκημα είναι φυλάκιση και τα έσοδα που έχουν προκύψει δεν υπερβαίνουν το ποσό των δεκαπέντε χιλιάδων (15.000) ευρώ, η ποινή για το αδίκημα της νομιμοποίησης εσόδων από εγκληματικές δραστηριότητες είναι φυλάκιση έως δύο (2) ετών. Αν στην περίπτωση αυτή συντρέχουν στο πρόσωπο του υπαιτίου του βασικού αδικήματος ή τρίτου οι περιστάσεις της περίπτωσης γ΄, η ποινή για το αδίκημα της νομιμοποίησης εσόδων είναι φυλάκιση τουλάχιστον δύο (2) ετών και χρηματική ποινή από τριάντα χιλιάδες (30.000) ευρώ έως πεντακόσιες χιλιάδες (500.000) ευρώ.</w:t>
      </w:r>
    </w:p>
    <w:p>
      <w:pPr>
        <w:pStyle w:val="StructureList1"/>
        <w:spacing w:before="120" w:after="0"/>
        <w:rPr>
          <w:lang w:val="el" w:eastAsia="el"/>
        </w:rPr>
      </w:pPr>
      <w:r>
        <w:rPr>
          <w:lang w:val="el" w:eastAsia="el"/>
        </w:rPr>
        <w:t>ι)</w:t>
      </w:r>
      <w:r>
        <w:rPr>
          <w:lang w:val="en" w:eastAsia="en"/>
        </w:rPr>
        <w:tab/>
      </w:r>
      <w:r>
        <w:rPr>
          <w:lang w:val="el" w:eastAsia="el"/>
        </w:rPr>
        <w:t>Στα εγκλήματα νομιμοποίησης εσόδων από εγκληματικές δραστηριότητες, για την εφαρμογή των άρθρων 88 έως 93 ΠΚ, λαμβάνονται υπόψη και οι αμετάκλητες καταδικαστικές αποφάσεις που εκδίδουν δικαστήρια άλλων κρατών μερών της Σύμβασης του Συμβουλίου της Ευρώπης του έτους 2005 για τη νομιμοποίηση, την ανίχνευση, την κατάσχεση και τη δήμευση εσόδων από εγκληματικές δραστηριότητες και τη χρηματοδότηση της τρομοκρατίας (Ν. 4478/2017, Α΄ 91).</w:t>
      </w:r>
    </w:p>
    <w:p>
      <w:pPr>
        <w:pStyle w:val="MainText"/>
        <w:spacing w:before="120" w:after="0"/>
        <w:rPr>
          <w:lang w:val="el" w:eastAsia="el"/>
        </w:rPr>
      </w:pPr>
      <w:r>
        <w:rPr>
          <w:b/>
          <w:bCs/>
          <w:lang w:val="el" w:eastAsia="el"/>
        </w:rPr>
        <w:t>2.</w:t>
      </w:r>
      <w:r>
        <w:rPr>
          <w:lang w:val="el" w:eastAsia="el"/>
        </w:rPr>
        <w:t xml:space="preserve"> Η άσκηση ποινικής δίωξης και η καταδίκη για νομιμοποίηση εσόδων από εγκληματικές δραστηριότητες δεν προϋποθέτει ποινική δίωξη ή καταδίκη του υπαιτίου για το βασικό αδίκημα.</w:t>
      </w:r>
    </w:p>
    <w:p>
      <w:pPr>
        <w:pStyle w:val="MainText"/>
        <w:spacing w:before="120" w:after="0"/>
        <w:rPr>
          <w:lang w:val="el" w:eastAsia="el"/>
        </w:rPr>
      </w:pPr>
      <w:r>
        <w:rPr>
          <w:b/>
          <w:bCs/>
          <w:lang w:val="el" w:eastAsia="el"/>
        </w:rPr>
        <w:t>3.</w:t>
      </w:r>
      <w:r>
        <w:rPr>
          <w:lang w:val="el" w:eastAsia="el"/>
        </w:rPr>
        <w:t xml:space="preserve"> Στις περιπτώσεις εξάλειψης του αξιόποινου,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αίρεται το αξιόποινο ή κηρύσσεται αθώος ή απαλλάσσεται αντίστοιχα ο υπαίτιος από την ποινή και για τις συναφείς πράξεις νομιμοποίησης εσόδων. Η διάταξη αυτή δεν εφαρμόζεται όταν το αξιόποινο εξαλείφθηκε λόγω παραγραφής.</w:t>
      </w:r>
    </w:p>
    <w:p>
      <w:pPr>
        <w:pStyle w:val="MainText"/>
        <w:spacing w:before="120" w:after="0"/>
        <w:rPr>
          <w:lang w:val="el" w:eastAsia="el"/>
        </w:rPr>
      </w:pPr>
      <w:r>
        <w:rPr>
          <w:b/>
          <w:bCs/>
          <w:lang w:val="el" w:eastAsia="el"/>
        </w:rPr>
        <w:t>4.</w:t>
      </w:r>
      <w:r>
        <w:rPr>
          <w:lang w:val="el" w:eastAsia="el"/>
        </w:rPr>
        <w:t xml:space="preserve"> Όπου στο παρόν άρθρο προβλέπεται αθροιστικά ποινή στερητική της ελευθερίας και χρηματική ποινή, δεν εφαρμόζεται η περίπτωση ε΄ του άρθρου 83 ΠΚ.</w:t>
      </w:r>
    </w:p>
    <w:p>
      <w:pPr>
        <w:pStyle w:val="MainText"/>
        <w:spacing w:before="120" w:after="0"/>
        <w:rPr>
          <w:lang w:val="el" w:eastAsia="el"/>
        </w:rPr>
      </w:pPr>
      <w:r>
        <w:rPr>
          <w:b/>
          <w:bCs/>
          <w:lang w:val="el" w:eastAsia="el"/>
        </w:rPr>
        <w:t>5.</w:t>
      </w:r>
      <w:r>
        <w:rPr>
          <w:lang w:val="el" w:eastAsia="el"/>
        </w:rPr>
        <w:t xml:space="preserve"> Τα κακουργήματα που προβλέπονται στο άρθρο 2 δικάζονται από το Τριμελές Εφετείο Κακουργημάτων.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Δήμευση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από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παράγραφο 2 του άρθρου 310 και του τελευταίου εδαφίου του άρθρου 373 του Κώδικα Ποινικής Δικονομίας (ΚΠΔ),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 χρόνο κτήσης τους. Οι διατάξεις της παρούσας παραγράφου ισχύουν και σε περίπτωση απόπειρας των ανωτέρω αδικημάτων.</w:t>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παράγραφο 1 δεν υπάρχει πλέον, δεν έχει βρεθεί ή δεν είναι δυνατόν να κατασχεθεί, κατάσχονται και δημεύονται με τους όρους της παραγράφου 1 περιουσιακά στοιχεία ίσης αξίας προς εκείνη της προαναφερθείσας περιουσίας ή του προϊόντος κατά το χρόνο της καταδικαστικής απόφασης, όπως την προσδιορίζει το δικαστήριο.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w:t>
      </w:r>
    </w:p>
    <w:p>
      <w:pPr>
        <w:spacing w:before="240" w:after="240"/>
        <w:rPr>
          <w:lang w:val="el" w:eastAsia="el"/>
        </w:rPr>
      </w:pPr>
      <w:r>
        <w:rPr>
          <w:lang w:val="el" w:eastAsia="el"/>
        </w:rPr>
        <w:t>Η δήμευση που επιβάλλεται με τους όρους της παραγράφου 1 και της παρούσας παραγράφου δεν θίγει προγενέστερα δικαιώματα που έχουν αποκτήσει καλόπιστοι τρίτοι επί 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οριστικώς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492 και η παράγραφος 3 του άρθρου 504 ΚΠΔ εφαρμόζονται αναλόγως και στην προκειμένη περίπτωση.</w:t>
      </w:r>
    </w:p>
    <w:p>
      <w:pPr>
        <w:pStyle w:val="MainText"/>
        <w:spacing w:before="120" w:after="0"/>
        <w:rPr>
          <w:lang w:val="el" w:eastAsia="el"/>
        </w:rPr>
      </w:pPr>
      <w:r>
        <w:rPr>
          <w:b/>
          <w:bCs/>
          <w:lang w:val="el" w:eastAsia="el"/>
        </w:rPr>
        <w:t>4.</w:t>
      </w:r>
      <w:r>
        <w:rPr>
          <w:lang w:val="el" w:eastAsia="el"/>
        </w:rPr>
        <w:t xml:space="preserve"> Η παράγραφος 2 του άρθρου 310 και το τελευταίο εδάφιο του άρθρου 373 ΚΠΔ εφαρμόζονται αναλόγως και αν έχει διαταχθεί δήμευση κατά της περιουσίας τρίτου, ο οποίος δεν συμμετείχε στη δίκη ούτε κλητεύθηκε σε αυτήν.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παράγραφος 1 εφαρμόζεται στα παρακάτω ποινικά αδικήματα, εφόσον αυτά αμέσως ή εμμέσως μπορούν να οδηγήσουν σε οικονομικό όφελος:</w:t>
      </w:r>
    </w:p>
    <w:p>
      <w:pPr>
        <w:pStyle w:val="StructureList1"/>
        <w:spacing w:before="120" w:after="0"/>
        <w:rPr>
          <w:lang w:val="el" w:eastAsia="el"/>
        </w:rPr>
      </w:pPr>
      <w:r>
        <w:rPr>
          <w:lang w:val="el" w:eastAsia="el"/>
        </w:rPr>
        <w:t>α)</w:t>
      </w:r>
      <w:r>
        <w:rPr>
          <w:lang w:val="en" w:eastAsia="en"/>
        </w:rPr>
        <w:tab/>
      </w:r>
      <w:r>
        <w:rPr>
          <w:lang w:val="el" w:eastAsia="el"/>
        </w:rPr>
        <w:t>Σε εκείνα των περιπτώσεων α΄ έως και θ΄ του άρθρου 4,</w:t>
      </w:r>
    </w:p>
    <w:p>
      <w:pPr>
        <w:pStyle w:val="StructureList1"/>
        <w:spacing w:before="120" w:after="0"/>
        <w:rPr>
          <w:lang w:val="el" w:eastAsia="el"/>
        </w:rPr>
      </w:pPr>
      <w:r>
        <w:rPr>
          <w:lang w:val="el" w:eastAsia="el"/>
        </w:rPr>
        <w:t>β)</w:t>
      </w:r>
      <w:r>
        <w:rPr>
          <w:lang w:val="en" w:eastAsia="en"/>
        </w:rPr>
        <w:tab/>
      </w:r>
      <w:r>
        <w:rPr>
          <w:lang w:val="el" w:eastAsia="el"/>
        </w:rPr>
        <w:t>σε εκείνα των άρθρων 207 έως 208Α ΠΚ,</w:t>
      </w:r>
    </w:p>
    <w:p>
      <w:pPr>
        <w:pStyle w:val="StructureList1"/>
        <w:spacing w:before="120" w:after="0"/>
        <w:rPr>
          <w:lang w:val="el" w:eastAsia="el"/>
        </w:rPr>
      </w:pPr>
      <w:r>
        <w:rPr>
          <w:lang w:val="el" w:eastAsia="el"/>
        </w:rPr>
        <w:t>γ)</w:t>
      </w:r>
      <w:r>
        <w:rPr>
          <w:lang w:val="en" w:eastAsia="en"/>
        </w:rPr>
        <w:tab/>
      </w:r>
      <w:r>
        <w:rPr>
          <w:lang w:val="el" w:eastAsia="el"/>
        </w:rPr>
        <w:t>σε εκείνα των άρθρων 216, 372, 374 έως 375 και 394 ΠΚ, εφόσον αφορούν μέσα πληρωμής πλην των μετρητών,</w:t>
      </w:r>
    </w:p>
    <w:p>
      <w:pPr>
        <w:pStyle w:val="StructureList1"/>
        <w:spacing w:before="120" w:after="0"/>
        <w:rPr>
          <w:lang w:val="el" w:eastAsia="el"/>
        </w:rPr>
      </w:pPr>
      <w:r>
        <w:rPr>
          <w:lang w:val="el" w:eastAsia="el"/>
        </w:rPr>
        <w:t>δ)</w:t>
      </w:r>
      <w:r>
        <w:rPr>
          <w:lang w:val="en" w:eastAsia="en"/>
        </w:rPr>
        <w:tab/>
      </w:r>
      <w:r>
        <w:rPr>
          <w:lang w:val="el" w:eastAsia="el"/>
        </w:rPr>
        <w:t>σε εκείνα των άρθρων 348Α έως 348Γ, 349 παράγραφοι 1-2 ΠΚ,</w:t>
      </w:r>
    </w:p>
    <w:p>
      <w:pPr>
        <w:pStyle w:val="StructureList1"/>
        <w:spacing w:before="120" w:after="0"/>
        <w:rPr>
          <w:lang w:val="el" w:eastAsia="el"/>
        </w:rPr>
      </w:pPr>
      <w:r>
        <w:rPr>
          <w:lang w:val="el" w:eastAsia="el"/>
        </w:rPr>
        <w:t>ε)</w:t>
      </w:r>
      <w:r>
        <w:rPr>
          <w:lang w:val="en" w:eastAsia="en"/>
        </w:rPr>
        <w:tab/>
      </w:r>
      <w:r>
        <w:rPr>
          <w:lang w:val="el" w:eastAsia="el"/>
        </w:rPr>
        <w:t>σε εκείνα των άρθρων 292Β παρ. 2-3 και 381Α παράγραφοι 2-3 ΠΚ.</w:t>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Δέσμευση και απαγόρευση εκποίησης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μπορεί ο ανακριτής, με σύμφωνη γνώμη του εισαγγελέα, να απαγορεύσει την κίνηση κάθε είδους λογαριασμών, τίτλων ή χρηματοπιστωτικών προϊόντων που τηρούνται σε πιστωτικό ίδρυμα ή χρηματοπιστωτικό οργανισμό, καθώς και το άνοιγμα των θυρίδων θησαυροφυλακίου του κατηγορουμένου, έστω και κοινών οποιουδήποτε είδους με άλλο πρόσωπο, εφόσον υπάρχουν βάσιμες υπόνοιες ότι οι λογαριασμοί, οι τίτλοι, τα χρηματοπιστωτικά προϊόντα ή οι θυρίδες περιέχουν χρήματα ή πράγματα που προέρχονται από τέλεση των αδικημάτων του άρθρου 2. Το ίδιο ισχύει και όταν διεξάγεται ανάκριση για βασικό αδίκημα και υπάρχουν βάσιμες υπόνοιες ότι οι λογαριασμοί, οι τίτλοι, τα χρηματοπιστωτικά προϊόντα ή οι θυρίδες περιέχουν χρήματα ή πράγματα που προέρχονται από την τέλεση του ανωτέρω αδικήματος ή που υπόκεινται σε δήμευση, σύμφωνα με το άρθρο 40. Σε περίπτωση διεξαγωγής προκαταρκτικής εξέτασης ή προανάκρισης, η απαγόρευση της κίνησης των λογαριασμών, των τίτλων, των χρηματοπιστωτικών προϊόντων ή του ανοίγματος των θυρίδων μπορεί να διαταχθεί από το δικαστικό συμβούλιο.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 χρηματοπιστωτικό οργανισμό και επιδίδεται στον κατηγορούμενο. Σε περίπτωση κοινών λογαριασμών, τίτλων ή χρηματοπιστωτικών προϊόντων επιδίδεται και στον συνδικαιούχο, σε περίπτωση δε θυρίδων και στον πληρεξούσιο του μισθωτή.</w:t>
      </w:r>
    </w:p>
    <w:p>
      <w:pPr>
        <w:pStyle w:val="MainText"/>
        <w:spacing w:before="120" w:after="0"/>
        <w:rPr>
          <w:lang w:val="el" w:eastAsia="el"/>
        </w:rPr>
      </w:pPr>
      <w:r>
        <w:rPr>
          <w:b/>
          <w:bCs/>
          <w:lang w:val="el" w:eastAsia="el"/>
        </w:rPr>
        <w:t>2.</w:t>
      </w:r>
      <w:r>
        <w:rPr>
          <w:lang w:val="el" w:eastAsia="el"/>
        </w:rPr>
        <w:t xml:space="preserve"> Η απαγόρευση που προβλέπεται στην παράγραφο 1 ισχύει από τη χρονική στιγμή της αποδεδειγμένης γνωστοποίησης της διάταξης του ανακριτή ή του βουλεύματος στο πιστωτικό ίδρυμα ή στο χρηματοπιστωτικό οργανισμό. Από τότε απαγορεύεται το άνοιγμα της θυρίδας και είναι άκυρη έναντι του Δημοσίου εκταμίευση χρημάτων από το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απαγόρευση δεν θίγει προγενέστερα δικαιώματα που έχουν αποκτήσει καλόπιστοι τρίτοι επί του λογαριασμού, των τίτλων ή των χρηματοπιστωτικών προϊόντων.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παραγράφου1, μπορεί ο ανακριτής ή το δικαστικό συμβούλιο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καταχώρηση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Κάθε δικαιοπραξία, υποθήκη, κατάσχεση ή άλλη πράξη που εγγράφεται στα βιβλία των ανωτέρω αρμόδιων υπηρεσιών μετά την εγγραφή της ανωτέρω σημείωσης είναι άκυρη έναντι του Δημοσίου. Με απόφαση του Υπουργού Δικαιοσύνης, Διαφάνειας και Ανθρωπίνων Δικαιωμάτων ρυθμίζεται κάθε θέμα σχετικό με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Ο κατηγορούμενος, ο ύποπτος τέλεσης αξιόποινης πράξης των αδικημάτων των άρθρων 2 και 4 και ο τρίτος δικαιούνται να ζητήσουν την άρση της διάταξης του ανακριτή ή την ανάκληση του βουλεύματος, με αίτηση που απευθύνεται προς το αρμόδιο δικαστικό συμβούλιο και κατατίθεται στον ανακριτή ή τον εισαγγελέα, μέσα σε είκοσι (20) μέρες από την επίδοση σε αυτόν της διάταξης ή του βουλεύματος. Στη σύνθεση του συμβουλίου δεν μετέχει ο ανακριτής. Η υποβολή της αίτησης και η προθεσμία προς τούτο δεν αναστέλλουν την εκτέλεση της διάταξης ή του βουλεύματος. Η διάταξη ή το βούλευμα ανακαλείται αν προκύψουν νέα στοιχεία.</w:t>
      </w:r>
    </w:p>
    <w:p>
      <w:pPr>
        <w:pStyle w:val="MainText"/>
        <w:spacing w:before="120" w:after="0"/>
        <w:rPr>
          <w:lang w:val="el" w:eastAsia="el"/>
        </w:rPr>
      </w:pPr>
      <w:r>
        <w:rPr>
          <w:b/>
          <w:bCs/>
          <w:lang w:val="el" w:eastAsia="el"/>
        </w:rPr>
        <w:t>5.</w:t>
      </w:r>
      <w:r>
        <w:rPr>
          <w:lang w:val="el" w:eastAsia="el"/>
        </w:rPr>
        <w:t xml:space="preserve"> Όταν διεξάγεται έρευνα από την Αρχή, η απαγόρευση της κίνησης λογαριασμών, τίτλων και χρηματοπιστωτικών προϊόντων, του ανοίγματος θυρίδων και της μεταβίβασης ή εκποίησης οποιουδήποτε περιουσιακού στοιχείου μπορεί να διαταχθεί σε επείγουσες περιπτώσεις από τον Πρόεδρο της Αρχής, με τους όρους και τις προϋποθέσεις που προβλέπονται στις παραγράφους 1 έως 3. Τα σχετικά, με τη δέσμευση, στοιχεία και αντίγραφο του φακέλου της υπόθεσης διαβιβάζονται στον αρμόδιο Εισαγγελέα, χωρίς αυτό να παρακωλύει τη συνέχιση της έρευνας από την Αρχή. Τα πρόσωπα που βλάπτονται από την παραπάνω δέσμευση έχουν τα δικαιώματα που προβλέπονται στην παράγραφο 4. </w:t>
      </w:r>
    </w:p>
    <w:p>
      <w:pPr>
        <w:pStyle w:val="MainText"/>
        <w:spacing w:before="120" w:after="0"/>
        <w:rPr>
          <w:lang w:val="el" w:eastAsia="el"/>
        </w:rPr>
      </w:pPr>
      <w:r>
        <w:rPr>
          <w:b/>
          <w:bCs/>
          <w:lang w:val="el" w:eastAsia="el"/>
        </w:rPr>
        <w:t>6.</w:t>
      </w:r>
      <w:r>
        <w:rPr>
          <w:lang w:val="el" w:eastAsia="el"/>
        </w:rPr>
        <w:t xml:space="preserve"> Τα ενδιαφερόμενα πρόσωπα, με αίτησή τους που απευθύνεται στην αρχή που αποφάσισε τη δέσμευση ή με την προσφυγή που προβλέπεται στις παραγράφους 4 και 5, μπορούν να ζητούν την αποδέσμευση συγκεκριμένων ποσών, αναγκαίων για την κάλυψη των γενικότερων δαπανών διαβίωσης, συντήρησης ή λειτουργίας τους, των εξόδων για τη νομική τους υποστήριξη και των βασικών εξόδων για τη διατήρηση των δεσμευμένων ως άνω στοιχείων.</w:t>
      </w:r>
    </w:p>
    <w:p>
      <w:pPr>
        <w:pStyle w:val="MainText"/>
        <w:spacing w:before="120" w:after="0"/>
        <w:rPr>
          <w:lang w:val="el" w:eastAsia="el"/>
        </w:rPr>
      </w:pPr>
      <w:r>
        <w:rPr>
          <w:b/>
          <w:bCs/>
          <w:lang w:val="el" w:eastAsia="el"/>
        </w:rPr>
        <w:t>7.</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Ευθύνη νομικών προσώπων και οντοτήτων (άρθρα 58 και 59 της Οδηγίας 2015/849) </w:t>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 (1) μήνα έως δύο (2) έτη, ανάκληση ή αναστολή της άδειας λειτουργίας ή απαγόρευση άσκησης της επιχειρηματικής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επιδοτήσεις και διαφημίσεις του Δημοσίου ή των νομικών προσώπων του δημόσιου τομέα.</w:t>
      </w:r>
    </w:p>
    <w:p>
      <w:pPr>
        <w:spacing w:before="240" w:after="240"/>
        <w:rPr>
          <w:lang w:val="el" w:eastAsia="el"/>
        </w:rPr>
      </w:pPr>
      <w:r>
        <w:rPr>
          <w:lang w:val="el" w:eastAsia="el"/>
        </w:rPr>
        <w:t>Το διοικητικό πρόστιμο της περίπτωσης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παράγραφο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περιπτώσεις β΄, γ΄ και δ΄ της παραγράφου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παραγράφους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παράγραφοι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παραγράφων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w:t>
      </w:r>
      <w:r>
        <w:rPr>
          <w:lang w:val="el" w:eastAsia="el"/>
        </w:rPr>
        <w:softHyphen/>
        <w:t>τητας, σύμφωνα με την έννοια των παραγράφων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παραγράφους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Η ευθύνη των νομικών προσώπων ή οντοτήτων για τα κακουργήματα της παρ. 6 του άρθρου 187Α ΠΚ καθορίζεται στο άρθρο 41 του Ν. 3251/2004 (Α΄93). Ειδικές διατάξεις, με τις οποίες καθιερώνεται ευθύνη νομικών προσώπων για άλλα βασικά αδικήματα, διατηρούνται σε ισχύ.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την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 </w:t>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με γνώση της αγγλικής γλώσσας, ο οποίος επιλέγεται μαζί με τον αναπληρωτή του με απόφαση του Ανώτατου Δικαστικού Συμβουλίου. Ο Πρόεδρος της Αρχής είναι πλήρους απασχόλησης. Ο διορισμός του Προέδρου και του αναπληρωτή του γίνεται με την απόφαση της παραγράφου 6 μέσα σε προθεσμία δεκαπέντε (15) ημερών από την κοινοποίηση στον Υπουργό Δικαιοσύνης, Διαφάνειας και Ανθρωπίνων Δικαιωμάτων της απόφασης του Ανώτατου Δικαστικού Συμβουλίου.</w:t>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παράγραφο 5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 και το Υπουργείο Οικονομικών.</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καθώς και στο σύστημα «Τειρεσίας». Όπου λειτουργούν ηλεκτρονικά συστήματα δημόσιας αρχής ή οργανισμού, η πρόσβαση γίνεται μέσω της απευθείας σύνδεσης με αυτά. </w:t>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παραγράφου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παραγράφου 6 του άρθρου 187Α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στο άρθρο 187Α ΠΚ. Ειδικότερα, στην Αρχή υποβάλλονται τα εξής:</w:t>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παραγράφου 1 σε βάρος των προσδιοριζόμενων ως σχετιζόμενων με την τρομοκρατία προσώπων που διαμένουν ή εδρεύουν ή κατέχουν περιουσία, σύμφωνα με την έννοια της παραγράφου 6 του άρθρου 187Α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Άρθρο 56.</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9" w:history="1">
        <w:r>
          <w:rPr>
            <w:rStyle w:val="Hyperlink"/>
            <w:color w:val="0000EE"/>
            <w:u w:color="0000EE"/>
            <w:lang w:val="el" w:eastAsia="el"/>
          </w:rPr>
          <w:t>Τροποποίηση 4701/2020, Άρθρο 59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9" w:history="1">
        <w:r>
          <w:rPr>
            <w:rStyle w:val="Hyperlink"/>
            <w:color w:val="0000EE"/>
            <w:u w:color="0000EE"/>
            <w:lang w:val="el" w:eastAsia="el"/>
          </w:rPr>
          <w:t>Τροποποίηση 4701/2020, Άρθρο 59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2" w:history="1">
        <w:r>
          <w:rPr>
            <w:rStyle w:val="Hyperlink"/>
            <w:color w:val="0000EE"/>
            <w:u w:color="0000EE"/>
            <w:lang w:val="el" w:eastAsia="el"/>
          </w:rPr>
          <w:t>Τροποποίηση 4607/2019, Άρθρο 62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9" w:history="1">
        <w:r>
          <w:rPr>
            <w:rStyle w:val="Hyperlink"/>
            <w:color w:val="0000EE"/>
            <w:u w:color="0000EE"/>
            <w:lang w:val="el" w:eastAsia="el"/>
          </w:rPr>
          <w:t>Τροποποίηση 4701/2020, Άρθρο 59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8" w:history="1">
        <w:r>
          <w:rPr>
            <w:rStyle w:val="Hyperlink"/>
            <w:color w:val="0000EE"/>
            <w:u w:color="0000EE"/>
            <w:lang w:val="el" w:eastAsia="el"/>
          </w:rPr>
          <w:t>Τροποποίηση 4583/2018, Άρθρο 78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8" w:history="1">
        <w:r>
          <w:rPr>
            <w:rStyle w:val="Hyperlink"/>
            <w:color w:val="0000EE"/>
            <w:u w:color="0000EE"/>
            <w:lang w:val="el" w:eastAsia="el"/>
          </w:rPr>
          <w:t>Τροποποίηση 4704/2020, Άρθρο 18</w:t>
        </w:r>
      </w:hyperlink>
      <w:r>
        <w:rPr>
          <w:lang w:val="el" w:eastAsia="el"/>
        </w:rPr>
        <w:t xml:space="preserve">; </w:t>
      </w:r>
      <w:hyperlink r:id="rId7" w:anchor="art_62" w:history="1">
        <w:r>
          <w:rPr>
            <w:rStyle w:val="Hyperlink"/>
            <w:color w:val="0000EE"/>
            <w:u w:color="0000EE"/>
            <w:lang w:val="el" w:eastAsia="el"/>
          </w:rPr>
          <w:t>Τροποποίηση 4607/2019, Άρθρο 62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3" w:history="1">
        <w:r>
          <w:rPr>
            <w:rStyle w:val="Hyperlink"/>
            <w:color w:val="0000EE"/>
            <w:u w:color="0000EE"/>
            <w:lang w:val="el" w:eastAsia="el"/>
          </w:rPr>
          <w:t>Τροποποίηση 4646/2019, Άρθρο 63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3" w:history="1">
        <w:r>
          <w:rPr>
            <w:rStyle w:val="Hyperlink"/>
            <w:color w:val="0000EE"/>
            <w:u w:color="0000EE"/>
            <w:lang w:val="el" w:eastAsia="el"/>
          </w:rPr>
          <w:t>Τροποποίηση 4646/2019, Άρθρο 63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3" w:history="1">
        <w:r>
          <w:rPr>
            <w:rStyle w:val="Hyperlink"/>
            <w:color w:val="0000EE"/>
            <w:u w:color="0000EE"/>
            <w:lang w:val="el" w:eastAsia="el"/>
          </w:rPr>
          <w:t>Προσθήκη 4646/2019, Άρθρο 63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4664/2020,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Τροποποίηση 4664/2020,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Τροποποίηση 4664/2020, Άρθρο 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Τροποποίηση 4664/2020, Άρθρο 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0/06/30/4701" TargetMode="External" /><Relationship Id="rId10" Type="http://schemas.openxmlformats.org/officeDocument/2006/relationships/hyperlink" Target="http://data.aade.gr/eli/pri/law/2019/12/12/4646" TargetMode="External" /><Relationship Id="rId11" Type="http://schemas.openxmlformats.org/officeDocument/2006/relationships/hyperlink" Target="http://data.aade.gr/eli/pri/law/2020/02/14/4664" TargetMode="External" /><Relationship Id="rId12" Type="http://schemas.openxmlformats.org/officeDocument/2006/relationships/hyperlink" Target="http://data.aade.gr/eli/pri/law/2020/02/14/4664" TargetMode="External" /><Relationship Id="rId13" Type="http://schemas.openxmlformats.org/officeDocument/2006/relationships/hyperlink" Target="http://data.aade.gr/eli/pri/law/2020/02/14/4664" TargetMode="External" /><Relationship Id="rId14" Type="http://schemas.openxmlformats.org/officeDocument/2006/relationships/hyperlink" Target="http://data.aade.gr/eli/pri/law/2020/02/14/4664" TargetMode="External" /><Relationship Id="rId15" Type="http://schemas.openxmlformats.org/officeDocument/2006/relationships/hyperlink" Target="http://data.aade.gr/eli/pri/law/2020/02/14/4664" TargetMode="External" /><Relationship Id="rId2" Type="http://schemas.openxmlformats.org/officeDocument/2006/relationships/hyperlink" Target="http://data.aade.gr/eli/pri/law/2020/06/30/4701" TargetMode="External" /><Relationship Id="rId3" Type="http://schemas.openxmlformats.org/officeDocument/2006/relationships/hyperlink" Target="http://data.aade.gr/eli/pri/law/2019/04/24/4607" TargetMode="External" /><Relationship Id="rId4" Type="http://schemas.openxmlformats.org/officeDocument/2006/relationships/hyperlink" Target="http://data.aade.gr/eli/pri/law/2020/06/30/4701" TargetMode="External" /><Relationship Id="rId5" Type="http://schemas.openxmlformats.org/officeDocument/2006/relationships/hyperlink" Target="http://data.aade.gr/eli/pri/law/2018/12/18/4583" TargetMode="External" /><Relationship Id="rId6" Type="http://schemas.openxmlformats.org/officeDocument/2006/relationships/hyperlink" Target="http://data.aade.gr/eli/pri/law/2020/07/14/4704" TargetMode="External" /><Relationship Id="rId7" Type="http://schemas.openxmlformats.org/officeDocument/2006/relationships/hyperlink" Target="http://data.aade.gr/eli/pri/law/2019/04/24/4607" TargetMode="External" /><Relationship Id="rId8" Type="http://schemas.openxmlformats.org/officeDocument/2006/relationships/hyperlink" Target="http://data.aade.gr/eli/pri/law/2019/12/12/4646" TargetMode="External" /><Relationship Id="rId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