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Σκοπός του παρόντος είναι η πρόληψη και καταστολή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αυτές ενέχουν.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Νομιμοποίηση εσόδων από εγκληματικές δραστηριότητες (ξέπλυμα χρήματος) συνιστούν οι εξής πράξεις: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απόκρυψη ή συγκάλυψη της αλήθειας, όσον αφορά τη φύση, την προέλευση, τη διάθεση, τη διακίνηση ή τη χρήση περιουσίας ή τον τόπο όπου αυτή βρίσκεται ή την κυριότητα επ’ αυτής, ή τα σχετικά με αυτή δικαιώματα, εν γνώσει του γεγονότος ότι η περιουσία αυτή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τον χρόνο κτήσης, ή κατά τον χρόνο περιέλευσης της κατοχής ή της χρήσης, του γεγονότος ότι η περιουσία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Δεν απαιτείται να είναι αξιόποινες, σύμφωνα με τη νομοθεσία του ξένου κράτους οι δραστηριότητες που, αν είχαν λάβει χώρα στην Ελλάδα, θα συνιστούσαν ένα από τα βασικά αδικήματα των περ. α’, β’, γ’, δ, η’, θ’, ια’, ιγ’, ιθ’ του άρθρου 4 του παρόντος και του άρθρου 323Α περί εμπορίας ανθρώπων του Ποινικού Κώδικα (Π.Κ., 4619/2019, Α’ 95).</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Καταδίκη για τα αδικήματα της παρ. 1 είναι δυνατή όταν αποδεικνύεται ότι η περιουσία προήλθε από συγκεκριμένο βασικό αδίκημα του άρθρου 4, χωρίς να απαιτείται η στοιχειοθέτηση με κάθε λεπτομέρεια όλων των πραγματικών στοιχείων ή περιστάσεων που σχετίζονται με την εν λόγω εγκληματική δραστηριότητα, μεταξύ των οποίων και η ταυτότητα του δράστη.</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Η αρμόδια εθνική Μονάδα των κρατών μελών της ΕΕ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 η οποία έχει συσταθεί κατ’ εφαρμογή του άρθρου 32 της Οδηγίας (EE)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(L 141). Για την Ελλάδα, ως «Μονάδα Χρηματοοικονομικών Πληροφοριών (Μ.Χ.Π.)» νοείται η Α' Μονάδα της Αρχής Καταπολέμησης της Νομιμοποίησης Εσόδων από Εγκληματικές Δραστηριότητες του άρθρου 47 του παρόντος.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«Εικονικά νομίσματα»: Η ψηφιακή αναπαράσταση αξίας που δεν εκδίδεται από κεντρική τράπεζα ή δημόσια αρχή, ούτε έχει την εγγύησή τους, δεν συνδέεται κατ’ ανάγκη με νομίμως κυκλοφορούν νόμισμα και δεν διαθέτει το νομικό καθεστώς νομίσματος ή χρήματος, όμως γίνεται αποδεκτή από φυσικά ή νομικά πρόσωπα ως μέσο συναλλαγής και μπορεί να μεταφέρεται, να αποθηκεύεται ή να διακινείται ηλεκτρονικά.</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25.</w:t>
      </w:r>
      <w:r>
        <w:rPr>
          <w:lang w:val="el" w:eastAsia="el"/>
        </w:rPr>
        <w:t xml:space="preserve"> «Πάροχος υπηρεσιών θεματοφυλακής ψηφιακών πορτοφολιών»: Η οντότητα που παρέχει υπηρεσίες για τη διασφάλιση ιδιωτικών κρυπτογραφικών κλειδιών για λογαριασμό των πελατών της, με στόχο τη διακράτηση, αποθήκευση και μεταβίβαση εικονικών νομισμάτων.</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Για τους σκοπούς του παρόντος, ως «βασικά αδικήματα» νοούνται τα ακόλουθα: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κατά το άρθρο 187 του Ποινικού Κώδικα (ΠΚ, ν. 4619/2019, Α’ 95),</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και η αξιόποινη υποστήριξη και χρηματοδότησή τους κατά τα άρθρα 187Α, 187Β ΠΚ και 32 έως 35 του ν. 4689/2020 (Α’ 103),</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εμπορία επιρροής-μεσάζοντες και η δωροληψία και δωροδοκία στον ιδιωτικό τομέα κατά τα άρθρα 237Α και 396 ΠΚ και η δωροδοκία-δωροληψία για αλλοίωση αποτελέσματος αγώνα κατά το άρθρο 132 του ν. 2725/1999 (Α’ 121),</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ε)</w:t>
      </w:r>
      <w:r>
        <w:rPr>
          <w:lang w:val="en" w:eastAsia="en"/>
        </w:rPr>
        <w:tab/>
      </w:r>
      <w:r>
        <w:rPr>
          <w:lang w:val="el" w:eastAsia="el"/>
        </w:rPr>
        <w:t>τα εγκλήματα κατά των τηλεπικοινωνιών κατά τις παρ. 1 έως 4 του άρθρου 292Α, τα άρθρα 292Β, 292Γ, 292Δ και τις παρ. 1 και 2 του άρθρου 292Ε ΠΚ και η παράνομη πρόσβαση σε σύστημα πληροφοριών ή σε δεδομένα κατά τα άρθρα 370Α, 370Β, 370Γ, τις παρ. 2 και 3 του άρθρου 370Δ και το άρθρο 370Ε ΠΚ,</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στ)</w:t>
      </w:r>
      <w:r>
        <w:rPr>
          <w:lang w:val="en" w:eastAsia="en"/>
        </w:rPr>
        <w:tab/>
      </w:r>
      <w:r>
        <w:rPr>
          <w:lang w:val="el" w:eastAsia="el"/>
        </w:rPr>
        <w:t>η ανθρωποκτονία με πρόθεση κατά το άρθρο 299 ΠΚ, η βαριά σωματική βλάβη κατά το άρθρο 310 ΠΚ, η θανατηφόρα βλάβη κατά το άρθρο 311 ΠΚ, η αρπαγή κατά το άρθρο 322 ΠΚ, η εμπορία ανθρώπων κατά το άρθρο 323Α ΠΚ, η αρπαγή ανηλίκων κατά το άρθρο 324 ΠΚ και η παράνομη κατακράτηση κατά το άρθρο 325 ΠΚ,</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ζ)</w:t>
      </w:r>
      <w:r>
        <w:rPr>
          <w:lang w:val="en" w:eastAsia="en"/>
        </w:rPr>
        <w:tab/>
      </w:r>
      <w:r>
        <w:rPr>
          <w:lang w:val="el" w:eastAsia="el"/>
        </w:rPr>
        <w:t>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 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 η κλοπή κατά το άρθρο 372 ΠΚ, η διακεκριμένη κλοπή κατά το άρθρο 374 ΠΚ, η υπεξαίρεση κατά το άρθρο 375 ΠΚ, η ληστεία κατά το άρθρο 380 ΠΚ, η εκβίαση κατά το άρθρο 385 ΠΚ, η απάτη κατά το άρθρο 386 ΠΚ, η απάτη με υπολογιστή κατά το άρθρο 386Α ΠΚ, η απάτη σχετικά με τις επιχορηγήσεις κατά το άρθρο 386Β ΠΚ, η απιστία κατά το άρθρο 390 ΠΚ, η αποδοχή και διάθεση προϊόντων εγκλήματος κατά την παρ. 1 του άρθρου 394 ΠΚ και η τοκογλυφία κατά το άρθρο 404 ΠΚ,</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η)</w:t>
      </w:r>
      <w:r>
        <w:rPr>
          <w:lang w:val="en" w:eastAsia="en"/>
        </w:rPr>
        <w:tab/>
      </w:r>
      <w:r>
        <w:rPr>
          <w:lang w:val="el" w:eastAsia="el"/>
        </w:rPr>
        <w:t>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τα εγκλήματα των άρθρων 20 έως και 23 του ν. 4139/2013 (Α’ 74) περί εξαρτησιογόνων ουσιών,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w:t>
      </w:r>
      <w:r>
        <w:rPr>
          <w:lang w:val="en" w:eastAsia="en"/>
        </w:rPr>
        <w:tab/>
      </w:r>
      <w:r>
        <w:rPr>
          <w:lang w:val="el" w:eastAsia="el"/>
        </w:rPr>
        <w:t>τα εγκλήματα των άρθρων 6, 15 και 17 του ν. 2168/ 1993 (Α’ 147) περί θεμάτων που αφορούν όπλα, πυρομαχικά, εκρηκτικές ύλες, εκρηκτικούς μηχανισμούς,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ια)</w:t>
      </w:r>
      <w:r>
        <w:rPr>
          <w:lang w:val="en" w:eastAsia="en"/>
        </w:rPr>
        <w:tab/>
      </w:r>
      <w:r>
        <w:rPr>
          <w:lang w:val="el" w:eastAsia="el"/>
        </w:rPr>
        <w:t>τα εγκλήματα των άρθρων 53, 54, 55, 61 και 63 του ν. 3028/2002 (Α’ 153) περί προστασίας των αρχαιοτήτων και της πολιτιστικής κληρονομιάς,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ιβ)</w:t>
      </w:r>
      <w:r>
        <w:rPr>
          <w:lang w:val="en" w:eastAsia="en"/>
        </w:rPr>
        <w:tab/>
      </w:r>
      <w:r>
        <w:rPr>
          <w:lang w:val="el" w:eastAsia="el"/>
        </w:rPr>
        <w:t>τα εγκλήματα των παρ. 1 και 3 του άρθρου 8 του ν.δ. 181/1974 (Α’ 347) περί προστασίας από τις ιοντίζουσες ακτινοβολίες,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ιγ)</w:t>
      </w:r>
      <w:r>
        <w:rPr>
          <w:lang w:val="en" w:eastAsia="en"/>
        </w:rPr>
        <w:tab/>
      </w:r>
      <w:r>
        <w:rPr>
          <w:lang w:val="el" w:eastAsia="el"/>
        </w:rPr>
        <w:t>τα εγκλήματα των παρ. 5 έως και 8 του άρθρου 29 και του άρθρου 30 του ν. 4251/2014 (Α’ 80) περί μετανάστευσης και κοινωνικής ένταξης,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ιδ)</w:t>
      </w:r>
      <w:r>
        <w:rPr>
          <w:lang w:val="en" w:eastAsia="en"/>
        </w:rPr>
        <w:tab/>
      </w:r>
      <w:r>
        <w:rPr>
          <w:lang w:val="el" w:eastAsia="el"/>
        </w:rPr>
        <w:t>τα εγκλήματα για την ποινική προστασία των οικονομικών συμφερόντων της Ευρωπαϊκής Ένωσης του άρθρου 24 του ν. 4689/2020 (Α’ 103),</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εγκλήματα των άρθρων 28 έως και 31 του ν. 4443/2016 (Α’ 232),</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ιστ)</w:t>
      </w:r>
      <w:r>
        <w:rPr>
          <w:lang w:val="en" w:eastAsia="en"/>
        </w:rPr>
        <w:tab/>
      </w:r>
      <w:r>
        <w:rPr>
          <w:lang w:val="el" w:eastAsia="el"/>
        </w:rPr>
        <w:t>τα εγκλήματα:</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ιστα)</w:t>
      </w:r>
      <w:r>
        <w:rPr>
          <w:lang w:val="en" w:eastAsia="en"/>
        </w:rPr>
        <w:tab/>
      </w:r>
      <w:r>
        <w:rPr>
          <w:lang w:val="el" w:eastAsia="el"/>
        </w:rPr>
        <w:t>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ιστβ)</w:t>
      </w:r>
      <w:r>
        <w:rPr>
          <w:lang w:val="en" w:eastAsia="en"/>
        </w:rPr>
        <w:tab/>
      </w:r>
      <w:r>
        <w:rPr>
          <w:lang w:val="el" w:eastAsia="el"/>
        </w:rPr>
        <w:t>της λαθρεμπορίας των άρθρων 155 έως και 157 του ν. 2960/2001 (Α’ 265),</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ιζ)</w:t>
      </w:r>
      <w:r>
        <w:rPr>
          <w:lang w:val="en" w:eastAsia="en"/>
        </w:rPr>
        <w:tab/>
      </w:r>
      <w:r>
        <w:rPr>
          <w:lang w:val="el" w:eastAsia="el"/>
        </w:rPr>
        <w:t>τα εγκλήματα των παρ. 1 έως 3 του άρθρου 28 του ν. 1650/1986 (Α’ 160) περί προστασίας του περιβάλλοντος και των παρ. 1 έως 5 του άρθρου 6 του ν. 4037/2012 (Α’ 10) για τη θαλάσσια ρύπανση και της περ. α’ της παρ. 1 του άρθρου 13 του ν. 743/1977 (Α’ 319), όπως κωδικοποιήθηκε σε ενιαίο κείμενο με το π.δ. 55/1998 (Α’ 58) περί προστασίας του θαλασσίου περιβάλλοντος,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ιη)</w:t>
      </w:r>
      <w:r>
        <w:rPr>
          <w:lang w:val="en" w:eastAsia="en"/>
        </w:rPr>
        <w:tab/>
      </w:r>
      <w:r>
        <w:rPr>
          <w:lang w:val="el" w:eastAsia="el"/>
        </w:rPr>
        <w:t>τα εγκλήματα του άρθρου 66 του ν. 2121/1993 (Α’25) περί πνευματικής ιδιοκτησίας και των παρ. 1 και 2 του άρθρου 45 του ν. 4679/2020 (Α’71) περί εμπορικών σημάτων,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ιθ)</w:t>
      </w:r>
      <w:r>
        <w:rPr>
          <w:lang w:val="en" w:eastAsia="en"/>
        </w:rPr>
        <w:tab/>
      </w:r>
      <w:r>
        <w:rPr>
          <w:lang w:val="el" w:eastAsia="el"/>
        </w:rPr>
        <w:t>η πειρατεία κατά το άρθρο 215 του ν.δ. 187/1973 (Α’ 261),</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κ)</w:t>
      </w:r>
      <w:r>
        <w:rPr>
          <w:lang w:val="en" w:eastAsia="en"/>
        </w:rPr>
        <w:tab/>
      </w:r>
      <w:r>
        <w:rPr>
          <w:lang w:val="el" w:eastAsia="el"/>
        </w:rPr>
        <w:t>τα εγκλήματα της μη καταβολής χρεών προς το Δημόσιο του άρθρου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κα)</w:t>
      </w:r>
      <w:r>
        <w:rPr>
          <w:lang w:val="en" w:eastAsia="en"/>
        </w:rPr>
        <w:tab/>
      </w:r>
      <w:r>
        <w:rPr>
          <w:lang w:val="el" w:eastAsia="el"/>
        </w:rPr>
        <w:t>κάθε άλλο έγκλημα που τιμωρείται με ποινή στερητική της ελευθερίας, της οποίας το ελάχιστο όριο είναι άνω των τριών (3) μηνών, από το οποίο προκύπτει περιουσιακό όφελος.</w:t>
      </w:r>
      <w:r>
        <w:rPr>
          <w:rStyle w:val="Hyperlink"/>
          <w:color w:val="000000"/>
          <w:sz w:val="20"/>
          <w:szCs w:val="20"/>
          <w:u w:val="none" w:color="0000EE"/>
          <w:vertAlign w:val="superscript"/>
          <w:lang w:val="el" w:eastAsia="el"/>
        </w:rPr>
        <w:footnoteReference w:id="53"/>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ιβ)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ιγ)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ιθ΄ του στοιχείου 3 του άρθρου 3,</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βθ)</w:t>
      </w:r>
      <w:r>
        <w:rPr>
          <w:lang w:val="en" w:eastAsia="en"/>
        </w:rPr>
        <w:tab/>
      </w:r>
      <w:r>
        <w:rPr>
          <w:lang w:val="el" w:eastAsia="el"/>
        </w:rPr>
        <w:t>τους παρόχους υπηρεσιών θεματοφυλακής ψηφιακών πορτοφολιών. Στην Επιτροπή Κεφαλαιαγοράς τηρείται μητρώο των παρόχων των υποπερ. βη) και βθ). Με απόφαση της Επιτροπής Κεφαλαιαγοράς ρυθμίζονται ειδικότερα θέματα σχετικά με την τήρηση και λειτουργία του, καθώς και τα δικαιολογητικά που υποχρεούνται να υποβάλουν οι πάροχοι των υποπερ. βη΄ και βθ΄ για την εγγραφή τους.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Για τον σκοπό αυτόν,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Διεύθυνσης Χρηματοοικονομικής Πολιτικής.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Ανεξάρτητης Αρχής Δημοσίων Εσόδων (Α.Α.Δ.Ε.),</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και Δημόσιας Περιουσίας,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Διεύθυνση Χρηματοοικονομικής Πολιτικής του Υπουργείου Οικονομικών.</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62"/>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2015/847 του Ευρωπαϊκού Κοινοβουλίου και του Συμβουλίου της 20ής Μαΐου 2015 περί στοιχείων που συνοδεύουν τις μεταφορές χρηματικών ποσών (L 141), λαμβάνοντας υπόψη τις σχετικές κατευθυντήριες οδηγίες της Ευρωπαϊκής Αρχής Τραπεζών. Ο Κανονισμός (ΕΕ) 2015/847 δεν εφαρμόζεται στις μεταφορές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γ)</w:t>
      </w:r>
      <w:r>
        <w:rPr>
          <w:lang w:val="en" w:eastAsia="en"/>
        </w:rPr>
        <w:tab/>
      </w:r>
      <w:r>
        <w:rPr>
          <w:lang w:val="el" w:eastAsia="el"/>
        </w:rPr>
        <w:t>το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color w:val="000000"/>
          <w:sz w:val="20"/>
          <w:szCs w:val="20"/>
          <w:u w:val="none" w:color="0000EE"/>
          <w:vertAlign w:val="superscript"/>
          <w:lang w:val="el" w:eastAsia="el"/>
        </w:rPr>
        <w:footnoteReference w:id="193"/>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του Υπουργού Οικονομικών του πρώτου εδαφίου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 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Η Διεύθυνση Χρηματοοικονομικής Πολιτικής του Υπουργείου Οικονομικών ενημερώνει τη Γ.Γ.Π.Σ.Δ.Δ. για κάθε νέα απαίτηση που χρήζει ενσωμάτωσης στις διαδικτυακές εφαρμογές του Κ.Μ.Π.Δ., σύμφωνα με την παρ. 11. Η Γενική Διεύθυνση Σώματος Δίωξης Οικονομικού Εγκλήματος (Γ.Δ.Σ.Δ.Ο.Ε.) του Υπουργείου Οικονομικών αποτελεί τον ελεγκτικό μηχανισμό για τη διακρίβωση της τήρησης και ακρίβειας των στοιχείων που καταχωρίζονται στο Κ.Μ.Π.Δ., στο οποίο έχει πρόσβαση άμεσα, χωρίς κανέναν περιορισμό και χωρίς προηγούμενη ειδοποίηση του νομικού προσώπου ή της νομικής οντότητας. Η Γ.Δ.Σ.Δ.Ο.Ε. είναι αρμόδια για τη διενέργεια ελέγχου για την εκπλήρωση των σκοπών του παρόντος, συμπεριλαμβανομένου του επιτόπιου ελέγχου για το ειδικό μητρώο που φυλάσσεται στην έδρα ή την εγκατάσταση των υπόχρεων εταιρικών και άλλων νομικών οντοτήτων κατά τα οριζόμενα στην παρ. 1.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των εξουσιοδοτούμενων υπαλλήλων της Γ.Δ.Σ.Δ.Ο.Ε. στην εφαρμογή του Μητρώου της Α.Α.Δ.Ε.. Για την πρόσβαση των υπαλλήλων του τρίτου εδαφίου στις εφαρμογές της φορολογίας εισοδήματος νομικών και φυσικών προσώπων για την εκπλήρωση αποκλειστικά και μόνο των σκοπών του παρόντος απαιτείται επαρκώς αιτιολογημένο αίτημα της Γ.Δ.Σ.Δ.Ο.Ε. προς την αρμόδια υπηρεσία της Α.Α.Δ.Ε..</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7.</w:t>
      </w:r>
      <w:r>
        <w:rPr>
          <w:lang w:val="el" w:eastAsia="el"/>
        </w:rPr>
        <w:t xml:space="preserve">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κατόπιν σχετικής εισήγησης της Αρχής, απόφαση του Υπουργού Οικονομικών που δεν δημοσιεύεται, η οποία κοινοποιείται στην Γ.Δ.Σ.Δ.Ο.Ε. και στην Α.Α.Δ.Ε..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w:t>
      </w:r>
      <w:r>
        <w:rPr>
          <w:lang w:val="en" w:eastAsia="en"/>
        </w:rPr>
        <w:tab/>
      </w:r>
      <w:r>
        <w:rPr>
          <w:lang w:val="el" w:eastAsia="el"/>
        </w:rPr>
        <w:t>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8.</w:t>
      </w:r>
      <w:r>
        <w:rPr>
          <w:lang w:val="el" w:eastAsia="el"/>
        </w:rPr>
        <w:t xml:space="preserve"> Επιβάλλεται πρόστιμο, σύμφωνα με τα οριζόμενα στις παρ. 9 και 11, για καθεμία από τις κάτωθι παραβάσεις, εφόσον το νομικό πρόσωπο ή η νομική οντότητα της παρ.1:</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δεν υποβάλλει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υποβάλλει εκπρόθεσμα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υποβάλλει ελλιπή ή ανακριβή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w:t>
      </w:r>
      <w:r>
        <w:rPr>
          <w:lang w:val="en" w:eastAsia="en"/>
        </w:rPr>
        <w:tab/>
      </w:r>
      <w:r>
        <w:rPr>
          <w:lang w:val="el" w:eastAsia="el"/>
        </w:rPr>
        <w:t>δεν τηρεί σε ειδικό μητρώο στην έδρα ή τη μόνιμη εγκατάσταση τις πληροφορίες της παρ. 1..</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9.</w:t>
      </w:r>
      <w:r>
        <w:rPr>
          <w:lang w:val="el" w:eastAsia="el"/>
        </w:rPr>
        <w:t xml:space="preserve"> Τα πρόστιμα για τις παραβάσεις που αναφέρονται στην παρ. 8 καθορίζονται ως εξής: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α)</w:t>
      </w:r>
      <w:r>
        <w:rPr>
          <w:lang w:val="en" w:eastAsia="en"/>
        </w:rPr>
        <w:tab/>
      </w:r>
      <w:r>
        <w:rPr>
          <w:lang w:val="el" w:eastAsia="el"/>
        </w:rPr>
        <w:t>για κάθε παράβαση των περ. α', γ' και δ' της παρ. 8:</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αα)</w:t>
      </w:r>
      <w:r>
        <w:rPr>
          <w:lang w:val="en" w:eastAsia="en"/>
        </w:rPr>
        <w:tab/>
      </w:r>
      <w:r>
        <w:rPr>
          <w:lang w:val="el" w:eastAsia="el"/>
        </w:rPr>
        <w:t>5.000 ευρώ για νομικά πρόσωπα και νομικές οντότητες κερδοσκοπικού χαρακτήρα με καθαρό κύκλο εργασιών έως και 100.000 ευρώ, κατά το προηγούμενο έτος της παράβασης,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αβ)</w:t>
      </w:r>
      <w:r>
        <w:rPr>
          <w:lang w:val="en" w:eastAsia="en"/>
        </w:rPr>
        <w:tab/>
      </w:r>
      <w:r>
        <w:rPr>
          <w:lang w:val="el" w:eastAsia="el"/>
        </w:rPr>
        <w:t>10.000 ευρώ για νομικά πρόσωπα και νομικές οντότητες κερδοσκοπικού χαρακτήρα με καθαρό κύκλο εργασιών άνω των 100.000 ευρώ έως και 700.000 ευρώ, κατά το προηγούμενο έτος της παράβασης,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αγ)</w:t>
      </w:r>
      <w:r>
        <w:rPr>
          <w:lang w:val="en" w:eastAsia="en"/>
        </w:rPr>
        <w:tab/>
      </w:r>
      <w:r>
        <w:rPr>
          <w:lang w:val="el" w:eastAsia="el"/>
        </w:rPr>
        <w:t>20.000 ευρώ για νομικά πρόσωπα και νομικές οντότητες κερδοσκοπικού χαρακτήρα με καθαρό κύκλο εργασιών άνω των 700.000 ευρώ έως και 8.000.000 ευρώ, κατά το προηγούμενο έτος της παράβασης,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αδ)</w:t>
      </w:r>
      <w:r>
        <w:rPr>
          <w:lang w:val="en" w:eastAsia="en"/>
        </w:rPr>
        <w:tab/>
      </w:r>
      <w:r>
        <w:rPr>
          <w:lang w:val="el" w:eastAsia="el"/>
        </w:rPr>
        <w:t>40.000 ευρώ για νομικά πρόσωπα και νομικές οντότητες κερδοσκοπικού χαρακτήρα με καθαρό κύκλο εργασιών άνω των 8.000.000 ευρώ, κατά το προηγούμενο έτος της παράβασης,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αε)</w:t>
      </w:r>
      <w:r>
        <w:rPr>
          <w:lang w:val="en" w:eastAsia="en"/>
        </w:rPr>
        <w:tab/>
      </w:r>
      <w:r>
        <w:rPr>
          <w:lang w:val="el" w:eastAsia="el"/>
        </w:rPr>
        <w:t>5.000 ευρώ για νομικά πρόσωπα και νομικές οντότητες μη κερδοσκοπικού χαρακτήρα, που δεν απασχολούν εργαζόμενους,</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αστ)</w:t>
      </w:r>
      <w:r>
        <w:rPr>
          <w:lang w:val="en" w:eastAsia="en"/>
        </w:rPr>
        <w:tab/>
      </w:r>
      <w:r>
        <w:rPr>
          <w:lang w:val="el" w:eastAsia="el"/>
        </w:rPr>
        <w:t>10.000 ευρώ για νομικά πρόσωπα και νομικές οντότητες μη κερδοσκοπικού χαρακτήρα, που απασχολούν έως πενήντα (50) εργαζόμενους,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αζ)</w:t>
      </w:r>
      <w:r>
        <w:rPr>
          <w:lang w:val="en" w:eastAsia="en"/>
        </w:rPr>
        <w:tab/>
      </w:r>
      <w:r>
        <w:rPr>
          <w:lang w:val="el" w:eastAsia="el"/>
        </w:rPr>
        <w:t>20.000 ευρώ για νομικά πρόσωπα και νομικές οντότητες μη κερδοσκοπικού χαρακτήρα, που απασχολούν από πενήντα ένα (51) έως και διακόσιους πενήντα (250) εργαζόμενους,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αη)</w:t>
      </w:r>
      <w:r>
        <w:rPr>
          <w:lang w:val="en" w:eastAsia="en"/>
        </w:rPr>
        <w:tab/>
      </w:r>
      <w:r>
        <w:rPr>
          <w:lang w:val="el" w:eastAsia="el"/>
        </w:rPr>
        <w:t>40.000 ευρώ για νομικά πρόσωπα και νομικές οντότητες μη κερδοσκοπικού χαρακτήρα, που απασχολούν άνω των διακοσίων πενήντα (250) εργαζομένων,</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για παράβαση της περ. β' της παρ. 8:</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βα)</w:t>
      </w:r>
      <w:r>
        <w:rPr>
          <w:lang w:val="en" w:eastAsia="en"/>
        </w:rPr>
        <w:tab/>
      </w:r>
      <w:r>
        <w:rPr>
          <w:lang w:val="el" w:eastAsia="el"/>
        </w:rPr>
        <w:t>εκατό (100) ευρώ, για κάθε παράβαση της περ. β', εφόσον η εκπρόθεσμη δήλωση γίνεται εντός χρονικού διαστήματος ενός (1) μηνός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ββ)</w:t>
      </w:r>
      <w:r>
        <w:rPr>
          <w:lang w:val="en" w:eastAsia="en"/>
        </w:rPr>
        <w:tab/>
      </w:r>
      <w:r>
        <w:rPr>
          <w:lang w:val="el" w:eastAsia="el"/>
        </w:rPr>
        <w:t>πεντακοσίων (500) ευρώ για κάθε παράβαση της περ. β', εφόσον η εκπρόθεσμη δήλωση γίνεται πέραν του ενός (1) μηνός και έως τρεις (3) μήνες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βγ)</w:t>
      </w:r>
      <w:r>
        <w:rPr>
          <w:lang w:val="en" w:eastAsia="en"/>
        </w:rPr>
        <w:tab/>
      </w:r>
      <w:r>
        <w:rPr>
          <w:lang w:val="el" w:eastAsia="el"/>
        </w:rPr>
        <w:t>σε περίπτωση παρέλευσης τριών (3) μηνών από τη λήξη της προθεσμίας καταχώρισης, η εκπρόθεσμη δήλωση τεκμαίρεται ως μη υποβληθείσα και επιβάλλεται το πρόστιμο της περ. α'.</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10.</w:t>
      </w:r>
      <w:r>
        <w:rPr>
          <w:lang w:val="el" w:eastAsia="el"/>
        </w:rPr>
        <w:t xml:space="preserve"> Σε περίπτωση διαπίστωσης παράβασης της παρ. 8 πλην της περ. β', ο προϊστάμενος της κατά τόπον αρμόδιας επιχειρησιακής διεύθυνσης της Γ.Δ.Σ.Δ.Ο.Ε. διαβιβάζει Έκθεση Βεβαίωσης Παράβασης στις αρμόδιες υπηρεσίες της Α.Α.Δ.Ε. για τη σύνταξη χρηματικού καταλόγου, τη βεβαίωση του προστίμου, τον καταλογισμό και την είσπραξη αυτού. Με την απόφαση του Υπουργού Οικονομικών του δευτέρου εδαφίου της παρ. 11 καθορίζεται κάθε αναγκαία λεπτομέρεια για τη διαδικασία διενέργειας ελέγχου και διαπίστωσης παράβασης της παρ. 8 πλην της περ. β', καθώς και υπόδειγμα της Έκθεσης Βεβαίωσης Παράβασης.</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Η πράξη επιβολής διοικητικής κύρωσης υπόκειται σε ενδικοφανή προσφυγή, η οποία ασκείται ενώπιον του επικεφαλής της υπηρεσίας των ελεγκτών, εντός τριάντα (30) εργάσιμων ημερών από την έκδοση της έκθεσης βεβαίωσης. Η απόφαση επί της ενδικοφανούς προσφυγής εκδίδεται εντός τριάντα (30) εργάσιμων ημερών από την κατάθεσή της.</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Οι παραβάσεις των περ. α', γ' και δ' της παρ. 8 συνεπάγονται τη δέσμευση χορήγησης αποδεικτικού φορολογικής ενημερότητας των υπόχρεων νομικών προσώπων και οντοτήτων, η οποία ισχύει έως την άρση της παράβασης και σύμφωνα με την απόφαση του Διοικητή της Α.Α.Δ.Ε. που προβλέπεται στην παρ. 12.</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Σε περίπτωση παράβασης της περ. β' της παρ. 8, η επιβολή προστίμου, η βεβαίωση αυτού, ο καταλογισμός και η είσπραξη γίνεται κατόπιν ενημέρωσης των αρμόδιων υπηρεσιών της Α.Α.Δ.Ε. από το Κ.Μ.Π.Δ.. Το πρόστιμο αποτελεί έσοδο του Κρατικού Προϋπολογισμού και εισπράττεται, σύμφωνα με τον Κώδικα Εισπράξεως Δημοσίων Εσόδων (Κ.Ε.Δ.Ε.), ν.δ. 356/1974, (Α' 90).</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Κ.Μ.Π.Δ., τον χρόνο και τον τρόπο καταχώρισης σε αυτό του ειδικού μητρώου της παρ. 1 του παρόντος και της παρ. 1 του άρθρου 21. Με απόφαση του Υπουργού Οικονομικών καθορίζεται το υπόδειγμα της Έκθεσης Βεβαίωσης παράβασης της παρ. 10 και ρυθμίζεται κάθε ειδικότερο θέμα σχετικά με τη διενέργεια του ελέγχου και τη διαδικασία διαπίστωσης των παραβάσεων. Με κοινή απόφαση των Υπουργών Οικονομικών και Ψηφιακής Διακυβέρνησης ρυθμίζονται ειδικότερα θέματα σχετικά με τη διασύνδεση των μητρώων του προηγούμενου εδαφίου με τα Αποθετήρια Τίτλων και τα πληροφοριακά συστήματα της παρ.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13.</w:t>
      </w:r>
      <w:r>
        <w:rPr>
          <w:lang w:val="el" w:eastAsia="el"/>
        </w:rPr>
        <w:t xml:space="preserve"> Η έναρξη παραγωγικής λειτουργίας του Κ.Μ.Π.Δ. ορίζεται με την απόφαση της παρ. 11. Με κοινή απόφαση των Υπουργών Οικονομικών και Ψηφιακής Διακυβέρνησης μπορεί να τίθεται εκτός λειτουργίας το πληροφοριακό σύστημα, ύστερα από αίτημα της αρμόδιας Διεύθυνσης Χρηματοοικονομικής Πολιτικής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14.</w:t>
      </w:r>
      <w:r>
        <w:rPr>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color w:val="000000"/>
          <w:sz w:val="20"/>
          <w:szCs w:val="20"/>
          <w:u w:val="none" w:color="0000EE"/>
          <w:vertAlign w:val="superscript"/>
          <w:lang w:val="el" w:eastAsia="el"/>
        </w:rPr>
        <w:footnoteReference w:id="231"/>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lang w:val="el" w:eastAsia="el"/>
        </w:rPr>
        <w:t xml:space="preserve"> Πρόσβαση στις πληροφορίες της παρ. 1 έχουν: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α)</w:t>
      </w:r>
      <w:r>
        <w:rPr>
          <w:lang w:val="en" w:eastAsia="en"/>
        </w:rPr>
        <w:tab/>
      </w:r>
      <w:r>
        <w:rPr>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w:t>
      </w:r>
      <w:r>
        <w:rPr>
          <w:lang w:val="en" w:eastAsia="en"/>
        </w:rPr>
        <w:tab/>
      </w:r>
      <w:r>
        <w:rPr>
          <w:lang w:val="el" w:eastAsia="el"/>
        </w:rPr>
        <w:t>τα υπόχρεα πρόσωπα, αποκλειστικά στο πλαίσιο της εφαρμογής των μέτρων δέουσας επιμέλειας ως προς τον πελάτη σύμφωνα με τον παρόντα,</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γ)</w:t>
      </w:r>
      <w:r>
        <w:rPr>
          <w:lang w:val="en" w:eastAsia="en"/>
        </w:rPr>
        <w:tab/>
      </w:r>
      <w:r>
        <w:rPr>
          <w:lang w:val="el" w:eastAsia="el"/>
        </w:rPr>
        <w:t>κάθε πρόσωπο που μπορεί να αποδείξει έννομο συμφέρον,</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δ)</w:t>
      </w:r>
      <w:r>
        <w:rPr>
          <w:lang w:val="en" w:eastAsia="en"/>
        </w:rPr>
        <w:tab/>
      </w:r>
      <w:r>
        <w:rPr>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color w:val="000000"/>
          <w:sz w:val="20"/>
          <w:szCs w:val="20"/>
          <w:u w:val="none" w:color="0000EE"/>
          <w:vertAlign w:val="superscript"/>
          <w:lang w:val="el" w:eastAsia="el"/>
        </w:rPr>
        <w:footnoteReference w:id="247"/>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α)</w:t>
      </w:r>
      <w:r>
        <w:rPr>
          <w:lang w:val="en" w:eastAsia="en"/>
        </w:rPr>
        <w:tab/>
      </w:r>
      <w:r>
        <w:rPr>
          <w:lang w:val="el" w:eastAsia="el"/>
        </w:rPr>
        <w:t>λογαριασμούς πληρωμής,</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β)</w:t>
      </w:r>
      <w:r>
        <w:rPr>
          <w:lang w:val="en" w:eastAsia="en"/>
        </w:rPr>
        <w:tab/>
      </w:r>
      <w:r>
        <w:rPr>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γ)</w:t>
      </w:r>
      <w:r>
        <w:rPr>
          <w:lang w:val="en" w:eastAsia="en"/>
        </w:rPr>
        <w:tab/>
      </w:r>
      <w:r>
        <w:rPr>
          <w:lang w:val="el" w:eastAsia="el"/>
        </w:rPr>
        <w:t>θυρίδες ασφαλείας, και</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δ)</w:t>
      </w:r>
      <w:r>
        <w:rPr>
          <w:lang w:val="en" w:eastAsia="en"/>
        </w:rPr>
        <w:tab/>
      </w:r>
      <w:r>
        <w:rPr>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α)</w:t>
      </w:r>
      <w:r>
        <w:rPr>
          <w:lang w:val="en" w:eastAsia="en"/>
        </w:rPr>
        <w:tab/>
      </w:r>
      <w:r>
        <w:rPr>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β)</w:t>
      </w:r>
      <w:r>
        <w:rPr>
          <w:lang w:val="en" w:eastAsia="en"/>
        </w:rPr>
        <w:tab/>
      </w:r>
      <w:r>
        <w:rPr>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γ)</w:t>
      </w:r>
      <w:r>
        <w:rPr>
          <w:lang w:val="en" w:eastAsia="en"/>
        </w:rPr>
        <w:tab/>
      </w:r>
      <w:r>
        <w:rPr>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δ)</w:t>
      </w:r>
      <w:r>
        <w:rPr>
          <w:lang w:val="en" w:eastAsia="en"/>
        </w:rPr>
        <w:tab/>
      </w:r>
      <w:r>
        <w:rPr>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ε)</w:t>
      </w:r>
      <w:r>
        <w:rPr>
          <w:lang w:val="en" w:eastAsia="en"/>
        </w:rPr>
        <w:tab/>
      </w:r>
      <w:r>
        <w:rPr>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στ)</w:t>
      </w:r>
      <w:r>
        <w:rPr>
          <w:lang w:val="en" w:eastAsia="en"/>
        </w:rPr>
        <w:tab/>
      </w:r>
      <w:r>
        <w:rPr>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4.</w:t>
      </w:r>
      <w:r>
        <w:rPr>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color w:val="000000"/>
          <w:sz w:val="20"/>
          <w:szCs w:val="20"/>
          <w:u w:val="none" w:color="0000EE"/>
          <w:vertAlign w:val="superscript"/>
          <w:lang w:val="el" w:eastAsia="el"/>
        </w:rPr>
        <w:footnoteReference w:id="263"/>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color w:val="000000"/>
          <w:sz w:val="20"/>
          <w:szCs w:val="20"/>
          <w:u w:val="none" w:color="0000EE"/>
          <w:vertAlign w:val="superscript"/>
          <w:lang w:val="el" w:eastAsia="el"/>
        </w:rPr>
        <w:footnoteReference w:id="267"/>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color w:val="000000"/>
          <w:sz w:val="20"/>
          <w:szCs w:val="20"/>
          <w:u w:val="none" w:color="0000EE"/>
          <w:vertAlign w:val="superscript"/>
          <w:lang w:val="el" w:eastAsia="el"/>
        </w:rPr>
        <w:footnoteReference w:id="268"/>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StructureList1"/>
        <w:spacing w:before="120" w:after="0"/>
        <w:rPr>
          <w:lang w:val="el" w:eastAsia="el"/>
        </w:rPr>
      </w:pPr>
      <w:r>
        <w:rPr>
          <w:lang w:val="el" w:eastAsia="el"/>
        </w:rPr>
        <w:t>στ)</w:t>
      </w:r>
      <w:r>
        <w:rPr>
          <w:lang w:val="en" w:eastAsia="en"/>
        </w:rPr>
        <w:tab/>
      </w:r>
      <w:r>
        <w:rPr>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ζ)</w:t>
      </w:r>
      <w:r>
        <w:rPr>
          <w:lang w:val="en" w:eastAsia="en"/>
        </w:rPr>
        <w:tab/>
      </w:r>
      <w:r>
        <w:rPr>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3.</w:t>
      </w:r>
      <w:r>
        <w:rPr>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color w:val="000000"/>
          <w:sz w:val="20"/>
          <w:szCs w:val="20"/>
          <w:u w:val="none" w:color="0000EE"/>
          <w:vertAlign w:val="superscript"/>
          <w:lang w:val="el" w:eastAsia="el"/>
        </w:rPr>
        <w:footnoteReference w:id="276"/>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8.</w:t>
      </w:r>
      <w:r>
        <w:rPr>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color w:val="000000"/>
          <w:sz w:val="20"/>
          <w:szCs w:val="20"/>
          <w:u w:val="none" w:color="0000EE"/>
          <w:vertAlign w:val="superscript"/>
          <w:lang w:val="el" w:eastAsia="el"/>
        </w:rPr>
        <w:footnoteReference w:id="280"/>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α)</w:t>
      </w:r>
      <w:r>
        <w:rPr>
          <w:lang w:val="en" w:eastAsia="en"/>
        </w:rPr>
        <w:tab/>
      </w:r>
      <w:r>
        <w:rPr>
          <w:lang w:val="el" w:eastAsia="el"/>
        </w:rPr>
        <w:t>το αίτημα θεωρείται ότι περιλαμβάνει επίσης φορολογικά θέματα,</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β)</w:t>
      </w:r>
      <w:r>
        <w:rPr>
          <w:lang w:val="en" w:eastAsia="en"/>
        </w:rPr>
        <w:tab/>
      </w:r>
      <w:r>
        <w:rPr>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γ)</w:t>
      </w:r>
      <w:r>
        <w:rPr>
          <w:lang w:val="en" w:eastAsia="en"/>
        </w:rPr>
        <w:tab/>
      </w:r>
      <w:r>
        <w:rPr>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δ)</w:t>
      </w:r>
      <w:r>
        <w:rPr>
          <w:lang w:val="en" w:eastAsia="en"/>
        </w:rPr>
        <w:tab/>
      </w:r>
      <w:r>
        <w:rPr>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w:t>
      </w:r>
      <w:r>
        <w:rPr>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lang w:val="el" w:eastAsia="el"/>
        </w:rPr>
        <w:t xml:space="preserve"> Οι διατάξεις της παρ. 1 δεν εμποδίζουν την ανταλλαγή πληροφοριών μεταξύ:</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α)</w:t>
      </w:r>
      <w:r>
        <w:rPr>
          <w:lang w:val="en" w:eastAsia="en"/>
        </w:rPr>
        <w:tab/>
      </w:r>
      <w:r>
        <w:rPr>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β)</w:t>
      </w:r>
      <w:r>
        <w:rPr>
          <w:lang w:val="en" w:eastAsia="en"/>
        </w:rPr>
        <w:tab/>
      </w:r>
      <w:r>
        <w:rPr>
          <w:lang w:val="el" w:eastAsia="el"/>
        </w:rPr>
        <w:t>κατά την άσκηση προσφυγής κατά απόφασής τους, συμπεριλαμβανομένης δικαστικής διαδικασίας,</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γ)</w:t>
      </w:r>
      <w:r>
        <w:rPr>
          <w:lang w:val="en" w:eastAsia="en"/>
        </w:rPr>
        <w:tab/>
      </w:r>
      <w:r>
        <w:rPr>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w:t>
      </w:r>
      <w:r>
        <w:rPr>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w:t>
      </w:r>
      <w:r>
        <w:rPr>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γ)</w:t>
      </w:r>
      <w:r>
        <w:rPr>
          <w:lang w:val="en" w:eastAsia="en"/>
        </w:rPr>
        <w:tab/>
      </w:r>
      <w:r>
        <w:rPr>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2.</w:t>
      </w:r>
      <w:r>
        <w:rPr>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α)</w:t>
      </w:r>
      <w:r>
        <w:rPr>
          <w:lang w:val="en" w:eastAsia="en"/>
        </w:rPr>
        <w:tab/>
      </w:r>
      <w:r>
        <w:rPr>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β)</w:t>
      </w:r>
      <w:r>
        <w:rPr>
          <w:lang w:val="en" w:eastAsia="en"/>
        </w:rPr>
        <w:tab/>
      </w:r>
      <w:r>
        <w:rPr>
          <w:lang w:val="el" w:eastAsia="el"/>
        </w:rPr>
        <w:t>οι πληροφορίες είναι απολύτως αναγκαίες για την εκπλήρωση της εντολής που αναφέρεται στην περ. α) ή</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γ)</w:t>
      </w:r>
      <w:r>
        <w:rPr>
          <w:lang w:val="en" w:eastAsia="en"/>
        </w:rPr>
        <w:tab/>
      </w:r>
      <w:r>
        <w:rPr>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δ)</w:t>
      </w:r>
      <w:r>
        <w:rPr>
          <w:lang w:val="en" w:eastAsia="en"/>
        </w:rPr>
        <w:tab/>
      </w:r>
      <w:r>
        <w:rPr>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color w:val="000000"/>
          <w:sz w:val="20"/>
          <w:szCs w:val="20"/>
          <w:u w:val="none" w:color="0000EE"/>
          <w:vertAlign w:val="superscript"/>
          <w:lang w:val="el" w:eastAsia="el"/>
        </w:rPr>
        <w:footnoteReference w:id="310"/>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5.</w:t>
      </w:r>
      <w:r>
        <w:rPr>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color w:val="000000"/>
          <w:sz w:val="20"/>
          <w:szCs w:val="20"/>
          <w:u w:val="none" w:color="0000EE"/>
          <w:vertAlign w:val="superscript"/>
          <w:lang w:val="el" w:eastAsia="el"/>
        </w:rPr>
        <w:footnoteReference w:id="314"/>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Ποινικές κυρώσεις</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w:t>
      </w:r>
      <w:r>
        <w:rPr>
          <w:lang w:val="el" w:eastAsia="el"/>
        </w:rPr>
        <w:t xml:space="preserve"> α) Ο υπαίτιος πράξεων νομιμοποίησης εσόδων από εγκληματικές δραστηριότητες τιμωρείται με κάθειρξη έως οκτώ (8) έτη και με χρηματική ποινή από τριακόσιες (300) έως χίλιες (1.000) ημερήσιες μονάδες.</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 α’ τιμωρείται με κάθειρξη έως δέκα (10) έτη και με χρηματική ποινή από χίλιες (1.000) έως πέντε χιλιάδες (5.000) ημερήσιες μονάδες:</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αα)</w:t>
      </w:r>
      <w:r>
        <w:rPr>
          <w:lang w:val="en" w:eastAsia="en"/>
        </w:rPr>
        <w:tab/>
      </w:r>
      <w:r>
        <w:rPr>
          <w:lang w:val="el" w:eastAsia="el"/>
        </w:rPr>
        <w:t>αν το αντικείμενο της νομιμοποίησης υπερβαίνει συνολικά σε αξία το ποσό των εκατό είκοσι χιλιάδων (120.000) ευρώ, ή</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ββ)</w:t>
      </w:r>
      <w:r>
        <w:rPr>
          <w:lang w:val="en" w:eastAsia="en"/>
        </w:rPr>
        <w:tab/>
      </w:r>
      <w:r>
        <w:rPr>
          <w:lang w:val="el" w:eastAsia="el"/>
        </w:rPr>
        <w:t>αν η πράξη τελείται από υπόχρεο φυσικό πρόσωπο κατά την άσκηση της επαγγελματικής του δραστηριότητας ή από πρόσωπο του πρώτου εδαφίου της παρ. 2 του άρθρου 46, ή</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γγ)</w:t>
      </w:r>
      <w:r>
        <w:rPr>
          <w:lang w:val="en" w:eastAsia="en"/>
        </w:rPr>
        <w:tab/>
      </w:r>
      <w:r>
        <w:rPr>
          <w:lang w:val="el" w:eastAsia="el"/>
        </w:rPr>
        <w:t>αν η περιουσία που είναι αντικείμενο νομιμοποίησης προέρχεται από τα κακουργήματα των περ. α’, β’, γ’, η’ και θ’ του άρθρου 4, καθώς και των άρθρων 323Α, 374, 380, της παρ. 2 και του δεύτερου εδαφίου της παρ. 3 του άρθρου 385 του Ποινικού Κώδικα (ΠΚ, 4619/2019, Α’ 95), της παρ. 5 του άρθρου 29 και του άρθρου 30 του ν. 4251/2014 (Α’ 80).</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 α’ τιμωρείται με κάθειρξη και με χρηματική ποινή από δύο χιλιάδες (2.000) έως δέκα χιλιάδες (10.000) ημερήσιες μονάδες, αν ασκεί τέτοιου είδους δραστηριότητες κατ’ επάγγελμα ή ως μέλος εγκληματικής οργάνωσης, η οποία επιδιώκει την τέλεση πράξεων νομιμοποίησης.</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δ)</w:t>
      </w:r>
      <w:r>
        <w:rPr>
          <w:lang w:val="en" w:eastAsia="en"/>
        </w:rPr>
        <w:tab/>
      </w:r>
      <w:r>
        <w:rPr>
          <w:lang w:val="el" w:eastAsia="el"/>
        </w:rPr>
        <w:t>Αν το βασικό αδίκημα τιμωρείται σε βαθμό πλημμελήματος, η ποινή για το αδίκημα της νομιμοποίησης εσόδων από εγκληματικές δραστηριότητες είναι φυλάκιση έως τρία (3) έτη και χρηματική ποινή έως τριακόσιες (300) ημερήσιες μονάδες. Αν η πράξη τελέστηκε κατ’ επάγγελμα επιβάλλονται οι κυρώσεις της περ. γ’.</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συμμετόχων για τις πράξεις των περ. α’, β’, γ’ και δ’,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 Σε κάθε περίπτωση, ο αυτουργός ή ο συμμέτοχος της πράξης της περ. γ’ της παρ. 1 του άρθρου 2 μένει ατιμώρητος εάν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 με υψηλότερο ανώτατο όριο. Η απαλλαγή κατά το προηγούμενο εδάφιο δεν αποκλείει την επιβολή ποινής στους λοιπούς αυτουργούς ή συμμετόχους της πράξης της νομιμοποίησης. Αν εχώρησε καταδίκη του υπαιτίου για βασικό αδίκημα, η ποινή κατ’ αυτού ή των οικείων του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στ)</w:t>
      </w:r>
      <w:r>
        <w:rPr>
          <w:lang w:val="en" w:eastAsia="en"/>
        </w:rPr>
        <w:tab/>
      </w:r>
      <w:r>
        <w:rPr>
          <w:lang w:val="el" w:eastAsia="el"/>
        </w:rPr>
        <w:t>Με φυλάκιση και χρηματική ποινή έως πεντακόσιες (500) ημερήσιες μονάδες τιμωρείται ο υπαίτιος του εγκλήματος της νομιμοποίησης εσόδων της περ. γ’ της παρ. 1 του άρθρου 2 που δεν είναι συμμέτοχος στη διάπραξη του βασικού αδικήματος, εφόσον είναι οικείος του υπαιτίου του βασικού αδικήματος.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ζ)</w:t>
      </w:r>
      <w:r>
        <w:rPr>
          <w:lang w:val="en" w:eastAsia="en"/>
        </w:rPr>
        <w:tab/>
      </w:r>
      <w:r>
        <w:rPr>
          <w:lang w:val="el" w:eastAsia="el"/>
        </w:rPr>
        <w:t>Το τελευταίο εδάφιο της περ. ε’ και η περ. στ’ δεν εφαρμόζονται αν συντρέχουν περιστάσεις κατ’ επάγγελμα τέλεσης της νομιμοποίησης.</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η)</w:t>
      </w:r>
      <w:r>
        <w:rPr>
          <w:lang w:val="en" w:eastAsia="en"/>
        </w:rPr>
        <w:tab/>
      </w:r>
      <w:r>
        <w:rPr>
          <w:lang w:val="el" w:eastAsia="el"/>
        </w:rPr>
        <w:t>Κατά την επιμέτρηση της ποινής για πράξεις νομιμοποίησης εσόδων από εγκληματικές δραστηριότητες λαμβάνονται υπόψη ως επιβαρυντικές περιστάσεις οι αμετάκλητες καταδικαστικές αποφάσεις για το αδίκημα αυτό που εκδίδουν δικαστήρια άλλων κρατών μερών της Σύμβασης του Συμβουλίου της Ευρώπης της 16ης Μαΐου 2005 για τη νομιμοποίηση, την ανίχνευση, την κατάσχεση και τη δήμευση εσόδων από εγκληματικές δραστηριότητες και τη χρηματοδότηση της τρομοκρατίας, η οποία κυρώθηκε με τον ν. 4478/2017 (Α’ 91).</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2.</w:t>
      </w:r>
      <w:r>
        <w:rPr>
          <w:lang w:val="el" w:eastAsia="el"/>
        </w:rPr>
        <w:t xml:space="preserve"> Η παρ. 1 εφαρμόζεται και όταν οι πράξεις νομιμοποίησης εσόδων από εγκληματικές δραστηριότητες τελέστηκαν στην αλλοδαπή από ημεδαπό, ακόμη και αν δεν συντρέχουν οι προϋποθέσεις των παρ. 1 και 3 του άρθρου 6 ΠΚ. Εφαρμόζεται επίσης και όταν οι πράξεις αυτές τελέστηκαν στην αλλοδαπή προς όφελος νομικού προσώπου ή οντότητας που έχει έδρα ή εγκατάσταση στην Ελλάδα.</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3.</w:t>
      </w:r>
      <w:r>
        <w:rPr>
          <w:lang w:val="el" w:eastAsia="el"/>
        </w:rPr>
        <w:t xml:space="preserve"> Η άσκηση ποινικής δίωξης και η καταδίκη για νομιμοποίηση εσόδων από εγκληματικές δραστηριότητες δεν προϋποθέτουν ποινική δίωξη ή καταδίκη του υπαιτίου για το βασικό αδίκημα.</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4.</w:t>
      </w:r>
      <w:r>
        <w:rPr>
          <w:lang w:val="el" w:eastAsia="el"/>
        </w:rPr>
        <w:t xml:space="preserve"> Στις περιπτώσεις εξάλειψης του αξιόποινου, δικαστικής άφεσης της ποινής,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εξαλείφεται το αξιόποινο, δεν επιβάλλεται ποινή, κηρύσσεται αθώος ή απαλλάσσεται αντίστοιχα ο υπαίτιος από την ποινή και για τις συναφείς πράξεις νομιμοποίησης εσόδων. Η παρούσα δεν εφαρμόζεται όταν το αξιόποινο του βασικού αδικήματος εξαλείφθηκε λόγω παραγραφής.</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5.</w:t>
      </w:r>
      <w:r>
        <w:rPr>
          <w:lang w:val="el" w:eastAsia="el"/>
        </w:rPr>
        <w:t xml:space="preserve"> 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6.</w:t>
      </w:r>
      <w:r>
        <w:rPr>
          <w:lang w:val="el" w:eastAsia="el"/>
        </w:rPr>
        <w:t xml:space="preserve"> Τα κακουργήματα που προβλέπονται στον παρόντα νόμο δικάζονται από το Τριμελές Εφετείο Κακουργημάτων και τα πλημμελήματα από το Τριμελές Πλημμελειοδικείο. </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7.</w:t>
      </w:r>
      <w:r>
        <w:rPr>
          <w:lang w:val="el" w:eastAsia="el"/>
        </w:rPr>
        <w:t xml:space="preserve"> Επί των εγκλημάτων της παρ. 1 δύνανται να διενεργηθούν οι ειδικές ανακριτικές πράξεις του άρθρου 254 του Κώδικα Ποινικής Δικονομίας (ΚΠΔ, ν. 4620/2019, Α’ 96).</w:t>
      </w:r>
      <w:r>
        <w:rPr>
          <w:rStyle w:val="Hyperlink"/>
          <w:color w:val="000000"/>
          <w:sz w:val="20"/>
          <w:szCs w:val="20"/>
          <w:u w:val="none" w:color="0000EE"/>
          <w:vertAlign w:val="superscript"/>
          <w:lang w:val="el" w:eastAsia="el"/>
        </w:rPr>
        <w:footnoteReference w:id="332"/>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Δήμευση περιουσιακών στοιχείων</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ως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 2 του άρθρου 311 και το δεύτερο εδάφιο του άρθρου 372 του Κώδικα Ποινικής Δικονομίας (ΚΠΔ, ν. 4620/2019, Α’ 96),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τον χρόνο κτήσης τους. Η γνώση του τρίτου πρέπει να αιτιολογείται ειδικά στη δικαστική απόφαση.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πράγμασι τα καθήκοντα αυτά. Η παρούσα ισχύει και σε περίπτωση απόπειρας των ανωτέρω αδικημάτων. Δήμευση δεν επιβάλλεται όταν το δικαστήριο, αυτεπαγγέλτως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αναλόγως περιορισμένη δήμευση ή χρηματική ποινή, σύμφωνα με την παρ. 2.</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 1, δεν υπάρχει πλέον, δεν έχει βρεθεί ή δεν είναι δυνατόν να κατασχεθεί, κατάσχονται και δημεύονται με τους όρους της παρ. 1 περιουσιακά στοιχεία ίσης αξίας προς εκείνη της προαναφερθείσας περιουσίας ή του προϊόντος κατά τον χρόνο της καταδικαστικής απόφασης, όπως την προσδιορίζει το δικαστήριο (αναπληρωματική δήμευση).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 ή ανήκουν σε τρίτο στον οποίο δεν μπορεί να επιβληθεί δήμευση. Το πρώτο και δεύτερο εδάφιο δεν εφαρμόζονται όταν η περιουσία ή το προϊόν της παρ. 1 έχει ήδη αποτελέσει αντικείμενο δήμευσης, με βάση αμετάκλητη απόφαση η οποία εκδόθηκε σε άλλη δίκη. Τα εδάφια αυτά εφαρμόζονται όμως, αν η προηγηθείσα δήμευση ήταν αναπληρωματική δήμευση και τα δημευθέντα περιουσιακά στοιχεία δεν είχαν προέλθει από την αξιόποινη συμπεριφορά για την οποία είχε επιβληθεί η δήμευσή τους. Η δήμευση που επιβάλλεται με τους όρους της παρ. 1 και της παρούσας δεν θίγει προγενέστερα δικαιώματα που έχουν αποκτήσει καλόπιστοι τρίτοι ή ο ζημιωθείς από το βασικό αδίκημα ή από το αδίκημα νομιμοποίησης επί των δημευθέντων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οριστικά,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495 και η παρ. 3 του άρθρου 504 ΚΠΔ εφαρμόζονται αναλόγως και στην προκειμένη περίπτωση.</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4.</w:t>
      </w:r>
      <w:r>
        <w:rPr>
          <w:lang w:val="el" w:eastAsia="el"/>
        </w:rPr>
        <w:t xml:space="preserve"> Η παρ. 2 του άρθρου 311 και το δεύτερο εδάφιο του άρθρου 372 ΚΠΔ, εφαρμόζονται αναλόγως και αν έχει διαταχθεί δήμευση κατά της περιουσίας τρίτου, ο οποίος δεν συμμετείχε στη δίκη ούτε κλητεύθηκε σε αυτήν.</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5.</w:t>
      </w:r>
      <w:r>
        <w:rPr>
          <w:lang w:val="el" w:eastAsia="el"/>
        </w:rPr>
        <w:t xml:space="preserve">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για κοινωνικούς σκοπούς, ή για την ικανοποίηση του ζημιωθέντος από το βασικό αδίκημα ή το αδίκημα νομιμοποίησης. Στην τελευταία περίπτωση ο ζημιωθείς μπορεί να ασκήσει τα δικαιώματά του επί του δημευθέντος αντικειμένου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38"/>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 1 εφαρμόζεται στα παρακάτω ποινικά αδικήματα, εφόσον αυτά αμέσως ή εμμέσως μπορούν να οδηγήσουν σε οικονομικό όφελος:</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α)</w:t>
      </w:r>
      <w:r>
        <w:rPr>
          <w:lang w:val="en" w:eastAsia="en"/>
        </w:rPr>
        <w:tab/>
      </w:r>
      <w:r>
        <w:rPr>
          <w:lang w:val="el" w:eastAsia="el"/>
        </w:rPr>
        <w:t>των περ. α’, β’, γ’ και θ’ του άρθρου 4 του παρόντος, και των άρθρων 237Α, 323Α και 396 του Ποινικού Κώδικα (ΠΚ, 4619/2019, Α’ 95),</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β)</w:t>
      </w:r>
      <w:r>
        <w:rPr>
          <w:lang w:val="en" w:eastAsia="en"/>
        </w:rPr>
        <w:tab/>
      </w:r>
      <w:r>
        <w:rPr>
          <w:lang w:val="el" w:eastAsia="el"/>
        </w:rPr>
        <w:t>των άρθρων 207, 208, 208Α ΠΚ,</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γ)</w:t>
      </w:r>
      <w:r>
        <w:rPr>
          <w:lang w:val="en" w:eastAsia="en"/>
        </w:rPr>
        <w:tab/>
      </w:r>
      <w:r>
        <w:rPr>
          <w:lang w:val="el" w:eastAsia="el"/>
        </w:rPr>
        <w:t>των άρθρων 216, 372, 374, 375 και της παρ. 1 του άρθρου 394 ΠΚ, εφόσον αφορούν μέσα πληρωμής πλην των μετρητών,</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δ)</w:t>
      </w:r>
      <w:r>
        <w:rPr>
          <w:lang w:val="en" w:eastAsia="en"/>
        </w:rPr>
        <w:tab/>
      </w:r>
      <w:r>
        <w:rPr>
          <w:lang w:val="el" w:eastAsia="el"/>
        </w:rPr>
        <w:t>των άρθρων 348Α, 348Β, 348Γ, 349 ΠΚ,</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ε)</w:t>
      </w:r>
      <w:r>
        <w:rPr>
          <w:lang w:val="en" w:eastAsia="en"/>
        </w:rPr>
        <w:tab/>
      </w:r>
      <w:r>
        <w:rPr>
          <w:lang w:val="el" w:eastAsia="el"/>
        </w:rPr>
        <w:t>του άρθρου 292Β ΠΚ.</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Δέσμευση και απαγόρευση εκποίησης περιουσιακών στοιχείων - Εξουσιοδοτική διάταξη</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ο ανακριτής μπορεί, με σύμφωνη γνώμη του εισαγγελέα, να διατάξει τη δέσμευση κάθε είδους λογαριασμών, τίτλων ή χρηματοπιστωτικών προϊόντων που τηρούνται σε πιστωτικό ίδρυμα ή χρηματοπιστωτικό οργανισμό, καθώς και του περιεχομένου των θυρίδων θησαυροφυλακίου του κατηγορουμένου, έστω και κοινών οποιουδήποτε είδους με άλλο πρόσωπο, εφόσον υπάρχουν σοβαρές ενδείξεις ότι τα περιουσιακά αυτά στοιχεία προέρχονται άμεσα ή έμμεσα από την τέλεση των αδικημάτων του άρθρου 2. Το ίδιο ισχύει και όταν διεξάγεται ανάκριση για βασικό αδίκημα και υπάρχουν σοβαρές ενδείξεις ότι τα περιουσιακά αυτά στοιχεία προέρχονται άμεσα ή έμμεσα από την τέλεση του ανωτέρω αδικήματος ή υπόκεινται σε δήμευση, σύμφωνα με το άρθρο 40. Η δέσμευση μπορεί να αφορά και σε περιουσιακά στοιχεία τρίτου φυσικού ή νομικού προσώπου όταν υπάρχουν σοβαρές ενδείξεις ότι συντρέχουν οι προϋποθέσεις της δήμευσης αυτών κατά την παρ. 1 του άρθρου 40. Σε περίπτωση διεξαγωγής προκαταρκτικής εξέτασης ή προανάκρισης, με την επιφύλαξη της παρ. 2 του άρθρου 36 του Κώδικα Ποινικής Δικονομίας (ΚΠΔ, ν. 4620/2019, Α’ 96) για την επιβολή του μέτρου αυτού από τους εισαγγελείς οικονομικού εγκλήματος, η δέσμευση των παραπάνω περιουσιακών στοιχείων μπορεί να διαταχθεί από το δικαστικό συμβούλιο, εφόσον συντρέχουν βάσιμες υπόνοιες ότι αυτά προέρχονται άμεσα ή έμμεσα από την τέλεση βασικού αδικήματος ή αδικήματος νομιμοποίησης ή υπόκεινται σε δήμευση, σύμφωνα με το άρθρο 40.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τον χρηματοπιστωτικό οργανισμό και επιδίδεται σε εκείνον κατά του οποίου στρέφεται η δέσμευση εντός είκοσι (20) ημερών από την έκδοσή του. Σε περίπτωση κοινών λογαριασμών, τίτλων ή χρηματοπιστωτικών προϊόντων επιδίδεται και στον τρίτο συνδικαιούχο, σε περίπτωση δε θυρίδων και στον πληρεξούσιο του μισθωτή. Η επιβολή της δέσμευσης δεν κωλύει το άνοιγμα νέων τραπεζικών λογαριασμών για την εξυπηρέτηση αποκλειστικά βιοτικών και επαγγελματικών αναγκών εκείνου κατά του οποίου στρέφεται η δέσμευση. Στην περίπτωση του προηγούμενου εδαφίου λαμβάνονται υποχρεωτικά μέτρα αυξημένης δέουσας επιμέλειας και ενημερώνεται ο αρμόδιος εισαγγελέας ή ο ανακριτής για τις διενεργούμενες συναλλαγές. Στην περίπτωση αυτή δεν ισχύει το τραπεζικό απόρρητο.</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2.</w:t>
      </w:r>
      <w:r>
        <w:rPr>
          <w:lang w:val="el" w:eastAsia="el"/>
        </w:rPr>
        <w:t xml:space="preserve"> Η δέσμευση που προβλέπεται στην παρ. 1 ισχύει από τη χρονική στιγμή της αποδεδειγμένης γνωστοποίησης της διάταξης του ανακριτή ή του βουλεύματος στο πιστωτικό ίδρυμα ή στον χρηματοπιστωτικό οργανισμό. Από τότε απαγορεύεται το άνοιγμα της θυρίδας και είναι άκυρη έναντι του Δημοσίου εκταμίευση χρημάτων από τον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δέσμευση δεν θίγει προγενέστερα δικαιώματα που έχουν αποκτήσει καλόπιστοι τρίτοι επί του λογαριασμού, των τίτλων ή των χρηματοπιστωτικών προϊόντων ή του περιεχομένου της θυρίδας. Δεν εμποδίζεται επίσης ο ζημιωθείς από το βασικό αδίκημα ή το αδίκημα νομιμοποίησης, ακόμη και μετά από την επιβολή της δέσμευσης, να αποκτήσει δικαιώματα επί των περιουσιακών στοιχείων της παρ. 1. Τα δικαιώματα των προηγούμενων δύο εδαφίων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 1, ο ανακριτής ή το δικαστικό συμβούλιο μπορεί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καταχώριση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εντός είκοσι (20) ημερών από την έκδοσή του, καθώς και στον τρίτο συγκύριο του περιουσιακού στοιχείου ή στον δικαιούχο άλλου δικαιώματος εγγεγραμμένου στα βιβλία των ανωτέρω υπηρεσιών. Κάθε δικαιοπραξία, υποθήκη, κατάσχεση ή άλλη πράξη που εγγράφεται στα βιβλία των ανωτέρω αρμόδιων υπηρεσιών μετά από την εγγραφή της ανωτέρω σημείωσης είναι άκυρη έναντι του Δημοσίου. Το τέταρτο, πέμπτο και έκτο εδάφιο της παρ. 2 εφαρμόζονται αναλόγως και στην παρούσα περίπτωση.</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4.</w:t>
      </w:r>
      <w:r>
        <w:rPr>
          <w:lang w:val="el" w:eastAsia="el"/>
        </w:rPr>
        <w:t xml:space="preserve"> Εκείνος κατά του οποίου στρέφεται το μέτρο της δέσμευσης και ο τρίτος συγκύριος ή δικαιούχος επί του δεσμευμένου περιουσιακού στοιχείου δικαιούνται να ζητήσουν την άρση της διάταξης του ανακριτή, ή την ανάκληση του βουλεύματος, ή τον περιορισμό αυτών σε περιουσιακά στοιχεία μικρότερης αξίας από τα δεσμευθέντα, με προσφυγή που απευθύνεται προς το αρμόδιο δικαστικό συμβούλιο και κατατίθεται στον ανακριτή ή τον εισαγγελέα, μέσα σε είκοσι (20) ημέρες από την επίδοση σε αυτόν της διάταξης ή του βουλεύματος. Στη σύνθεση του συμβουλίου δεν μετέχει ο ανακριτής. Η υποβολή της προσφυγής και η προθεσμία προς τούτο δεν αναστέλλουν την εκτέλεση της διάταξης ή του βουλεύματος. Το συμβούλιο, κατά την κρίση του για τον περιορισμό των δεσμευμένων περιουσιακών στοιχείων, λαμβάνει ιδιαίτερα υπόψη την ύπαρξη και άλλων συγκυρίων ή δικαιούχων επί των στοιχείων αυτών.</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5.</w:t>
      </w:r>
      <w:r>
        <w:rPr>
          <w:lang w:val="el" w:eastAsia="el"/>
        </w:rPr>
        <w:t xml:space="preserve"> Ανεξάρτητα από την υποβολή της προσφυγής κατά την παρ. 4 ή από την κρίση επ’ αυτής, η διάταξη ή το βούλευμα μπορούν να ανακληθούν, ή να μεταρρυθμισθούν και η δέσμευση να αρθεί ή να περιορισθεί αυτεπάγγελτα από τον ανακριτή ή το δικαστικό συμβούλιο ή με αίτηση εκείνου κατά του οποίου στρέφεται ή του τρίτου συγκυρίου ή δικαιούχου επί του δεσμευμένου περιουσιακού στοιχείου, αν προκύψουν νέα στοιχεία, ή συντρέξουν ιδιαίτερες περιστάσεις στο πρόσωπο αυτών ή των μελών των οικογενειών τους. Επιτρέπεται, επίσης, η άρση ή ο περιορισμός της δέσμευσης, προκειμένου να ικανοποιηθεί ο ζημιωθείς από το βασικό αδίκημα, ή από το αδίκημα νομιμοποίησης και όταν ακόμη δεν συντρέχει περίπτωση από τις προβλεπόμενες στο άρθρο 304 ΚΠΔ. Μετά από την παραπομπή του κατηγορουμένου στο ακροατήριο είναι δυνατή η ανάκληση ή μεταρρύθμιση της διάταξης ή του βουλεύματος από το δικαστικό συμβούλιο ή το δικαστήριο, κατά το πρώτο εδάφιο της παρ. 1 και την παρ. 2 του άρθρου 294 ΚΠΔ, οι οποίες εφαρμόζονται αναλόγως.</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6.</w:t>
      </w:r>
      <w:r>
        <w:rPr>
          <w:lang w:val="el" w:eastAsia="el"/>
        </w:rPr>
        <w:t xml:space="preserve"> Δικαίωμα υποβολής προσφυγής ή αίτησης στο δικαστικό συμβούλιο, κατά τις παρ. 4 και 5, έχουν και οι τρίτοι οι οποίοι διεκδικούν για λογαριασμό τους την κυριότητα ή άλλο δικαίωμα επί του δεσμευμένου περιουσιακού στοιχείου.</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7.</w:t>
      </w:r>
      <w:r>
        <w:rPr>
          <w:lang w:val="el" w:eastAsia="el"/>
        </w:rPr>
        <w:t xml:space="preserve">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To αντίγραφο της διάταξης του Προέδρου της Αρχής διαβιβάζεται αμελλητί στον αρμόδιο εισαγγελέα, χωρίς αυτό να παρακωλύει την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8.</w:t>
      </w:r>
      <w:r>
        <w:rPr>
          <w:lang w:val="el" w:eastAsia="el"/>
        </w:rPr>
        <w:t xml:space="preserve">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ενδιαφερόμενα πρόσωπα, με αίτησή τους που απευθύνεται στην αρμόδια δικαστική αρχή ενώπιον της οποία εκκρεμεί η υπόθεση ή με την προσφυγή ή την αίτηση που προβλέπεται στις παρ. 4, 5 και 6,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9.</w:t>
      </w:r>
      <w:r>
        <w:rPr>
          <w:lang w:val="el" w:eastAsia="el"/>
        </w:rPr>
        <w:t xml:space="preserve"> Η δέσμευση του παρόντος αίρεται αυτοδικαίως όταν παρέλθουν τα χρονικά όρια που ορίζονται στην παρ. 4 του άρθρου 262 ΚΠΔ. Σε κάθε περίπτωση, το δικαστικό συμβούλιο, όταν παραπέμπει τον κατηγορούμενο στο ακροατήριο, αποφασίζει για τη διατήρηση της δέσμευσης, εφόσον συντρέχουν οι σοβαρές ενδείξεις της παρ. 1, ή για τον περιορισμό ή την άρση αυτής. Όταν το συμβούλιο αποφαίνεται ότι δεν πρέπει να γίνει κατηγορία κατά του κατηγορουμένου, αίρει τη δέσμευση και διατάσσει την απόδοση των περιουσιακών στοιχείων στον δικαιούχο τους. Εφαρμόζεται, επίσης, η παρ. 3 του άρθρου 311 ΚΠΔ. Κατά τη διαδικασία στο ακροατήριο εφαρμόζεται το άρθρο 373 ΚΠΔ. Στις περιπτώσεις των παρ. 3 και 4 του άρθρου 43 ΚΠΔ και των παρ. 2 και 3 του άρθρου 51 ΚΠΔ την άρση της δέσμευσης διατάσσει ο εισαγγελέας κατά ανάλογη εφαρμογή της παρ. 3 του άρθρου 269 ΚΠΔ. Εφαρμόζεται, επίσης, το άρθρο 544 ΚΠΔ για την αποζημίωση σε περίπτωση που η δέσμευση δεν ήταν δικαιολογημένη.</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10.</w:t>
      </w:r>
      <w:r>
        <w:rPr>
          <w:lang w:val="el" w:eastAsia="el"/>
        </w:rPr>
        <w:t xml:space="preserve">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επιδίδεται εντός είκοσι (20) ημερών από την έκδοσή του, με μέριμνα των κατά περίπτωση αρμοδίων εισαγγελικών αρχών,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11.</w:t>
      </w:r>
      <w:r>
        <w:rPr>
          <w:lang w:val="el" w:eastAsia="el"/>
        </w:rPr>
        <w:t xml:space="preserve"> Τα δικαιώματα που έχει εκείνος κατά του οποίου στρέφεται η δέσμευση κατά το παρόν μπορούν να ασκηθούν και από τους κληρονόμους του, σε περίπτωση θανάτου του.</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12.</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13.</w:t>
      </w:r>
      <w:r>
        <w:rPr>
          <w:lang w:val="el" w:eastAsia="el"/>
        </w:rPr>
        <w:t xml:space="preserve"> Με απόφαση του Υπουργού Δικαιοσύνης ρυθμίζονται όλα τα ειδικότερα ζητήματα σχετικά με τη δέσμευση και απαγόρευση εκποίησης περιουσιακών στοιχείων που προβλέπονται στο παρόν.</w:t>
      </w:r>
      <w:r>
        <w:rPr>
          <w:rStyle w:val="Hyperlink"/>
          <w:color w:val="000000"/>
          <w:sz w:val="20"/>
          <w:szCs w:val="20"/>
          <w:u w:val="none" w:color="0000EE"/>
          <w:vertAlign w:val="superscript"/>
          <w:lang w:val="el" w:eastAsia="el"/>
        </w:rPr>
        <w:footnoteReference w:id="358"/>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Ευθύνη νομικών προσώπων και οντοτήτων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ελληνικού Δημοσίου ή των νομικών προσώπων δημόσιου δίκαιου συμπεριλαμβανομένων των Οργανισμών Τοπικής Αυτοδιοίκησης (ΟΤΑ) και των νομικών τους προσώπων, με την επιφύλαξη των άρθρων 73 και 74 του ν. 4412/2016 (Α’ 147) και 39 και 42 του ν. 4413/2016 (Α’ 148).</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 Για την επιβολή των διοικητικών κυρώσεων απαιτείται αμετάκλητη καταδικαστική απόφαση σε βάρος του φυσικού προσώπου.</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 β’, γ’ και δ’ της παρ.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οντότητας, σύμφωνα με την έννοια των παρ.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Για το κακούργημα της παρ. 1 του άρθρου 187Β του Ποινικού Κώδικα (ΠΚ, 4619/2019, Α’ 95), η ευθύνη των νομικών προσώπων ή οντοτήτων καθορίζεται στο άρθρο 36 του ν. 4689/2020 (Α’ 103) με την επιφύλαξη των άρθρων 73 και 74 του ν. 4412/2016 και 39 και 42 του ν. 4413/2016. Ειδικές διατάξεις, με τις οποίες καθιερώνεται ευθύνη νομικών προσώπων για άλλα βασικά αδικήματα, διατηρούνται σε ισχύ.</w:t>
      </w:r>
      <w:r>
        <w:rPr>
          <w:rStyle w:val="Hyperlink"/>
          <w:color w:val="000000"/>
          <w:sz w:val="20"/>
          <w:szCs w:val="20"/>
          <w:u w:val="none" w:color="0000EE"/>
          <w:vertAlign w:val="superscript"/>
          <w:lang w:val="el" w:eastAsia="el"/>
        </w:rPr>
        <w:footnoteReference w:id="362"/>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7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παραγράφου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παραγράφου 6 του άρθρου 187Α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187Α ΠΚ. Ειδικότερα, στην Αρχή υποβάλλονται τα εξής:</w:t>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παραγράφου 1 σε βάρος των προσδιοριζόμενων ως σχετιζόμενων με την τρομοκρατία προσώπων που διαμένουν ή εδρεύουν ή κατέχουν περιουσία, σύμφωνα με την έννοια της παραγράφου 6 του άρθρου 187Α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Άρθρο 56.</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2.</w:t>
      </w:r>
      <w:r>
        <w:rPr>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3.</w:t>
      </w:r>
      <w:r>
        <w:rPr>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4.</w:t>
      </w:r>
      <w:r>
        <w:rPr>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4816/2021,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 w:history="1">
        <w:r>
          <w:rPr>
            <w:rStyle w:val="Hyperlink"/>
            <w:color w:val="0000EE"/>
            <w:u w:color="0000EE"/>
            <w:lang w:val="el" w:eastAsia="el"/>
          </w:rPr>
          <w:t>Τροποποίηση 4816/2021,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 w:history="1">
        <w:r>
          <w:rPr>
            <w:rStyle w:val="Hyperlink"/>
            <w:color w:val="0000EE"/>
            <w:u w:color="0000EE"/>
            <w:lang w:val="el" w:eastAsia="el"/>
          </w:rPr>
          <w:t>Τροποποίηση 4816/2021, Άρθρο 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 w:history="1">
        <w:r>
          <w:rPr>
            <w:rStyle w:val="Hyperlink"/>
            <w:color w:val="0000EE"/>
            <w:u w:color="0000EE"/>
            <w:lang w:val="el" w:eastAsia="el"/>
          </w:rPr>
          <w:t>Τροποποίηση 4816/2021, Άρθρο 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Τροποποίηση 4816/2021,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 w:history="1">
        <w:r>
          <w:rPr>
            <w:rStyle w:val="Hyperlink"/>
            <w:color w:val="0000EE"/>
            <w:u w:color="0000EE"/>
            <w:lang w:val="el" w:eastAsia="el"/>
          </w:rPr>
          <w:t>Τροποποίηση 4816/2021,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 w:history="1">
        <w:r>
          <w:rPr>
            <w:rStyle w:val="Hyperlink"/>
            <w:color w:val="0000EE"/>
            <w:u w:color="0000EE"/>
            <w:lang w:val="el" w:eastAsia="el"/>
          </w:rPr>
          <w:t>Τροποποίηση 4816/2021, Άρθρο 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 w:history="1">
        <w:r>
          <w:rPr>
            <w:rStyle w:val="Hyperlink"/>
            <w:color w:val="0000EE"/>
            <w:u w:color="0000EE"/>
            <w:lang w:val="el" w:eastAsia="el"/>
          </w:rPr>
          <w:t>Τροποποίηση 4816/2021, Άρθρο 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 w:history="1">
        <w:r>
          <w:rPr>
            <w:rStyle w:val="Hyperlink"/>
            <w:color w:val="0000EE"/>
            <w:u w:color="0000EE"/>
            <w:lang w:val="el" w:eastAsia="el"/>
          </w:rPr>
          <w:t>Τροποποίηση 4816/2021, Άρθρο 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9" w:history="1">
        <w:r>
          <w:rPr>
            <w:rStyle w:val="Hyperlink"/>
            <w:color w:val="0000EE"/>
            <w:u w:color="0000EE"/>
            <w:lang w:val="el" w:eastAsia="el"/>
          </w:rPr>
          <w:t>Τροποποίηση 4701/2020,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9" w:history="1">
        <w:r>
          <w:rPr>
            <w:rStyle w:val="Hyperlink"/>
            <w:color w:val="0000EE"/>
            <w:u w:color="0000EE"/>
            <w:lang w:val="el" w:eastAsia="el"/>
          </w:rPr>
          <w:t>Τροποποίηση 4701/2020, Άρθρο 59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12" w:anchor="art_62" w:history="1">
        <w:r>
          <w:rPr>
            <w:rStyle w:val="Hyperlink"/>
            <w:color w:val="0000EE"/>
            <w:u w:color="0000EE"/>
            <w:lang w:val="el" w:eastAsia="el"/>
          </w:rPr>
          <w:t>Τροποποίηση 4607/2019, Άρθρο 62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4920/2022, Άρθρο 55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 w:history="1">
        <w:r>
          <w:rPr>
            <w:rStyle w:val="Hyperlink"/>
            <w:color w:val="0000EE"/>
            <w:u w:color="0000EE"/>
            <w:lang w:val="el" w:eastAsia="el"/>
          </w:rPr>
          <w:t>Τροποποίηση 4816/2021, Άρθρο 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 w:history="1">
        <w:r>
          <w:rPr>
            <w:rStyle w:val="Hyperlink"/>
            <w:color w:val="0000EE"/>
            <w:u w:color="0000EE"/>
            <w:lang w:val="el" w:eastAsia="el"/>
          </w:rPr>
          <w:t>Τροποποίηση 4816/2021, Άρθρο 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 w:history="1">
        <w:r>
          <w:rPr>
            <w:rStyle w:val="Hyperlink"/>
            <w:color w:val="0000EE"/>
            <w:u w:color="0000EE"/>
            <w:lang w:val="el" w:eastAsia="el"/>
          </w:rPr>
          <w:t>Τροποποίηση 4816/2021, Άρθρο 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 w:history="1">
        <w:r>
          <w:rPr>
            <w:rStyle w:val="Hyperlink"/>
            <w:color w:val="0000EE"/>
            <w:u w:color="0000EE"/>
            <w:lang w:val="el" w:eastAsia="el"/>
          </w:rPr>
          <w:t>Τροποποίηση 4816/2021, Άρθρο 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 w:history="1">
        <w:r>
          <w:rPr>
            <w:rStyle w:val="Hyperlink"/>
            <w:color w:val="0000EE"/>
            <w:u w:color="0000EE"/>
            <w:lang w:val="el" w:eastAsia="el"/>
          </w:rPr>
          <w:t>Τροποποίηση 4816/2021, Άρθρο 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 w:history="1">
        <w:r>
          <w:rPr>
            <w:rStyle w:val="Hyperlink"/>
            <w:color w:val="0000EE"/>
            <w:u w:color="0000EE"/>
            <w:lang w:val="el" w:eastAsia="el"/>
          </w:rPr>
          <w:t>Τροποποίηση 4816/2021, Άρθρο 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Τροποποίηση 4816/2021, Άρθρο 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Τροποποίηση 4816/2021, Άρθρο 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 w:history="1">
        <w:r>
          <w:rPr>
            <w:rStyle w:val="Hyperlink"/>
            <w:color w:val="0000EE"/>
            <w:u w:color="0000EE"/>
            <w:lang w:val="el" w:eastAsia="el"/>
          </w:rPr>
          <w:t>Τροποποίηση 4816/2021, Άρθρο 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 w:history="1">
        <w:r>
          <w:rPr>
            <w:rStyle w:val="Hyperlink"/>
            <w:color w:val="0000EE"/>
            <w:u w:color="0000EE"/>
            <w:lang w:val="el" w:eastAsia="el"/>
          </w:rPr>
          <w:t>Τροποποίηση 4816/2021, Άρθρο 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Τροποποίηση 4816/2021, Άρθρο 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Τροποποίηση 4816/2021, Άρθρο 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 w:history="1">
        <w:r>
          <w:rPr>
            <w:rStyle w:val="Hyperlink"/>
            <w:color w:val="0000EE"/>
            <w:u w:color="0000EE"/>
            <w:lang w:val="el" w:eastAsia="el"/>
          </w:rPr>
          <w:t>Τροποποίηση 4816/2021, Άρθρο 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 w:history="1">
        <w:r>
          <w:rPr>
            <w:rStyle w:val="Hyperlink"/>
            <w:color w:val="0000EE"/>
            <w:u w:color="0000EE"/>
            <w:lang w:val="el" w:eastAsia="el"/>
          </w:rPr>
          <w:t>Τροποποίηση 4816/2021, Άρθρο 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 w:history="1">
        <w:r>
          <w:rPr>
            <w:rStyle w:val="Hyperlink"/>
            <w:color w:val="0000EE"/>
            <w:u w:color="0000EE"/>
            <w:lang w:val="el" w:eastAsia="el"/>
          </w:rPr>
          <w:t>Τροποποίηση 4816/2021, Άρθρο 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4816/2021,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 w:history="1">
        <w:r>
          <w:rPr>
            <w:rStyle w:val="Hyperlink"/>
            <w:color w:val="0000EE"/>
            <w:u w:color="0000EE"/>
            <w:lang w:val="el" w:eastAsia="el"/>
          </w:rPr>
          <w:t>Τροποποίηση 4816/2021, Άρθρο 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 w:history="1">
        <w:r>
          <w:rPr>
            <w:rStyle w:val="Hyperlink"/>
            <w:color w:val="0000EE"/>
            <w:u w:color="0000EE"/>
            <w:lang w:val="el" w:eastAsia="el"/>
          </w:rPr>
          <w:t>Τροποποίηση 4816/2021, Άρθρο 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4816/2021,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4816/2021, Άρθρο 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4816/2021, Άρθρο 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4816/2021,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4816/2021,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4816/2021, Άρθρο 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4816/2021, Άρθρο 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38" w:anchor="art_59" w:history="1">
        <w:r>
          <w:rPr>
            <w:rStyle w:val="Hyperlink"/>
            <w:color w:val="0000EE"/>
            <w:u w:color="0000EE"/>
            <w:lang w:val="el" w:eastAsia="el"/>
          </w:rPr>
          <w:t>Τροποποίηση 4701/2020, Άρθρο 59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6</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8" w:history="1">
        <w:r>
          <w:rPr>
            <w:rStyle w:val="Hyperlink"/>
            <w:color w:val="0000EE"/>
            <w:u w:color="0000EE"/>
            <w:lang w:val="el" w:eastAsia="el"/>
          </w:rPr>
          <w:t>Τροποποίηση 4583/2018, Άρθρο 78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4704/2020, Άρθρο 18</w:t>
        </w:r>
      </w:hyperlink>
      <w:r>
        <w:rPr>
          <w:lang w:val="el" w:eastAsia="el"/>
        </w:rPr>
        <w:t xml:space="preserve">; </w:t>
      </w:r>
      <w:hyperlink r:id="rId41" w:anchor="art_62" w:history="1">
        <w:r>
          <w:rPr>
            <w:rStyle w:val="Hyperlink"/>
            <w:color w:val="0000EE"/>
            <w:u w:color="0000EE"/>
            <w:lang w:val="el" w:eastAsia="el"/>
          </w:rPr>
          <w:t>Τροποποίηση 4607/2019, Άρθρο 62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16</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27</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19</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32</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24</w:t>
      </w:r>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28</w:t>
      </w:r>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 w:history="1">
        <w:r>
          <w:rPr>
            <w:rStyle w:val="Hyperlink"/>
            <w:color w:val="0000EE"/>
            <w:u w:color="0000EE"/>
            <w:lang w:val="el" w:eastAsia="el"/>
          </w:rPr>
          <w:t>Τροποποίηση 4816/2021, Άρθρο 6</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 w:history="1">
        <w:r>
          <w:rPr>
            <w:rStyle w:val="Hyperlink"/>
            <w:color w:val="0000EE"/>
            <w:u w:color="0000EE"/>
            <w:lang w:val="el" w:eastAsia="el"/>
          </w:rPr>
          <w:t>Τροποποίηση 4816/2021, Άρθρο 6</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 w:history="1">
        <w:r>
          <w:rPr>
            <w:rStyle w:val="Hyperlink"/>
            <w:color w:val="0000EE"/>
            <w:u w:color="0000EE"/>
            <w:lang w:val="el" w:eastAsia="el"/>
          </w:rPr>
          <w:t>Τροποποίηση 4816/2021, Άρθρο 6</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 w:history="1">
        <w:r>
          <w:rPr>
            <w:rStyle w:val="Hyperlink"/>
            <w:color w:val="0000EE"/>
            <w:u w:color="0000EE"/>
            <w:lang w:val="el" w:eastAsia="el"/>
          </w:rPr>
          <w:t>Τροποποίηση 4816/2021, Άρθρο 6</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 w:history="1">
        <w:r>
          <w:rPr>
            <w:rStyle w:val="Hyperlink"/>
            <w:color w:val="0000EE"/>
            <w:u w:color="0000EE"/>
            <w:lang w:val="el" w:eastAsia="el"/>
          </w:rPr>
          <w:t>Τροποποίηση 4816/2021, Άρθρο 6</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 w:history="1">
        <w:r>
          <w:rPr>
            <w:rStyle w:val="Hyperlink"/>
            <w:color w:val="0000EE"/>
            <w:u w:color="0000EE"/>
            <w:lang w:val="el" w:eastAsia="el"/>
          </w:rPr>
          <w:t>Τροποποίηση 4816/2021, Άρθρο 6</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 w:history="1">
        <w:r>
          <w:rPr>
            <w:rStyle w:val="Hyperlink"/>
            <w:color w:val="0000EE"/>
            <w:u w:color="0000EE"/>
            <w:lang w:val="el" w:eastAsia="el"/>
          </w:rPr>
          <w:t>Τροποποίηση 4816/2021, Άρθρο 6</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 w:history="1">
        <w:r>
          <w:rPr>
            <w:rStyle w:val="Hyperlink"/>
            <w:color w:val="0000EE"/>
            <w:u w:color="0000EE"/>
            <w:lang w:val="el" w:eastAsia="el"/>
          </w:rPr>
          <w:t>Τροποποίηση 4816/2021, Άρθρο 6</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 w:history="1">
        <w:r>
          <w:rPr>
            <w:rStyle w:val="Hyperlink"/>
            <w:color w:val="0000EE"/>
            <w:u w:color="0000EE"/>
            <w:lang w:val="el" w:eastAsia="el"/>
          </w:rPr>
          <w:t>Τροποποίηση 4816/2021, Άρθρο 6</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 w:history="1">
        <w:r>
          <w:rPr>
            <w:rStyle w:val="Hyperlink"/>
            <w:color w:val="0000EE"/>
            <w:u w:color="0000EE"/>
            <w:lang w:val="el" w:eastAsia="el"/>
          </w:rPr>
          <w:t>Τροποποίηση 4816/2021, Άρθρο 6</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 w:history="1">
        <w:r>
          <w:rPr>
            <w:rStyle w:val="Hyperlink"/>
            <w:color w:val="0000EE"/>
            <w:u w:color="0000EE"/>
            <w:lang w:val="el" w:eastAsia="el"/>
          </w:rPr>
          <w:t>Τροποποίηση 4816/2021, Άρθρο 6</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 w:history="1">
        <w:r>
          <w:rPr>
            <w:rStyle w:val="Hyperlink"/>
            <w:color w:val="0000EE"/>
            <w:u w:color="0000EE"/>
            <w:lang w:val="el" w:eastAsia="el"/>
          </w:rPr>
          <w:t>Τροποποίηση 4816/2021, Άρθρο 6</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6" w:history="1">
        <w:r>
          <w:rPr>
            <w:rStyle w:val="Hyperlink"/>
            <w:color w:val="0000EE"/>
            <w:u w:color="0000EE"/>
            <w:lang w:val="el" w:eastAsia="el"/>
          </w:rPr>
          <w:t>Τροποποίηση 4816/2021, Άρθρο 6</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 w:history="1">
        <w:r>
          <w:rPr>
            <w:rStyle w:val="Hyperlink"/>
            <w:color w:val="0000EE"/>
            <w:u w:color="0000EE"/>
            <w:lang w:val="el" w:eastAsia="el"/>
          </w:rPr>
          <w:t>Τροποποίηση 4816/2021, Άρθρο 6</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 w:history="1">
        <w:r>
          <w:rPr>
            <w:rStyle w:val="Hyperlink"/>
            <w:color w:val="0000EE"/>
            <w:u w:color="0000EE"/>
            <w:lang w:val="el" w:eastAsia="el"/>
          </w:rPr>
          <w:t>Τροποποίηση 4816/2021, Άρθρο 6</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 w:history="1">
        <w:r>
          <w:rPr>
            <w:rStyle w:val="Hyperlink"/>
            <w:color w:val="0000EE"/>
            <w:u w:color="0000EE"/>
            <w:lang w:val="el" w:eastAsia="el"/>
          </w:rPr>
          <w:t>Τροποποίηση 4816/2021, Άρθρο 6</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6" w:history="1">
        <w:r>
          <w:rPr>
            <w:rStyle w:val="Hyperlink"/>
            <w:color w:val="0000EE"/>
            <w:u w:color="0000EE"/>
            <w:lang w:val="el" w:eastAsia="el"/>
          </w:rPr>
          <w:t>Τροποποίηση 4816/2021, Άρθρο 6</w:t>
        </w:r>
      </w:hyperlink>
      <w:r>
        <w:rPr>
          <w:lang w:val="el" w:eastAsia="el"/>
        </w:rPr>
        <w:t>; Προσθήκη 4734/2020, Άρθρο 30</w:t>
      </w:r>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 w:history="1">
        <w:r>
          <w:rPr>
            <w:rStyle w:val="Hyperlink"/>
            <w:color w:val="0000EE"/>
            <w:u w:color="0000EE"/>
            <w:lang w:val="el" w:eastAsia="el"/>
          </w:rPr>
          <w:t>Τροποποίηση 4816/2021, Άρθρο 6</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 w:history="1">
        <w:r>
          <w:rPr>
            <w:rStyle w:val="Hyperlink"/>
            <w:color w:val="0000EE"/>
            <w:u w:color="0000EE"/>
            <w:lang w:val="el" w:eastAsia="el"/>
          </w:rPr>
          <w:t>Τροποποίηση 4816/2021, Άρθρο 7</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 w:history="1">
        <w:r>
          <w:rPr>
            <w:rStyle w:val="Hyperlink"/>
            <w:color w:val="0000EE"/>
            <w:u w:color="0000EE"/>
            <w:lang w:val="el" w:eastAsia="el"/>
          </w:rPr>
          <w:t>Τροποποίηση 4816/2021, Άρθρο 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 w:history="1">
        <w:r>
          <w:rPr>
            <w:rStyle w:val="Hyperlink"/>
            <w:color w:val="0000EE"/>
            <w:u w:color="0000EE"/>
            <w:lang w:val="el" w:eastAsia="el"/>
          </w:rPr>
          <w:t>Τροποποίηση 4816/2021, Άρθρο 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 w:history="1">
        <w:r>
          <w:rPr>
            <w:rStyle w:val="Hyperlink"/>
            <w:color w:val="0000EE"/>
            <w:u w:color="0000EE"/>
            <w:lang w:val="el" w:eastAsia="el"/>
          </w:rPr>
          <w:t>Τροποποίηση 4816/2021, Άρθρο 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 w:history="1">
        <w:r>
          <w:rPr>
            <w:rStyle w:val="Hyperlink"/>
            <w:color w:val="0000EE"/>
            <w:u w:color="0000EE"/>
            <w:lang w:val="el" w:eastAsia="el"/>
          </w:rPr>
          <w:t>Τροποποίηση 4816/2021, Άρθρο 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 w:history="1">
        <w:r>
          <w:rPr>
            <w:rStyle w:val="Hyperlink"/>
            <w:color w:val="0000EE"/>
            <w:u w:color="0000EE"/>
            <w:lang w:val="el" w:eastAsia="el"/>
          </w:rPr>
          <w:t>Προσθήκη 4816/2021, Άρθρο 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 w:history="1">
        <w:r>
          <w:rPr>
            <w:rStyle w:val="Hyperlink"/>
            <w:color w:val="0000EE"/>
            <w:u w:color="0000EE"/>
            <w:lang w:val="el" w:eastAsia="el"/>
          </w:rPr>
          <w:t>Τροποποίηση 4816/2021, Άρθρο 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8" w:history="1">
        <w:r>
          <w:rPr>
            <w:rStyle w:val="Hyperlink"/>
            <w:color w:val="0000EE"/>
            <w:u w:color="0000EE"/>
            <w:lang w:val="el" w:eastAsia="el"/>
          </w:rPr>
          <w:t>Τροποποίηση 4816/2021, Άρθρο 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 w:history="1">
        <w:r>
          <w:rPr>
            <w:rStyle w:val="Hyperlink"/>
            <w:color w:val="0000EE"/>
            <w:u w:color="0000EE"/>
            <w:lang w:val="el" w:eastAsia="el"/>
          </w:rPr>
          <w:t>Τροποποίηση 4816/2021, Άρθρο 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8" w:history="1">
        <w:r>
          <w:rPr>
            <w:rStyle w:val="Hyperlink"/>
            <w:color w:val="0000EE"/>
            <w:u w:color="0000EE"/>
            <w:lang w:val="el" w:eastAsia="el"/>
          </w:rPr>
          <w:t>Τροποποίηση 4816/2021, Άρθρο 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 w:history="1">
        <w:r>
          <w:rPr>
            <w:rStyle w:val="Hyperlink"/>
            <w:color w:val="0000EE"/>
            <w:u w:color="0000EE"/>
            <w:lang w:val="el" w:eastAsia="el"/>
          </w:rPr>
          <w:t>Τροποποίηση 4816/2021, Άρθρο 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 w:history="1">
        <w:r>
          <w:rPr>
            <w:rStyle w:val="Hyperlink"/>
            <w:color w:val="0000EE"/>
            <w:u w:color="0000EE"/>
            <w:lang w:val="el" w:eastAsia="el"/>
          </w:rPr>
          <w:t>Τροποποίηση 4816/2021, Άρθρο 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 w:history="1">
        <w:r>
          <w:rPr>
            <w:rStyle w:val="Hyperlink"/>
            <w:color w:val="0000EE"/>
            <w:u w:color="0000EE"/>
            <w:lang w:val="el" w:eastAsia="el"/>
          </w:rPr>
          <w:t>Τροποποίηση 4816/2021, Άρθρο 9</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Τροποποίηση 4816/2021, Άρθρο 9</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Τροποποίηση 4816/2021, Άρθρο 9</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Τροποποίηση 4816/2021, Άρθρο 9</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Τροποποίηση 4816/2021, Άρθρο 9</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Τροποποίηση 4816/2021, Άρθρο 9</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Τροποποίηση 4816/2021, Άρθρο 9</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71" w:history="1">
        <w:r>
          <w:rPr>
            <w:rStyle w:val="Hyperlink"/>
            <w:color w:val="0000EE"/>
            <w:u w:color="0000EE"/>
            <w:lang w:val="el" w:eastAsia="el"/>
          </w:rPr>
          <w:t>Τροποποίηση 4855/2021, Άρθρο 171</w:t>
        </w:r>
      </w:hyperlink>
      <w:r>
        <w:rPr>
          <w:lang w:val="el" w:eastAsia="el"/>
        </w:rPr>
        <w:t xml:space="preserve">; </w:t>
      </w:r>
      <w:hyperlink r:id="rId109" w:anchor="art_9" w:history="1">
        <w:r>
          <w:rPr>
            <w:rStyle w:val="Hyperlink"/>
            <w:color w:val="0000EE"/>
            <w:u w:color="0000EE"/>
            <w:lang w:val="el" w:eastAsia="el"/>
          </w:rPr>
          <w:t>Τροποποίηση 4816/2021, Άρθρο 9</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71" w:history="1">
        <w:r>
          <w:rPr>
            <w:rStyle w:val="Hyperlink"/>
            <w:color w:val="0000EE"/>
            <w:u w:color="0000EE"/>
            <w:lang w:val="el" w:eastAsia="el"/>
          </w:rPr>
          <w:t>Τροποποίηση 4855/2021, Άρθρο 171</w:t>
        </w:r>
      </w:hyperlink>
      <w:r>
        <w:rPr>
          <w:lang w:val="el" w:eastAsia="el"/>
        </w:rPr>
        <w:t xml:space="preserve">; </w:t>
      </w:r>
      <w:hyperlink r:id="rId111" w:anchor="art_9" w:history="1">
        <w:r>
          <w:rPr>
            <w:rStyle w:val="Hyperlink"/>
            <w:color w:val="0000EE"/>
            <w:u w:color="0000EE"/>
            <w:lang w:val="el" w:eastAsia="el"/>
          </w:rPr>
          <w:t>Προσθήκη 4816/2021, Άρθρο 9</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9" w:history="1">
        <w:r>
          <w:rPr>
            <w:rStyle w:val="Hyperlink"/>
            <w:color w:val="0000EE"/>
            <w:u w:color="0000EE"/>
            <w:lang w:val="el" w:eastAsia="el"/>
          </w:rPr>
          <w:t>Προσθήκη 4816/2021, Άρθρο 9</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71" w:history="1">
        <w:r>
          <w:rPr>
            <w:rStyle w:val="Hyperlink"/>
            <w:color w:val="0000EE"/>
            <w:u w:color="0000EE"/>
            <w:lang w:val="el" w:eastAsia="el"/>
          </w:rPr>
          <w:t>Τροποποίηση 4855/2021, Άρθρο 171</w:t>
        </w:r>
      </w:hyperlink>
      <w:r>
        <w:rPr>
          <w:lang w:val="el" w:eastAsia="el"/>
        </w:rPr>
        <w:t xml:space="preserve">; </w:t>
      </w:r>
      <w:hyperlink r:id="rId114" w:anchor="art_9" w:history="1">
        <w:r>
          <w:rPr>
            <w:rStyle w:val="Hyperlink"/>
            <w:color w:val="0000EE"/>
            <w:u w:color="0000EE"/>
            <w:lang w:val="el" w:eastAsia="el"/>
          </w:rPr>
          <w:t>Προσθήκη 4816/2021, Άρθρο 9</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9" w:history="1">
        <w:r>
          <w:rPr>
            <w:rStyle w:val="Hyperlink"/>
            <w:color w:val="0000EE"/>
            <w:u w:color="0000EE"/>
            <w:lang w:val="el" w:eastAsia="el"/>
          </w:rPr>
          <w:t>Προσθήκη 4816/2021, Άρθρο 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 w:history="1">
        <w:r>
          <w:rPr>
            <w:rStyle w:val="Hyperlink"/>
            <w:color w:val="0000EE"/>
            <w:u w:color="0000EE"/>
            <w:lang w:val="el" w:eastAsia="el"/>
          </w:rPr>
          <w:t>Προσθήκη 4816/2021, Άρθρο 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 w:history="1">
        <w:r>
          <w:rPr>
            <w:rStyle w:val="Hyperlink"/>
            <w:color w:val="0000EE"/>
            <w:u w:color="0000EE"/>
            <w:lang w:val="el" w:eastAsia="el"/>
          </w:rPr>
          <w:t>Προσθήκη 4816/2021, Άρθρο 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 w:history="1">
        <w:r>
          <w:rPr>
            <w:rStyle w:val="Hyperlink"/>
            <w:color w:val="0000EE"/>
            <w:u w:color="0000EE"/>
            <w:lang w:val="el" w:eastAsia="el"/>
          </w:rPr>
          <w:t>Τροποποίηση 4816/2021,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4816/2021,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 w:history="1">
        <w:r>
          <w:rPr>
            <w:rStyle w:val="Hyperlink"/>
            <w:color w:val="0000EE"/>
            <w:u w:color="0000EE"/>
            <w:lang w:val="el" w:eastAsia="el"/>
          </w:rPr>
          <w:t>Τροποποίηση 4816/2021,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 w:history="1">
        <w:r>
          <w:rPr>
            <w:rStyle w:val="Hyperlink"/>
            <w:color w:val="0000EE"/>
            <w:u w:color="0000EE"/>
            <w:lang w:val="el" w:eastAsia="el"/>
          </w:rPr>
          <w:t>Τροποποίηση 4816/2021,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36" w:history="1">
        <w:r>
          <w:rPr>
            <w:rStyle w:val="Hyperlink"/>
            <w:color w:val="0000EE"/>
            <w:u w:color="0000EE"/>
            <w:lang w:val="el" w:eastAsia="el"/>
          </w:rPr>
          <w:t>Τροποποίηση 4798/2021, Άρθρο 236</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63" w:history="1">
        <w:r>
          <w:rPr>
            <w:rStyle w:val="Hyperlink"/>
            <w:color w:val="0000EE"/>
            <w:u w:color="0000EE"/>
            <w:lang w:val="el" w:eastAsia="el"/>
          </w:rPr>
          <w:t>Τροποποίηση 4646/2019, Άρθρο 63</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1" w:history="1">
        <w:r>
          <w:rPr>
            <w:rStyle w:val="Hyperlink"/>
            <w:color w:val="0000EE"/>
            <w:u w:color="0000EE"/>
            <w:lang w:val="el" w:eastAsia="el"/>
          </w:rPr>
          <w:t>Τροποποίηση 4816/2021, Άρθρο 11</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63" w:history="1">
        <w:r>
          <w:rPr>
            <w:rStyle w:val="Hyperlink"/>
            <w:color w:val="0000EE"/>
            <w:u w:color="0000EE"/>
            <w:lang w:val="el" w:eastAsia="el"/>
          </w:rPr>
          <w:t>Τροποποίηση 4646/2019, Άρθρο 63</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63" w:history="1">
        <w:r>
          <w:rPr>
            <w:rStyle w:val="Hyperlink"/>
            <w:color w:val="0000EE"/>
            <w:u w:color="0000EE"/>
            <w:lang w:val="el" w:eastAsia="el"/>
          </w:rPr>
          <w:t>Προσθήκη 4646/2019, Άρθρο 63</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31</w:t>
      </w:r>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 w:history="1">
        <w:r>
          <w:rPr>
            <w:rStyle w:val="Hyperlink"/>
            <w:color w:val="0000EE"/>
            <w:u w:color="0000EE"/>
            <w:lang w:val="el" w:eastAsia="el"/>
          </w:rPr>
          <w:t>Τροποποίηση 4664/2020, Άρθρο 2</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 w:history="1">
        <w:r>
          <w:rPr>
            <w:rStyle w:val="Hyperlink"/>
            <w:color w:val="0000EE"/>
            <w:u w:color="0000EE"/>
            <w:lang w:val="el" w:eastAsia="el"/>
          </w:rPr>
          <w:t>Τροποποίηση 4664/2020, Άρθρο 2</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 w:history="1">
        <w:r>
          <w:rPr>
            <w:rStyle w:val="Hyperlink"/>
            <w:color w:val="0000EE"/>
            <w:u w:color="0000EE"/>
            <w:lang w:val="el" w:eastAsia="el"/>
          </w:rPr>
          <w:t>Τροποποίηση 4664/2020, Άρθρο 2</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 w:history="1">
        <w:r>
          <w:rPr>
            <w:rStyle w:val="Hyperlink"/>
            <w:color w:val="0000EE"/>
            <w:u w:color="0000EE"/>
            <w:lang w:val="el" w:eastAsia="el"/>
          </w:rPr>
          <w:t>Τροποποίηση 4664/2020, Άρθρο 2</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 w:history="1">
        <w:r>
          <w:rPr>
            <w:rStyle w:val="Hyperlink"/>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09/4816" TargetMode="External" /><Relationship Id="rId10" Type="http://schemas.openxmlformats.org/officeDocument/2006/relationships/hyperlink" Target="http://data.aade.gr/eli/pri/law/2020/06/30/4701" TargetMode="External" /><Relationship Id="rId100" Type="http://schemas.openxmlformats.org/officeDocument/2006/relationships/hyperlink" Target="http://data.aade.gr/eli/pri/law/2021/07/09/4816" TargetMode="External" /><Relationship Id="rId101" Type="http://schemas.openxmlformats.org/officeDocument/2006/relationships/hyperlink" Target="http://data.aade.gr/eli/pri/law/2021/07/09/4816" TargetMode="External" /><Relationship Id="rId102" Type="http://schemas.openxmlformats.org/officeDocument/2006/relationships/hyperlink" Target="http://data.aade.gr/eli/pri/law/2021/07/09/4816" TargetMode="External" /><Relationship Id="rId103" Type="http://schemas.openxmlformats.org/officeDocument/2006/relationships/hyperlink" Target="http://data.aade.gr/eli/pri/law/2021/07/09/4816" TargetMode="External" /><Relationship Id="rId104" Type="http://schemas.openxmlformats.org/officeDocument/2006/relationships/hyperlink" Target="http://data.aade.gr/eli/pri/law/2021/07/09/4816" TargetMode="External" /><Relationship Id="rId105" Type="http://schemas.openxmlformats.org/officeDocument/2006/relationships/hyperlink" Target="http://data.aade.gr/eli/pri/law/2021/07/09/4816" TargetMode="External" /><Relationship Id="rId106" Type="http://schemas.openxmlformats.org/officeDocument/2006/relationships/hyperlink" Target="http://data.aade.gr/eli/pri/law/2021/07/09/4816" TargetMode="External" /><Relationship Id="rId107" Type="http://schemas.openxmlformats.org/officeDocument/2006/relationships/hyperlink" Target="http://data.aade.gr/eli/pri/law/2021/07/09/4816" TargetMode="External" /><Relationship Id="rId108" Type="http://schemas.openxmlformats.org/officeDocument/2006/relationships/hyperlink" Target="http://data.aade.gr/eli/pri/law/2021/11/12/4855" TargetMode="External" /><Relationship Id="rId109" Type="http://schemas.openxmlformats.org/officeDocument/2006/relationships/hyperlink" Target="http://data.aade.gr/eli/pri/law/2021/07/09/4816" TargetMode="External" /><Relationship Id="rId11" Type="http://schemas.openxmlformats.org/officeDocument/2006/relationships/hyperlink" Target="http://data.aade.gr/eli/pri/law/2020/06/30/4701" TargetMode="External" /><Relationship Id="rId110" Type="http://schemas.openxmlformats.org/officeDocument/2006/relationships/hyperlink" Target="http://data.aade.gr/eli/pri/law/2021/11/12/4855" TargetMode="External" /><Relationship Id="rId111" Type="http://schemas.openxmlformats.org/officeDocument/2006/relationships/hyperlink" Target="http://data.aade.gr/eli/pri/law/2021/07/09/4816" TargetMode="External" /><Relationship Id="rId112" Type="http://schemas.openxmlformats.org/officeDocument/2006/relationships/hyperlink" Target="http://data.aade.gr/eli/pri/law/2021/07/09/4816" TargetMode="External" /><Relationship Id="rId113" Type="http://schemas.openxmlformats.org/officeDocument/2006/relationships/hyperlink" Target="http://data.aade.gr/eli/pri/law/2021/11/12/4855" TargetMode="External" /><Relationship Id="rId114" Type="http://schemas.openxmlformats.org/officeDocument/2006/relationships/hyperlink" Target="http://data.aade.gr/eli/pri/law/2021/07/09/4816" TargetMode="External" /><Relationship Id="rId115" Type="http://schemas.openxmlformats.org/officeDocument/2006/relationships/hyperlink" Target="http://data.aade.gr/eli/pri/law/2021/07/09/4816" TargetMode="External" /><Relationship Id="rId116" Type="http://schemas.openxmlformats.org/officeDocument/2006/relationships/hyperlink" Target="http://data.aade.gr/eli/pri/law/2021/07/09/4816" TargetMode="External" /><Relationship Id="rId117" Type="http://schemas.openxmlformats.org/officeDocument/2006/relationships/hyperlink" Target="http://data.aade.gr/eli/pri/law/2021/07/09/4816" TargetMode="External" /><Relationship Id="rId118" Type="http://schemas.openxmlformats.org/officeDocument/2006/relationships/hyperlink" Target="http://data.aade.gr/eli/pri/law/2021/07/09/4816" TargetMode="External" /><Relationship Id="rId119" Type="http://schemas.openxmlformats.org/officeDocument/2006/relationships/hyperlink" Target="http://data.aade.gr/eli/pri/law/2021/07/09/4816" TargetMode="External" /><Relationship Id="rId12" Type="http://schemas.openxmlformats.org/officeDocument/2006/relationships/hyperlink" Target="http://data.aade.gr/eli/pri/law/2019/04/24/4607" TargetMode="External" /><Relationship Id="rId120" Type="http://schemas.openxmlformats.org/officeDocument/2006/relationships/hyperlink" Target="http://data.aade.gr/eli/pri/law/2021/07/09/4816" TargetMode="External" /><Relationship Id="rId121" Type="http://schemas.openxmlformats.org/officeDocument/2006/relationships/hyperlink" Target="http://data.aade.gr/eli/pri/law/2021/07/09/4816" TargetMode="External" /><Relationship Id="rId122" Type="http://schemas.openxmlformats.org/officeDocument/2006/relationships/hyperlink" Target="http://data.aade.gr/eli/pri/law/2021/04/24/4798"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21/07/09/4816"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2/14/4664" TargetMode="External" /><Relationship Id="rId128" Type="http://schemas.openxmlformats.org/officeDocument/2006/relationships/hyperlink" Target="http://data.aade.gr/eli/pri/law/2020/02/14/4664" TargetMode="External" /><Relationship Id="rId129" Type="http://schemas.openxmlformats.org/officeDocument/2006/relationships/hyperlink" Target="http://data.aade.gr/eli/pri/law/2020/02/14/4664" TargetMode="External" /><Relationship Id="rId13" Type="http://schemas.openxmlformats.org/officeDocument/2006/relationships/hyperlink" Target="http://data.aade.gr/eli/pri/law/2021/07/09/4816" TargetMode="External" /><Relationship Id="rId130" Type="http://schemas.openxmlformats.org/officeDocument/2006/relationships/hyperlink" Target="http://data.aade.gr/eli/pri/law/2020/02/14/4664" TargetMode="External" /><Relationship Id="rId131" Type="http://schemas.openxmlformats.org/officeDocument/2006/relationships/hyperlink" Target="http://data.aade.gr/eli/pri/law/2020/02/14/4664" TargetMode="External" /><Relationship Id="rId14" Type="http://schemas.openxmlformats.org/officeDocument/2006/relationships/hyperlink" Target="http://data.aade.gr/eli/pri/law/2021/07/09/4816" TargetMode="External" /><Relationship Id="rId15" Type="http://schemas.openxmlformats.org/officeDocument/2006/relationships/hyperlink" Target="http://data.aade.gr/eli/pri/law/2021/07/09/4816" TargetMode="External" /><Relationship Id="rId16" Type="http://schemas.openxmlformats.org/officeDocument/2006/relationships/hyperlink" Target="http://data.aade.gr/eli/pri/law/2021/07/09/4816" TargetMode="External" /><Relationship Id="rId17" Type="http://schemas.openxmlformats.org/officeDocument/2006/relationships/hyperlink" Target="http://data.aade.gr/eli/pri/law/2021/07/09/4816" TargetMode="External" /><Relationship Id="rId18" Type="http://schemas.openxmlformats.org/officeDocument/2006/relationships/hyperlink" Target="http://data.aade.gr/eli/pri/law/2021/07/09/4816" TargetMode="External" /><Relationship Id="rId19" Type="http://schemas.openxmlformats.org/officeDocument/2006/relationships/hyperlink" Target="http://data.aade.gr/eli/pri/law/2021/07/09/4816" TargetMode="External" /><Relationship Id="rId2" Type="http://schemas.openxmlformats.org/officeDocument/2006/relationships/hyperlink" Target="http://data.aade.gr/eli/pri/law/2021/07/09/4816" TargetMode="External" /><Relationship Id="rId20" Type="http://schemas.openxmlformats.org/officeDocument/2006/relationships/hyperlink" Target="http://data.aade.gr/eli/pri/law/2021/07/09/4816" TargetMode="External" /><Relationship Id="rId21" Type="http://schemas.openxmlformats.org/officeDocument/2006/relationships/hyperlink" Target="http://data.aade.gr/eli/pri/law/2021/07/09/4816" TargetMode="External" /><Relationship Id="rId22" Type="http://schemas.openxmlformats.org/officeDocument/2006/relationships/hyperlink" Target="http://data.aade.gr/eli/pri/law/2021/07/09/4816" TargetMode="External" /><Relationship Id="rId23" Type="http://schemas.openxmlformats.org/officeDocument/2006/relationships/hyperlink" Target="http://data.aade.gr/eli/pri/law/2021/07/09/4816" TargetMode="External" /><Relationship Id="rId24" Type="http://schemas.openxmlformats.org/officeDocument/2006/relationships/hyperlink" Target="http://data.aade.gr/eli/pri/law/2021/07/09/4816" TargetMode="External" /><Relationship Id="rId25" Type="http://schemas.openxmlformats.org/officeDocument/2006/relationships/hyperlink" Target="http://data.aade.gr/eli/pri/law/2021/07/09/4816" TargetMode="External" /><Relationship Id="rId26" Type="http://schemas.openxmlformats.org/officeDocument/2006/relationships/hyperlink" Target="http://data.aade.gr/eli/pri/law/2021/07/09/4816" TargetMode="External" /><Relationship Id="rId27" Type="http://schemas.openxmlformats.org/officeDocument/2006/relationships/hyperlink" Target="http://data.aade.gr/eli/pri/law/2021/07/09/4816" TargetMode="External" /><Relationship Id="rId28" Type="http://schemas.openxmlformats.org/officeDocument/2006/relationships/hyperlink" Target="http://data.aade.gr/eli/pri/law/2021/07/09/4816" TargetMode="External" /><Relationship Id="rId29" Type="http://schemas.openxmlformats.org/officeDocument/2006/relationships/hyperlink" Target="http://data.aade.gr/eli/pri/law/2021/07/09/4816" TargetMode="External" /><Relationship Id="rId3" Type="http://schemas.openxmlformats.org/officeDocument/2006/relationships/hyperlink" Target="http://data.aade.gr/eli/pri/law/2021/07/09/4816" TargetMode="External" /><Relationship Id="rId30" Type="http://schemas.openxmlformats.org/officeDocument/2006/relationships/hyperlink" Target="http://data.aade.gr/eli/pri/law/2021/07/09/4816" TargetMode="External" /><Relationship Id="rId31" Type="http://schemas.openxmlformats.org/officeDocument/2006/relationships/hyperlink" Target="http://data.aade.gr/eli/pri/law/2021/07/09/4816" TargetMode="External" /><Relationship Id="rId32" Type="http://schemas.openxmlformats.org/officeDocument/2006/relationships/hyperlink" Target="http://data.aade.gr/eli/pri/law/2021/07/09/4816" TargetMode="External" /><Relationship Id="rId33" Type="http://schemas.openxmlformats.org/officeDocument/2006/relationships/hyperlink" Target="http://data.aade.gr/eli/pri/law/2021/07/09/4816" TargetMode="External" /><Relationship Id="rId34" Type="http://schemas.openxmlformats.org/officeDocument/2006/relationships/hyperlink" Target="http://data.aade.gr/eli/pri/law/2021/07/09/4816" TargetMode="External" /><Relationship Id="rId35" Type="http://schemas.openxmlformats.org/officeDocument/2006/relationships/hyperlink" Target="http://data.aade.gr/eli/pri/law/2021/07/09/4816" TargetMode="External" /><Relationship Id="rId36" Type="http://schemas.openxmlformats.org/officeDocument/2006/relationships/hyperlink" Target="http://data.aade.gr/eli/pri/law/2021/07/09/4816" TargetMode="External" /><Relationship Id="rId37" Type="http://schemas.openxmlformats.org/officeDocument/2006/relationships/hyperlink" Target="http://data.aade.gr/eli/pri/law/2021/07/09/4816" TargetMode="External" /><Relationship Id="rId38" Type="http://schemas.openxmlformats.org/officeDocument/2006/relationships/hyperlink" Target="http://data.aade.gr/eli/pri/law/2020/06/30/4701" TargetMode="External" /><Relationship Id="rId39" Type="http://schemas.openxmlformats.org/officeDocument/2006/relationships/hyperlink" Target="http://data.aade.gr/eli/pri/law/2018/12/18/4583" TargetMode="External" /><Relationship Id="rId4" Type="http://schemas.openxmlformats.org/officeDocument/2006/relationships/hyperlink" Target="http://data.aade.gr/eli/pri/law/2021/07/09/4816" TargetMode="External" /><Relationship Id="rId40" Type="http://schemas.openxmlformats.org/officeDocument/2006/relationships/hyperlink" Target="http://data.aade.gr/eli/pri/law/2020/07/14/4704" TargetMode="External" /><Relationship Id="rId41" Type="http://schemas.openxmlformats.org/officeDocument/2006/relationships/hyperlink" Target="http://data.aade.gr/eli/pri/law/2019/04/24/4607" TargetMode="External" /><Relationship Id="rId42" Type="http://schemas.openxmlformats.org/officeDocument/2006/relationships/hyperlink" Target="http://data.aade.gr/eli/pri/law/2022/06/16/4941" TargetMode="External" /><Relationship Id="rId43" Type="http://schemas.openxmlformats.org/officeDocument/2006/relationships/hyperlink" Target="http://data.aade.gr/eli/pri/law/2022/06/16/4941" TargetMode="External" /><Relationship Id="rId44" Type="http://schemas.openxmlformats.org/officeDocument/2006/relationships/hyperlink" Target="http://data.aade.gr/eli/pri/law/2022/06/16/4941" TargetMode="External" /><Relationship Id="rId45" Type="http://schemas.openxmlformats.org/officeDocument/2006/relationships/hyperlink" Target="http://data.aade.gr/eli/pri/law/2022/06/16/4941" TargetMode="External" /><Relationship Id="rId46" Type="http://schemas.openxmlformats.org/officeDocument/2006/relationships/hyperlink" Target="http://data.aade.gr/eli/pri/law/2022/06/16/4941" TargetMode="External" /><Relationship Id="rId47" Type="http://schemas.openxmlformats.org/officeDocument/2006/relationships/hyperlink" Target="http://data.aade.gr/eli/pri/law/2022/06/16/4941" TargetMode="External" /><Relationship Id="rId48" Type="http://schemas.openxmlformats.org/officeDocument/2006/relationships/hyperlink" Target="http://data.aade.gr/eli/pri/law/2022/06/16/4941" TargetMode="External" /><Relationship Id="rId49" Type="http://schemas.openxmlformats.org/officeDocument/2006/relationships/hyperlink" Target="http://data.aade.gr/eli/pri/law/2022/06/16/4941" TargetMode="External" /><Relationship Id="rId5" Type="http://schemas.openxmlformats.org/officeDocument/2006/relationships/hyperlink" Target="http://data.aade.gr/eli/pri/law/2021/07/09/4816" TargetMode="External" /><Relationship Id="rId50" Type="http://schemas.openxmlformats.org/officeDocument/2006/relationships/hyperlink" Target="http://data.aade.gr/eli/pri/law/2022/06/16/4941" TargetMode="External" /><Relationship Id="rId51" Type="http://schemas.openxmlformats.org/officeDocument/2006/relationships/hyperlink" Target="http://data.aade.gr/eli/pri/law/2022/06/16/4941" TargetMode="External" /><Relationship Id="rId52" Type="http://schemas.openxmlformats.org/officeDocument/2006/relationships/hyperlink" Target="http://data.aade.gr/eli/pri/law/2022/06/16/4941" TargetMode="External" /><Relationship Id="rId53" Type="http://schemas.openxmlformats.org/officeDocument/2006/relationships/hyperlink" Target="http://data.aade.gr/eli/pri/law/2022/06/16/4941" TargetMode="External" /><Relationship Id="rId54" Type="http://schemas.openxmlformats.org/officeDocument/2006/relationships/hyperlink" Target="http://data.aade.gr/eli/pri/law/2022/06/16/4941" TargetMode="External" /><Relationship Id="rId55" Type="http://schemas.openxmlformats.org/officeDocument/2006/relationships/hyperlink" Target="http://data.aade.gr/eli/pri/law/2022/06/16/4941" TargetMode="External" /><Relationship Id="rId56" Type="http://schemas.openxmlformats.org/officeDocument/2006/relationships/hyperlink" Target="http://data.aade.gr/eli/pri/law/2022/06/16/4941" TargetMode="External" /><Relationship Id="rId57" Type="http://schemas.openxmlformats.org/officeDocument/2006/relationships/hyperlink" Target="http://data.aade.gr/eli/pri/law/2022/06/16/4941" TargetMode="External" /><Relationship Id="rId58" Type="http://schemas.openxmlformats.org/officeDocument/2006/relationships/hyperlink" Target="http://data.aade.gr/eli/pri/law/2022/06/16/4941" TargetMode="External" /><Relationship Id="rId59" Type="http://schemas.openxmlformats.org/officeDocument/2006/relationships/hyperlink" Target="http://data.aade.gr/eli/pri/law/2022/06/16/4941" TargetMode="External" /><Relationship Id="rId6" Type="http://schemas.openxmlformats.org/officeDocument/2006/relationships/hyperlink" Target="http://data.aade.gr/eli/pri/law/2021/07/09/4816" TargetMode="External" /><Relationship Id="rId60" Type="http://schemas.openxmlformats.org/officeDocument/2006/relationships/hyperlink" Target="http://data.aade.gr/eli/pri/law/2022/06/16/4941" TargetMode="External" /><Relationship Id="rId61" Type="http://schemas.openxmlformats.org/officeDocument/2006/relationships/hyperlink" Target="http://data.aade.gr/eli/pri/law/2022/06/16/4941" TargetMode="External" /><Relationship Id="rId62" Type="http://schemas.openxmlformats.org/officeDocument/2006/relationships/hyperlink" Target="http://data.aade.gr/eli/pri/law/2022/06/16/4941" TargetMode="External" /><Relationship Id="rId63" Type="http://schemas.openxmlformats.org/officeDocument/2006/relationships/hyperlink" Target="http://data.aade.gr/eli/pri/law/2022/06/16/4941" TargetMode="External" /><Relationship Id="rId64" Type="http://schemas.openxmlformats.org/officeDocument/2006/relationships/hyperlink" Target="http://data.aade.gr/eli/pri/law/2022/06/16/4941" TargetMode="External" /><Relationship Id="rId65" Type="http://schemas.openxmlformats.org/officeDocument/2006/relationships/hyperlink" Target="http://data.aade.gr/eli/pri/law/2022/06/16/4941" TargetMode="External" /><Relationship Id="rId66" Type="http://schemas.openxmlformats.org/officeDocument/2006/relationships/hyperlink" Target="http://data.aade.gr/eli/pri/law/2022/06/16/4941" TargetMode="External" /><Relationship Id="rId67" Type="http://schemas.openxmlformats.org/officeDocument/2006/relationships/hyperlink" Target="http://data.aade.gr/eli/pri/law/2022/06/16/4941" TargetMode="External" /><Relationship Id="rId68" Type="http://schemas.openxmlformats.org/officeDocument/2006/relationships/hyperlink" Target="http://data.aade.gr/eli/pri/law/2022/06/16/4941" TargetMode="External" /><Relationship Id="rId69" Type="http://schemas.openxmlformats.org/officeDocument/2006/relationships/hyperlink" Target="http://data.aade.gr/eli/pri/law/2022/06/16/4941" TargetMode="External" /><Relationship Id="rId7" Type="http://schemas.openxmlformats.org/officeDocument/2006/relationships/hyperlink" Target="http://data.aade.gr/eli/pri/law/2021/07/09/4816" TargetMode="External" /><Relationship Id="rId70" Type="http://schemas.openxmlformats.org/officeDocument/2006/relationships/hyperlink" Target="http://data.aade.gr/eli/pri/law/2022/06/16/4941" TargetMode="External" /><Relationship Id="rId71" Type="http://schemas.openxmlformats.org/officeDocument/2006/relationships/hyperlink" Target="http://data.aade.gr/eli/pri/law/2021/07/09/4816" TargetMode="External" /><Relationship Id="rId72" Type="http://schemas.openxmlformats.org/officeDocument/2006/relationships/hyperlink" Target="http://data.aade.gr/eli/pri/law/2021/07/09/4816" TargetMode="External" /><Relationship Id="rId73" Type="http://schemas.openxmlformats.org/officeDocument/2006/relationships/hyperlink" Target="http://data.aade.gr/eli/pri/law/2021/07/09/4816" TargetMode="External" /><Relationship Id="rId74" Type="http://schemas.openxmlformats.org/officeDocument/2006/relationships/hyperlink" Target="http://data.aade.gr/eli/pri/law/2021/07/09/4816" TargetMode="External" /><Relationship Id="rId75" Type="http://schemas.openxmlformats.org/officeDocument/2006/relationships/hyperlink" Target="http://data.aade.gr/eli/pri/law/2021/07/09/4816" TargetMode="External" /><Relationship Id="rId76" Type="http://schemas.openxmlformats.org/officeDocument/2006/relationships/hyperlink" Target="http://data.aade.gr/eli/pri/law/2021/07/09/4816" TargetMode="External" /><Relationship Id="rId77" Type="http://schemas.openxmlformats.org/officeDocument/2006/relationships/hyperlink" Target="http://data.aade.gr/eli/pri/law/2021/07/09/4816" TargetMode="External" /><Relationship Id="rId78" Type="http://schemas.openxmlformats.org/officeDocument/2006/relationships/hyperlink" Target="http://data.aade.gr/eli/pri/law/2021/07/09/4816" TargetMode="External" /><Relationship Id="rId79" Type="http://schemas.openxmlformats.org/officeDocument/2006/relationships/hyperlink" Target="http://data.aade.gr/eli/pri/law/2021/07/09/4816" TargetMode="External" /><Relationship Id="rId8" Type="http://schemas.openxmlformats.org/officeDocument/2006/relationships/hyperlink" Target="http://data.aade.gr/eli/pri/law/2021/07/09/4816" TargetMode="External" /><Relationship Id="rId80" Type="http://schemas.openxmlformats.org/officeDocument/2006/relationships/hyperlink" Target="http://data.aade.gr/eli/pri/law/2021/07/09/4816" TargetMode="External" /><Relationship Id="rId81" Type="http://schemas.openxmlformats.org/officeDocument/2006/relationships/hyperlink" Target="http://data.aade.gr/eli/pri/law/2021/07/09/4816" TargetMode="External" /><Relationship Id="rId82" Type="http://schemas.openxmlformats.org/officeDocument/2006/relationships/hyperlink" Target="http://data.aade.gr/eli/pri/law/2021/07/09/4816" TargetMode="External" /><Relationship Id="rId83" Type="http://schemas.openxmlformats.org/officeDocument/2006/relationships/hyperlink" Target="http://data.aade.gr/eli/pri/law/2021/07/09/4816" TargetMode="External" /><Relationship Id="rId84" Type="http://schemas.openxmlformats.org/officeDocument/2006/relationships/hyperlink" Target="http://data.aade.gr/eli/pri/law/2021/07/09/4816" TargetMode="External" /><Relationship Id="rId85" Type="http://schemas.openxmlformats.org/officeDocument/2006/relationships/hyperlink" Target="http://data.aade.gr/eli/pri/law/2021/07/09/4816" TargetMode="External" /><Relationship Id="rId86" Type="http://schemas.openxmlformats.org/officeDocument/2006/relationships/hyperlink" Target="http://data.aade.gr/eli/pri/law/2021/07/09/4816" TargetMode="External" /><Relationship Id="rId87" Type="http://schemas.openxmlformats.org/officeDocument/2006/relationships/hyperlink" Target="http://data.aade.gr/eli/pri/law/2021/07/09/4816" TargetMode="External" /><Relationship Id="rId88" Type="http://schemas.openxmlformats.org/officeDocument/2006/relationships/hyperlink" Target="http://data.aade.gr/eli/pri/law/2021/07/09/4816" TargetMode="External" /><Relationship Id="rId89" Type="http://schemas.openxmlformats.org/officeDocument/2006/relationships/hyperlink" Target="http://data.aade.gr/eli/pri/law/2021/07/09/4816" TargetMode="External" /><Relationship Id="rId9" Type="http://schemas.openxmlformats.org/officeDocument/2006/relationships/hyperlink" Target="http://data.aade.gr/eli/pri/law/2021/07/09/4816" TargetMode="External" /><Relationship Id="rId90" Type="http://schemas.openxmlformats.org/officeDocument/2006/relationships/hyperlink" Target="http://data.aade.gr/eli/pri/law/2021/07/09/4816" TargetMode="External" /><Relationship Id="rId91" Type="http://schemas.openxmlformats.org/officeDocument/2006/relationships/hyperlink" Target="http://data.aade.gr/eli/pri/law/2021/07/09/4816" TargetMode="External" /><Relationship Id="rId92" Type="http://schemas.openxmlformats.org/officeDocument/2006/relationships/hyperlink" Target="http://data.aade.gr/eli/pri/law/2021/07/09/4816" TargetMode="External" /><Relationship Id="rId93" Type="http://schemas.openxmlformats.org/officeDocument/2006/relationships/hyperlink" Target="http://data.aade.gr/eli/pri/law/2021/07/09/4816" TargetMode="External" /><Relationship Id="rId94" Type="http://schemas.openxmlformats.org/officeDocument/2006/relationships/hyperlink" Target="http://data.aade.gr/eli/pri/law/2021/07/09/4816" TargetMode="External" /><Relationship Id="rId95" Type="http://schemas.openxmlformats.org/officeDocument/2006/relationships/hyperlink" Target="http://data.aade.gr/eli/pri/law/2021/07/09/4816" TargetMode="External" /><Relationship Id="rId96" Type="http://schemas.openxmlformats.org/officeDocument/2006/relationships/hyperlink" Target="http://data.aade.gr/eli/pri/law/2021/07/09/4816" TargetMode="External" /><Relationship Id="rId97" Type="http://schemas.openxmlformats.org/officeDocument/2006/relationships/hyperlink" Target="http://data.aade.gr/eli/pri/law/2021/07/09/4816" TargetMode="External" /><Relationship Id="rId98" Type="http://schemas.openxmlformats.org/officeDocument/2006/relationships/hyperlink" Target="http://data.aade.gr/eli/pri/law/2021/07/09/4816" TargetMode="External" /><Relationship Id="rId99" Type="http://schemas.openxmlformats.org/officeDocument/2006/relationships/hyperlink" Target="http://data.aade.gr/eli/pri/law/2021/07/09/48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