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Σκοπός του παρόντος είναι η πρόληψη και καταστολή της νομιμοποίησης εσόδων από εγκληματικές δραστηριότητες και της χρηματοδότησης της τρομοκρατίας, καθώς και η προστασία του χρηματοπιστωτικού συστήματος από τους κινδύνους που αυτές ενέχουν.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Νομιμοποίηση εσόδων από εγκληματικές δραστηριότητες (ξέπλυμα χρήματος) συνιστούν οι εξής πράξεις: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η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απόκρυψη ή συγκάλυψη της αλήθειας, όσον αφορά τη φύση, την προέλευση, τη διάθεση, τη διακίνηση ή τη χρήση περιουσίας ή τον τόπο όπου αυτή βρίσκεται ή την κυριότητα επ’ αυτής, ή τα σχετικά με αυτή δικαιώματα, εν γνώσει του γεγονότος ότι η περιουσία αυτή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τον χρόνο κτήσης, ή κατά τον χρόνο περιέλευσης της κατοχής ή της χρήσης, του γεγονότος ότι η περιουσία προέρχεται από εγκληματική δραστηριότητα ή από πράξη συμμετοχής σε τέτοια δραστηριότητα,</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Δεν απαιτείται να είναι αξιόποινες, σύμφωνα με τη νομοθεσία του ξένου κράτους οι δραστηριότητες που, αν είχαν λάβει χώρα στην Ελλάδα, θα συνιστούσαν ένα από τα βασικά αδικήματα των περ. α’, β’, γ’, δ, η’, θ’, ια’, ιγ’, ιθ’ του άρθρου 4 του παρόντος και του άρθρου 323Α περί εμπορίας ανθρώπων του Ποινικού Κώδικα (Π.Κ., 4619/2019, Α’ 95).</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Καταδίκη για τα αδικήματα της παρ. 1 είναι δυνατή όταν αποδεικνύεται ότι η περιουσία προήλθε από συγκεκριμένο βασικό αδίκημα του άρθρου 4, χωρίς να απαιτείται η στοιχειοθέτηση με κάθε λεπτομέρεια όλων των πραγματικών στοιχείων ή περιστάσεων που σχετίζονται με την εν λόγω εγκληματική δραστηριότητα, μεταξύ των οποίων και η ταυτότητα του δράστη.</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Ενώσεις Εταιρειών Διαχείρισης Απαιτήσεων από Δάνεια και Πιστώσεις (Ε.Δ.Α.Δ.Π.) και οι διαχειριστές πιστώσεων, αν συντρέχει μια από τις ακόλουθες προϋποθέσεις: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εα)</w:t>
      </w:r>
      <w:r>
        <w:rPr>
          <w:lang w:val="en" w:eastAsia="en"/>
        </w:rPr>
        <w:tab/>
      </w:r>
      <w:r>
        <w:rPr>
          <w:lang w:val="el" w:eastAsia="el"/>
        </w:rPr>
        <w:t>τους επιτρέπεται, βάσει της άδειας λειτουργίας τους, να προβαίνουν σε αναχρηματοδότηση πιστώσεων,</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εβ)</w:t>
      </w:r>
      <w:r>
        <w:rPr>
          <w:lang w:val="en" w:eastAsia="en"/>
        </w:rPr>
        <w:tab/>
      </w:r>
      <w:r>
        <w:rPr>
          <w:lang w:val="el" w:eastAsia="el"/>
        </w:rPr>
        <w:t>εισπράττουν και κατέχουν χρηματικά ποσά δανειοληπτών για λογαριασμό των εντολέων τους,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εγ)</w:t>
      </w:r>
      <w:r>
        <w:rPr>
          <w:lang w:val="en" w:eastAsia="en"/>
        </w:rPr>
        <w:tab/>
      </w:r>
      <w:r>
        <w:rPr>
          <w:lang w:val="el" w:eastAsia="el"/>
        </w:rPr>
        <w:t>διαχειρίζονται πιστώσεις για λογαριασμό μη εποπτευόμενου από την Τράπεζα της Ελλάδος, πιστωτικού ή χρηματοδοτικού ιδρύματος, που δεν υπόκειται πρωτογενώς στις υποχρεώσεις που απορρέουν από τον εποπτικό ρόλο της Τράπεζας της Ελλάδος.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 α) Όσον αφορά στις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pStyle w:val="StructureList1"/>
        <w:spacing w:before="120" w:after="0"/>
        <w:rPr>
          <w:lang w:val="el" w:eastAsia="el"/>
        </w:rPr>
      </w:pPr>
      <w:r>
        <w:rPr>
          <w:lang w:val="el" w:eastAsia="el"/>
        </w:rPr>
        <w:t>αβ)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στα εμπιστεύματα (trusts):</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βα)</w:t>
      </w:r>
      <w:r>
        <w:rPr>
          <w:lang w:val="en" w:eastAsia="en"/>
        </w:rPr>
        <w:tab/>
      </w:r>
      <w:r>
        <w:rPr>
          <w:lang w:val="el" w:eastAsia="el"/>
        </w:rPr>
        <w:t>ο ή οι εμπιστευματοπάροχοι,</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ββ)</w:t>
      </w:r>
      <w:r>
        <w:rPr>
          <w:lang w:val="en" w:eastAsia="en"/>
        </w:rPr>
        <w:tab/>
      </w:r>
      <w:r>
        <w:rPr>
          <w:lang w:val="el" w:eastAsia="el"/>
        </w:rPr>
        <w:t>ο ή οι εμπιστευματοδόχοι,</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βγ)</w:t>
      </w:r>
      <w:r>
        <w:rPr>
          <w:lang w:val="en" w:eastAsia="en"/>
        </w:rPr>
        <w:tab/>
      </w:r>
      <w:r>
        <w:rPr>
          <w:lang w:val="el" w:eastAsia="el"/>
        </w:rPr>
        <w:t>ο ή οι προστάτες, αν υπάρχουν,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εμπιστεύματος.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γ)</w:t>
      </w:r>
      <w:r>
        <w:rPr>
          <w:lang w:val="en" w:eastAsia="en"/>
        </w:rPr>
        <w:tab/>
      </w:r>
      <w:r>
        <w:rPr>
          <w:lang w:val="el" w:eastAsia="el"/>
        </w:rPr>
        <w:t>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Όσον αφορά σε νομικά πρόσωπα δημοσίου δικαίου, πραγματικός δικαιούχος είναι το ή τα φυσικά πρόσωπα που κατέχουν θέση ανώτερου διοικητικού στελέχους.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με εξαίρεση τη νομισματική αξία όπως αναφέρεται στις υποπερ. αα΄ και ββ΄ της περ. α΄ της παρ. 3 του άρθρου 11 του ίδιου νόμου.</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Η αρμόδια εθνική Μονάδα των κρατών μελών της ΕΕ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 η οποία έχει συσταθεί κατ’ εφαρμογή του άρθρου 32 της Οδηγίας (EE)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(L 141). Για την Ελλάδα, ως «Μονάδα Χρηματοοικονομικών Πληροφοριών (Μ.Χ.Π.)» νοείται η Α' Μονάδα της Αρχής Καταπολέμησης της Νομιμοποίησης Εσόδων από Εγκληματικές Δραστηριότητες του άρθρου 47 του παρόντος.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MainText"/>
        <w:spacing w:before="120" w:after="0"/>
        <w:rPr>
          <w:lang w:val="el" w:eastAsia="el"/>
        </w:rPr>
      </w:pPr>
      <w:r>
        <w:rPr>
          <w:b/>
          <w:bCs/>
          <w:lang w:val="el" w:eastAsia="el"/>
        </w:rPr>
        <w:t>24.</w:t>
      </w:r>
      <w:r>
        <w:rPr>
          <w:lang w:val="el" w:eastAsia="el"/>
        </w:rPr>
        <w:t xml:space="preserve"> «Εικονικά νομίσματα»: Η ψηφιακή αναπαράσταση αξίας που δεν εκδίδεται από κεντρική τράπεζα ή δημόσια αρχή, ούτε έχει την εγγύησή τους, δεν συνδέεται κατ’ ανάγκη με νομίμως κυκλοφορούν νόμισμα και δεν διαθέτει το νομικό καθεστώς νομίσματος ή χρήματος, όμως γίνεται αποδεκτή από φυσικά ή νομικά πρόσωπα ως μέσο συναλλαγής και μπορεί να μεταφέρεται, να αποθηκεύεται ή να διακινείται ηλεκτρονικά.</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25.</w:t>
      </w:r>
      <w:r>
        <w:rPr>
          <w:lang w:val="el" w:eastAsia="el"/>
        </w:rPr>
        <w:t xml:space="preserve"> «Πάροχος υπηρεσιών θεματοφυλακής ψηφιακών πορτοφολιών»: Η οντότητα που παρέχει υπηρεσίες για τη διασφάλιση ιδιωτικών κρυπτογραφικών κλειδιών για λογαριασμό των πελατών της, με στόχο τη διακράτηση, αποθήκευση και μεταβίβαση εικονικών νομισμάτων.</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Για τους σκοπούς του παρόντος, ως «βασικά αδικήματα» νοούνται τα ακόλουθα:</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κατά το άρθρο 187 του Ποινικού Κώδικα (ΠΚ, ν. 4619/2019, Α’ 95),</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οι τρομοκρατικές πράξεις, η τρομοκρατική οργάνωση και η αξιόποινη υποστήριξη και χρηματοδότησή τους κατά τα άρθρα 187Α, 187Β ΠΚ και 32 έως 35 του ν. 4689/2020 (Α’ 103),</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η δωροληψία και η δωροδοκία πολιτικών προσώπων και δικαστικών λειτουργών κατά τα άρθρα 159, 159Α και 237 ΠΚ και η δωροληψία και η δωροδοκία υπαλλήλου κατά τα άρθρα 235 και 236 ΠΚ,</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δ)</w:t>
      </w:r>
      <w:r>
        <w:rPr>
          <w:lang w:val="en" w:eastAsia="en"/>
        </w:rPr>
        <w:tab/>
      </w:r>
      <w:r>
        <w:rPr>
          <w:lang w:val="el" w:eastAsia="el"/>
        </w:rPr>
        <w:t>η εμπορία επιρροής-μεσάζοντες και η δωροληψία και δωροδοκία στον ιδιωτικό τομέα κατά τα άρθρα 237Α και 396 ΠΚ και η δωροδοκία-δωροληψία για αλλοίωση αποτελέσματος αγώνα κατά το άρθρο 132 του ν. 2725/1999 (Α’ 121),</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ε)</w:t>
      </w:r>
      <w:r>
        <w:rPr>
          <w:lang w:val="en" w:eastAsia="en"/>
        </w:rPr>
        <w:tab/>
      </w:r>
      <w:r>
        <w:rPr>
          <w:lang w:val="el" w:eastAsia="el"/>
        </w:rPr>
        <w:t>τα εγκλήματα κατά των τηλεπικοινωνιών κατά τις παρ. 1 έως 4 του άρθρου 292Α, τα άρθρα 292Β, 292Γ, 292Δ και τις παρ. 1 και 2 του άρθρου 292Ε ΠΚ και η παράνομη πρόσβαση σε σύστημα πληροφοριών ή σε δεδομένα κατά τα άρθρα 370Α, 370Β, 370Γ, τις παρ. 2 και 3 του άρθρου 370Δ και το άρθρο 370Ε ΠΚ,</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στ)</w:t>
      </w:r>
      <w:r>
        <w:rPr>
          <w:lang w:val="en" w:eastAsia="en"/>
        </w:rPr>
        <w:tab/>
      </w:r>
      <w:r>
        <w:rPr>
          <w:lang w:val="el" w:eastAsia="el"/>
        </w:rPr>
        <w:t>η ανθρωποκτονία με πρόθεση κατά το άρθρο 299 ΠΚ, η βαριά σωματική βλάβη κατά το άρθρο 310 ΠΚ, η θανατηφόρα βλάβη κατά το άρθρο 311 ΠΚ, η αρπαγή κατά το άρθρο 322 ΠΚ, η εμπορία ανθρώπων κατά το άρθρο 323Α ΠΚ, η αρπαγή ανηλίκων κατά το άρθρο 324 ΠΚ και η παράνομη κατακράτηση κατά το άρθρο 325 ΠΚ,</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ζ)</w:t>
      </w:r>
      <w:r>
        <w:rPr>
          <w:lang w:val="en" w:eastAsia="en"/>
        </w:rPr>
        <w:tab/>
      </w:r>
      <w:r>
        <w:rPr>
          <w:lang w:val="el" w:eastAsia="el"/>
        </w:rPr>
        <w:t>η παραχάραξη νομίσματος και άλλων μέσων πληρωμής κατά το άρθρο 207 ΠΚ, η κυκλοφορία πλαστών νομισμάτων και άλλων μέσων πληρωμής κατά το άρθρο 208 ΠΚ, η καθ’ υπέρβαση κατασκευή νομίσματος κατά το άρθρο 208Α ΠΚ, η πλαστογραφία και κατάχρηση ενσήμων κατά την παρ. 1 του άρθρου 208Γ ΠΚ, οι προπαρασκευαστικές πράξεις του άρθρου 211 ΠΚ, η πλαστογραφία κατά το άρθρο 216 ΠΚ, η διακεκριμένη πλαστογραφία πιστοποιητικών κατά την παρ. 3 του άρθρου 217 ΠΚ, η κλοπή κατά το άρθρο 372 ΠΚ, η διακεκριμένη κλοπή κατά το άρθρο 374 ΠΚ, η υπεξαίρεση κατά το άρθρο 375 ΠΚ, η ληστεία κατά το άρθρο 380 ΠΚ, η εκβίαση κατά το άρθρο 385 ΠΚ, η απάτη κατά το άρθρο 386 ΠΚ, η απάτη με υπολογιστή κατά το άρθρο 386Α ΠΚ, η απάτη σχετικά με τις επιχορηγήσεις κατά το άρθρο 386Β ΠΚ, η απιστία κατά το άρθρο 390 ΠΚ, η αποδοχή και διάθεση προϊόντων εγκλήματος κατά την παρ. 1 του άρθρου 394 ΠΚ, η διακεκριμένη αποδοχή και διάθεση προϊόντων εγκλήματος κατά την παρ. 2 του άρθρου 394Α ΠΚ και η τοκογλυφία κατά το άρθρο 404 ΠΚ,</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η)</w:t>
      </w:r>
      <w:r>
        <w:rPr>
          <w:lang w:val="en" w:eastAsia="en"/>
        </w:rPr>
        <w:tab/>
      </w:r>
      <w:r>
        <w:rPr>
          <w:lang w:val="el" w:eastAsia="el"/>
        </w:rPr>
        <w:t>η διευκόλυνση προσβολών της ανηλικότητας κατά το άρθρο 348 ΠΚ, η πορνογραφία ανηλίκων κατά το άρθρο 348Α ΠΚ, η προσέλκυση παιδιών για γενετήσιους λόγους κατά το άρθρο 348Β ΠΚ, οι πορνογραφικές παραστάσεις ανηλίκων κατά το άρθρο 348Γ ΠΚ, η μαστροπεία κατά το άρθρο 349 ΠΚ και η γενετήσια πράξη με ανήλικο έναντι αμοιβής κατά το άρθρο 351Α ΠΚ,</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θ)</w:t>
      </w:r>
      <w:r>
        <w:rPr>
          <w:lang w:val="en" w:eastAsia="en"/>
        </w:rPr>
        <w:tab/>
      </w:r>
      <w:r>
        <w:rPr>
          <w:lang w:val="el" w:eastAsia="el"/>
        </w:rPr>
        <w:t>τα εγκλήματα των άρθρων 20 έως και 23 του ν. 4139/2013 (Α’ 74) περί εξαρτησιογόνων ουσιών,</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ι)</w:t>
      </w:r>
      <w:r>
        <w:rPr>
          <w:lang w:val="en" w:eastAsia="en"/>
        </w:rPr>
        <w:tab/>
      </w:r>
      <w:r>
        <w:rPr>
          <w:lang w:val="el" w:eastAsia="el"/>
        </w:rPr>
        <w:t>τα εγκλήματα των άρθρων 6, 15 και 17 του ν. 2168/ 1993 (Α’ 147) περί θεμάτων που αφορούν όπλα, πυρομαχικά, εκρηκτικές ύλες, εκρηκτικούς μηχανισμούς,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ια)</w:t>
      </w:r>
      <w:r>
        <w:rPr>
          <w:lang w:val="en" w:eastAsia="en"/>
        </w:rPr>
        <w:tab/>
      </w:r>
      <w:r>
        <w:rPr>
          <w:lang w:val="el" w:eastAsia="el"/>
        </w:rPr>
        <w:t>τα εγκλήματα των άρθρων 53, 54, 55, 61 και 63 του ν. 3028/2002 (Α’ 153) περί προστασίας των αρχαιοτήτων και της πολιτιστικής κληρονομιάς,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ιβ)</w:t>
      </w:r>
      <w:r>
        <w:rPr>
          <w:lang w:val="en" w:eastAsia="en"/>
        </w:rPr>
        <w:tab/>
      </w:r>
      <w:r>
        <w:rPr>
          <w:lang w:val="el" w:eastAsia="el"/>
        </w:rPr>
        <w:t>τα εγκλήματα των παρ. 1 και 3 του άρθρου 8 του ν.δ. 181/1974 (Α’ 347) περί προστασίας από τις ιοντίζουσες ακτινοβολίες,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ιγ)</w:t>
      </w:r>
      <w:r>
        <w:rPr>
          <w:lang w:val="en" w:eastAsia="en"/>
        </w:rPr>
        <w:tab/>
      </w:r>
      <w:r>
        <w:rPr>
          <w:lang w:val="el" w:eastAsia="el"/>
        </w:rPr>
        <w:t>τα εγκλήματα των παρ. 5 έως και 8 του άρθρου 29 και του άρθρου 30 του ν. 4251/2014 (Α’ 80) περί μετανάστευσης και κοινωνικής ένταξης,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ιδ)</w:t>
      </w:r>
      <w:r>
        <w:rPr>
          <w:lang w:val="en" w:eastAsia="en"/>
        </w:rPr>
        <w:tab/>
      </w:r>
      <w:r>
        <w:rPr>
          <w:lang w:val="el" w:eastAsia="el"/>
        </w:rPr>
        <w:t>τα εγκλήματα για την ποινική προστασία των οικονομικών συμφερόντων της Ευρωπαϊκής Ένωσης του άρθρου 24 του ν. 4689/2020 (Α’ 103),</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εγκλήματα των άρθρων 28 έως και 31 του ν. 4443/2016 (Α’ 232),</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ιστ)</w:t>
      </w:r>
      <w:r>
        <w:rPr>
          <w:lang w:val="en" w:eastAsia="en"/>
        </w:rPr>
        <w:tab/>
      </w:r>
      <w:r>
        <w:rPr>
          <w:lang w:val="el" w:eastAsia="el"/>
        </w:rPr>
        <w:t>τα εγκλήματα:</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ιστα)</w:t>
      </w:r>
      <w:r>
        <w:rPr>
          <w:lang w:val="en" w:eastAsia="en"/>
        </w:rPr>
        <w:tab/>
      </w:r>
      <w:r>
        <w:rPr>
          <w:lang w:val="el" w:eastAsia="el"/>
        </w:rPr>
        <w:t>της φοροδιαφυγής του άρθρου 66 του ν. 4174/2013 (Α’ 170) με την εξαίρεση του πρώτου εδαφίου της παρ. 5, και της διασυνοριακής απάτης σχετικά με τον Φόρο Προστιθέμενης Αξίας (ΦΠΑ) του άρθρου 23 του ν. 4689/2020,</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ιστβ)</w:t>
      </w:r>
      <w:r>
        <w:rPr>
          <w:lang w:val="en" w:eastAsia="en"/>
        </w:rPr>
        <w:tab/>
      </w:r>
      <w:r>
        <w:rPr>
          <w:lang w:val="el" w:eastAsia="el"/>
        </w:rPr>
        <w:t>της λαθρεμπορίας των άρθρων 155 έως και 157 του ν. 2960/2001 (Α’ 265),</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ιζ)</w:t>
      </w:r>
      <w:r>
        <w:rPr>
          <w:lang w:val="en" w:eastAsia="en"/>
        </w:rPr>
        <w:tab/>
      </w:r>
      <w:r>
        <w:rPr>
          <w:lang w:val="el" w:eastAsia="el"/>
        </w:rPr>
        <w:t>τα εγκλήματα των παρ. 1 έως 3 του άρθρου 28 του ν. 1650/1986 (Α’ 160) περί προστασίας του περιβάλλοντος και των παρ. 1 έως 5 του άρθρου 6 του ν. 4037/2012 (Α’ 10) για τη θαλάσσια ρύπανση και της περ. α’ της παρ. 1 του άρθρου 13 του ν. 743/1977 (Α’ 319), όπως κωδικοποιήθηκε σε ενιαίο κείμενο με το π.δ. 55/1998 (Α’ 58) περί προστασίας του θαλασσίου περιβάλλοντος,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ιη)</w:t>
      </w:r>
      <w:r>
        <w:rPr>
          <w:lang w:val="en" w:eastAsia="en"/>
        </w:rPr>
        <w:tab/>
      </w:r>
      <w:r>
        <w:rPr>
          <w:lang w:val="el" w:eastAsia="el"/>
        </w:rPr>
        <w:t>τα εγκλήματα του άρθρου 66 του ν. 2121/1993 (Α’25) περί πνευματικής ιδιοκτησίας και των παρ. 1 και 2 του άρθρου 45 του ν. 4679/2020 (Α’71) περί εμπορικών σημάτων,</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ιθ)</w:t>
      </w:r>
      <w:r>
        <w:rPr>
          <w:lang w:val="en" w:eastAsia="en"/>
        </w:rPr>
        <w:tab/>
      </w:r>
      <w:r>
        <w:rPr>
          <w:lang w:val="el" w:eastAsia="el"/>
        </w:rPr>
        <w:t>η πειρατεία κατά το άρθρο 215 του ν.δ. 187/1973 (Α’ 261),</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κ)</w:t>
      </w:r>
      <w:r>
        <w:rPr>
          <w:lang w:val="en" w:eastAsia="en"/>
        </w:rPr>
        <w:tab/>
      </w:r>
      <w:r>
        <w:rPr>
          <w:lang w:val="el" w:eastAsia="el"/>
        </w:rPr>
        <w:t>τα εγκλήματα της μη καταβολής χρεών προς το Δημόσιο του άρθρου 25 του ν. 1882/1990 (Α’ 43), με την εξαίρεση της περ. α’ της παρ.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κα)</w:t>
      </w:r>
      <w:r>
        <w:rPr>
          <w:lang w:val="en" w:eastAsia="en"/>
        </w:rPr>
        <w:tab/>
      </w:r>
      <w:r>
        <w:rPr>
          <w:lang w:val="el" w:eastAsia="el"/>
        </w:rPr>
        <w:t>κάθε άλλο έγκλημα που τιμωρείται με ποινή στερητική της ελευθερίας, της οποίας το ελάχιστο όριο είναι άνω των τριών (3) μηνών, από το οποίο προκύπτει περιουσιακό όφελος.</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στον σχεδιασμό ή τη διενέργεια συναλλαγών για τους πελάτες τους σχετικά με:</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εα)</w:t>
      </w:r>
      <w:r>
        <w:rPr>
          <w:lang w:val="en" w:eastAsia="en"/>
        </w:rPr>
        <w:tab/>
      </w:r>
      <w:r>
        <w:rPr>
          <w:lang w:val="el" w:eastAsia="el"/>
        </w:rPr>
        <w:t>την αγορά ή πώληση ακινήτων ή επιχειρήσεων,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εβ)</w:t>
      </w:r>
      <w:r>
        <w:rPr>
          <w:lang w:val="en" w:eastAsia="en"/>
        </w:rPr>
        <w:tab/>
      </w:r>
      <w:r>
        <w:rPr>
          <w:lang w:val="el" w:eastAsia="el"/>
        </w:rPr>
        <w:t>τη διαχείριση χρημάτων, τίτλων ή άλλων περιουσιακών στοιχείων των πελατών τους,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εγ)</w:t>
      </w:r>
      <w:r>
        <w:rPr>
          <w:lang w:val="en" w:eastAsia="en"/>
        </w:rPr>
        <w:tab/>
      </w:r>
      <w:r>
        <w:rPr>
          <w:lang w:val="el" w:eastAsia="el"/>
        </w:rPr>
        <w:t xml:space="preserve">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σε εγγυοδοσίες που διατάσσονται από τη δικαστική αρχή στο πλαίσιο ποινικών διαδικασιών, </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εδ)</w:t>
      </w:r>
      <w:r>
        <w:rPr>
          <w:lang w:val="en" w:eastAsia="en"/>
        </w:rPr>
        <w:tab/>
      </w:r>
      <w:r>
        <w:rPr>
          <w:lang w:val="el" w:eastAsia="el"/>
        </w:rPr>
        <w:t>τις αναγκαίες εισφορές για τη σύσταση, λειτουργία ή διοίκηση εταιρειών,</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εμπιστευμάτων (trusts), εταιρειών εμπιστευματικής διαχείρισης, επιχειρήσεων, ιδρυμάτων ή ανάλογων σχημάτων ή αντίστοιχων νομικών μορφωμάτων,</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εμπιστεύματα (trusts), στα οποία συμπεριλαμβάνονται αυτά που αναφέρονται στις περ. γ), δ) και ε), τα οποία παρέχουν κατά επιχειρηματική δραστηριότητα οποιαδήποτε από τις εξής υπηρεσίες σε τρίτα μέρη:</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ζα)</w:t>
      </w:r>
      <w:r>
        <w:rPr>
          <w:lang w:val="en" w:eastAsia="en"/>
        </w:rPr>
        <w:tab/>
      </w:r>
      <w:r>
        <w:rPr>
          <w:lang w:val="el" w:eastAsia="el"/>
        </w:rPr>
        <w:t>συστήνουν εταιρείες ή άλλα νομικά πρόσωπα,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ζβ)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ζγ)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ζδ)</w:t>
      </w:r>
      <w:r>
        <w:rPr>
          <w:lang w:val="en" w:eastAsia="en"/>
        </w:rPr>
        <w:tab/>
      </w:r>
      <w:r>
        <w:rPr>
          <w:lang w:val="el" w:eastAsia="el"/>
        </w:rPr>
        <w:t>ασκούν τα ίδια ή μεριμνούν, ώστε άλλο πρόσωπο να ασκήσει καθήκοντα εμπιστευματοδόχου ρητού εμπιστεύματος (express trust) ή αντίστοιχου νομικού μορφώματος,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ζε)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ια)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ιβ)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ιδ)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ιστ)</w:t>
      </w:r>
      <w:r>
        <w:rPr>
          <w:lang w:val="en" w:eastAsia="en"/>
        </w:rPr>
        <w:tab/>
      </w:r>
      <w:r>
        <w:rPr>
          <w:lang w:val="el" w:eastAsia="el"/>
        </w:rPr>
        <w:t>πρόσωπα που αποθηκεύουν, εμπορεύονται ή ενεργούν ως μεσάζοντες στο εμπόριο έργων τέχνης, όταν αυτό πραγματοποιείται από ελεύθερους λιμένες,</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StructureList1"/>
        <w:spacing w:before="120" w:after="0"/>
        <w:rPr>
          <w:lang w:val="el" w:eastAsia="el"/>
        </w:rPr>
      </w:pPr>
      <w:r>
        <w:rPr>
          <w:lang w:val="el" w:eastAsia="el"/>
        </w:rPr>
        <w:t>ιβ)</w:t>
      </w:r>
      <w:r>
        <w:rPr>
          <w:lang w:val="en" w:eastAsia="en"/>
        </w:rPr>
        <w:tab/>
      </w:r>
      <w:r>
        <w:rPr>
          <w:lang w:val="el" w:eastAsia="el"/>
        </w:rPr>
        <w:t>οι πάροχοι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ιγ)</w:t>
      </w:r>
      <w:r>
        <w:rPr>
          <w:lang w:val="en" w:eastAsia="en"/>
        </w:rPr>
        <w:tab/>
      </w:r>
      <w:r>
        <w:rPr>
          <w:lang w:val="el" w:eastAsia="el"/>
        </w:rPr>
        <w:t>οι πάροχοι υπηρεσιών θεματοφυλακής ψηφιακών πορτοφολιών.</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αβ)</w:t>
      </w:r>
      <w:r>
        <w:rPr>
          <w:lang w:val="en" w:eastAsia="en"/>
        </w:rPr>
        <w:tab/>
      </w:r>
      <w:r>
        <w:rPr>
          <w:lang w:val="el" w:eastAsia="el"/>
        </w:rPr>
        <w:t>τις ασφαλιστικές επιχειρήσεις και τους ασφαλιστικούς διαμεσολαβητές,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αγ)</w:t>
      </w:r>
      <w:r>
        <w:rPr>
          <w:lang w:val="en" w:eastAsia="en"/>
        </w:rPr>
        <w:tab/>
      </w:r>
      <w:r>
        <w:rPr>
          <w:lang w:val="el" w:eastAsia="el"/>
        </w:rPr>
        <w:t>τις εταιρείες χρηματοδοτικής μίσθωσης,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αδ)</w:t>
      </w:r>
      <w:r>
        <w:rPr>
          <w:lang w:val="en" w:eastAsia="en"/>
        </w:rPr>
        <w:tab/>
      </w:r>
      <w:r>
        <w:rPr>
          <w:lang w:val="el" w:eastAsia="el"/>
        </w:rPr>
        <w:t>τις εταιρείες πρακτορείας επιχειρηματικών απαιτήσεων τρίτων,</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αε)</w:t>
      </w:r>
      <w:r>
        <w:rPr>
          <w:lang w:val="en" w:eastAsia="en"/>
        </w:rPr>
        <w:tab/>
      </w:r>
      <w:r>
        <w:rPr>
          <w:lang w:val="el" w:eastAsia="el"/>
        </w:rPr>
        <w:t>τις εταιρείες διαχείρισης απαιτήσεων πιστωτικών ιδρυμάτων από δάνεια και πιστώσεις,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αστ)</w:t>
      </w:r>
      <w:r>
        <w:rPr>
          <w:lang w:val="en" w:eastAsia="en"/>
        </w:rPr>
        <w:tab/>
      </w:r>
      <w:r>
        <w:rPr>
          <w:lang w:val="el" w:eastAsia="el"/>
        </w:rPr>
        <w:t>τις εταιρείες παροχής πιστώσεων,</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αζ)</w:t>
      </w:r>
      <w:r>
        <w:rPr>
          <w:lang w:val="en" w:eastAsia="en"/>
        </w:rPr>
        <w:tab/>
      </w:r>
      <w:r>
        <w:rPr>
          <w:lang w:val="el" w:eastAsia="el"/>
        </w:rPr>
        <w:t>τα ιδρύματα ηλεκτρονικού χρήματος,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αη)</w:t>
      </w:r>
      <w:r>
        <w:rPr>
          <w:lang w:val="en" w:eastAsia="en"/>
        </w:rPr>
        <w:tab/>
      </w:r>
      <w:r>
        <w:rPr>
          <w:lang w:val="el" w:eastAsia="el"/>
        </w:rPr>
        <w:t>τα ιδρύματα πληρωμών,</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αθ)</w:t>
      </w:r>
      <w:r>
        <w:rPr>
          <w:lang w:val="en" w:eastAsia="en"/>
        </w:rPr>
        <w:tab/>
      </w:r>
      <w:r>
        <w:rPr>
          <w:lang w:val="el" w:eastAsia="el"/>
        </w:rPr>
        <w:t>τις ταχυδρομικές εταιρείες, ως προς τις παρεχόμενες υπηρεσίες πληρωμών,</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αι)</w:t>
      </w:r>
      <w:r>
        <w:rPr>
          <w:lang w:val="en" w:eastAsia="en"/>
        </w:rPr>
        <w:tab/>
      </w:r>
      <w:r>
        <w:rPr>
          <w:lang w:val="el" w:eastAsia="el"/>
        </w:rPr>
        <w:t>τα ανταλλακτήρια συναλλάγματος,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αια)</w:t>
      </w:r>
      <w:r>
        <w:rPr>
          <w:lang w:val="en" w:eastAsia="en"/>
        </w:rPr>
        <w:tab/>
      </w:r>
      <w:r>
        <w:rPr>
          <w:lang w:val="el" w:eastAsia="el"/>
        </w:rPr>
        <w:t>τις επιχειρήσεις της περ. κ' του στοιχείου 3 του άρθρου 3,</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βα)</w:t>
      </w:r>
      <w:r>
        <w:rPr>
          <w:lang w:val="en" w:eastAsia="en"/>
        </w:rPr>
        <w:tab/>
      </w:r>
      <w:r>
        <w:rPr>
          <w:lang w:val="el" w:eastAsia="el"/>
        </w:rPr>
        <w:t>τις εταιρείες επενδύσεων χαρτοφυλακίου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βγ)</w:t>
      </w:r>
      <w:r>
        <w:rPr>
          <w:lang w:val="en" w:eastAsia="en"/>
        </w:rPr>
        <w:tab/>
      </w:r>
      <w:r>
        <w:rPr>
          <w:lang w:val="el" w:eastAsia="el"/>
        </w:rPr>
        <w:t>τις εταιρείες παροχής επενδυτικών υπηρεσιών και τους συνδεδεμένους αντιπροσώπους τους,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βδ)</w:t>
      </w:r>
      <w:r>
        <w:rPr>
          <w:lang w:val="en" w:eastAsia="en"/>
        </w:rPr>
        <w:tab/>
      </w:r>
      <w:r>
        <w:rPr>
          <w:lang w:val="el" w:eastAsia="el"/>
        </w:rPr>
        <w:t>τις εταιρείες επενδυτικής διαμεσολάβησης,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βε)</w:t>
      </w:r>
      <w:r>
        <w:rPr>
          <w:lang w:val="en" w:eastAsia="en"/>
        </w:rPr>
        <w:tab/>
      </w:r>
      <w:r>
        <w:rPr>
          <w:lang w:val="el" w:eastAsia="el"/>
        </w:rPr>
        <w:t>τις εταιρείες κεφαλαίου επιχειρηματικών συμμετοχών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βστ)</w:t>
      </w:r>
      <w:r>
        <w:rPr>
          <w:lang w:val="en" w:eastAsia="en"/>
        </w:rPr>
        <w:tab/>
      </w:r>
      <w:r>
        <w:rPr>
          <w:lang w:val="el" w:eastAsia="el"/>
        </w:rPr>
        <w:t>τις εταιρείες επενδύσεων σε ακίνητη περιουσία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βζ)</w:t>
      </w:r>
      <w:r>
        <w:rPr>
          <w:lang w:val="en" w:eastAsia="en"/>
        </w:rPr>
        <w:tab/>
      </w:r>
      <w:r>
        <w:rPr>
          <w:lang w:val="el" w:eastAsia="el"/>
        </w:rPr>
        <w:t>τους διαχειριστές οργανισμών εναλλακτικών επενδύσεων,</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βη)</w:t>
      </w:r>
      <w:r>
        <w:rPr>
          <w:lang w:val="en" w:eastAsia="en"/>
        </w:rPr>
        <w:tab/>
      </w:r>
      <w:r>
        <w:rPr>
          <w:lang w:val="el" w:eastAsia="el"/>
        </w:rPr>
        <w:t>τους παρόχους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βθ)</w:t>
      </w:r>
      <w:r>
        <w:rPr>
          <w:lang w:val="en" w:eastAsia="en"/>
        </w:rPr>
        <w:tab/>
      </w:r>
      <w:r>
        <w:rPr>
          <w:lang w:val="el" w:eastAsia="el"/>
        </w:rPr>
        <w:t>τους παρόχους υπηρεσιών θεματοφυλακής ψηφιακών πορτοφολιών. Στην Επιτροπή Κεφαλαιαγοράς τηρείται μητρώο των παρόχων των υποπερ. βη) και βθ). Με απόφαση της Επιτροπής Κεφαλαιαγοράς ρυθμίζονται ειδικότερα θέματα σχετικά με την τήρηση και λειτουργία του, καθώς και τα δικαιολογητικά που υποχρεούνται να υποβάλουν οι πάροχοι των υποπερ. βη΄ και βθ΄ για την εγγραφή τους.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γ)</w:t>
      </w:r>
      <w:r>
        <w:rPr>
          <w:lang w:val="en" w:eastAsia="en"/>
        </w:rPr>
        <w:tab/>
      </w:r>
      <w:r>
        <w:rPr>
          <w:lang w:val="el" w:eastAsia="el"/>
        </w:rPr>
        <w:t>Το Αρχηγείο της Ελληνικής Αστυνομίας για τους ενεχυροδανειστές και τους αργυραμοιβούς.</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 εα) τους εξωτερικούς λογιστές-φοροτεχνικούς,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μέλος της Ευρωπαϊκής Ένωσης, οι αρμόδιες αρχές συνεργάζονται με την εκάστοτε αρμόδια εποπτική αρχή του κράτους μέλους στο οποίο έχει την έδρα του το υπόχρεο πρόσωπο, καθώς και των κρατών μελών στα οποία είναι εγκατεστημένα τα ιδρύματα που αποτελούν μέρος του ομίλου.</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επισημανθεί με τη συνδρομή ή συνεργασία της εποπτικής αρχής του κράτους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Για τον σκοπό αυτόν,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διαπραχθεί εντός του υπόχρεου προσώπου,</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συμπεριλαμβανομένης κάθε προσφυγής που έχει ασκηθεί και της έκβασής της.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αυτό διαθέτει ακεραιότητα και κατάλληλη κατάρτιση, διατηρεί δε υψηλό επαγγελματικό επίπεδο, μεταξύ άλλων, σε ζητήματα εμπιστευτικότητας, προστασίας δεδομένων και κανόνων για την αποφυγή καταστάσεων σύγκρουσης συμφερόντων. Με αποφάσεις των αρμόδιων οργάνων των αρχών της παρ. 1 κατά περίπτωση, συγκροτούνται ειδικές υπηρεσιακές μονάδες στις οποίες ανατίθενται τα εποπτικά καθήκοντα του πρώτου εδαφίου. Στο προσωπικό των μονάδων αυτών παρέχεται συνεχής ενημέρωση και εκπαίδευση για τον χειρισμό εμπιστευτικών ζητημάτων και θεμάτων που άπτονται της προστασίας των δεδομένων.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την Ευρωπαϊκή Αρχή Τραπεζών και παρέχουν σε αυτήν όλες τις πληροφορίες που της είναι αναγκαίες για την εκτέλεση των καθηκόντων της.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StructureList1"/>
        <w:spacing w:before="120" w:after="0"/>
        <w:rPr>
          <w:lang w:val="el" w:eastAsia="el"/>
        </w:rPr>
      </w:pPr>
      <w:r>
        <w:rPr>
          <w:lang w:val="el" w:eastAsia="el"/>
        </w:rPr>
        <w:t>ι)</w:t>
      </w:r>
      <w:r>
        <w:rPr>
          <w:lang w:val="en" w:eastAsia="en"/>
        </w:rPr>
        <w:tab/>
      </w:r>
      <w:r>
        <w:rPr>
          <w:lang w:val="el" w:eastAsia="el"/>
        </w:rPr>
        <w:t>διαβιβάζει στην Ευρωπαϊκή Επιτροπή τον κατάλογο των αρμόδιων αρχών της παρ. 1 του άρθρου 6, συμπεριλαμβανομένων των στοιχείων επικοινωνίας τους, και διασφαλίζει ότι οι πληροφορίες αυτές παραμένουν επικαιροποιημένες.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Διεύθυνσης Χρηματοοικονομικής Πολιτικής.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μέλη.</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Επιτροπή Στρατηγικής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lang w:val="el" w:eastAsia="el"/>
        </w:rPr>
        <w:t xml:space="preserve"> Συστήνεται, στο Υπουργείο Οικονομικών,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Η Επιτροπή Στρατηγικής αποτελεί τον μηχανισμό που καθορίζει σε εθνικό επίπεδο τη στρατηγική για τις ανωτέρω πράξεις και συγκροτείται με απόφαση του Υπουργού Οικονομικών.</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Ανεξάρτητης Αρχής Δημοσίων Εσόδων (Α.Α.Δ.Ε.),</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ε)</w:t>
      </w:r>
      <w:r>
        <w:rPr>
          <w:lang w:val="en" w:eastAsia="en"/>
        </w:rPr>
        <w:tab/>
      </w:r>
      <w:r>
        <w:rPr>
          <w:lang w:val="el" w:eastAsia="el"/>
        </w:rPr>
        <w:t>ο Γενικός Γραμματέας Φορολογικής Πολιτικής και Δημόσιας Περιουσίας,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στ)</w:t>
      </w:r>
      <w:r>
        <w:rPr>
          <w:lang w:val="en" w:eastAsia="en"/>
        </w:rPr>
        <w:tab/>
      </w:r>
      <w:r>
        <w:rPr>
          <w:lang w:val="el" w:eastAsia="el"/>
        </w:rPr>
        <w:t>ο Υπηρεσιακός Γραμματέας του Υπουργείου Οικονομικών,</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ζ)</w:t>
      </w:r>
      <w:r>
        <w:rPr>
          <w:lang w:val="en" w:eastAsia="en"/>
        </w:rPr>
        <w:tab/>
      </w:r>
      <w:r>
        <w:rPr>
          <w:lang w:val="el" w:eastAsia="el"/>
        </w:rPr>
        <w:t>ο Γενικός Γραμματέας Δημόσιας Τάξης του Υπουργείου Προστασίας του Πολίτη,</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η)</w:t>
      </w:r>
      <w:r>
        <w:rPr>
          <w:lang w:val="en" w:eastAsia="en"/>
        </w:rPr>
        <w:tab/>
      </w:r>
      <w:r>
        <w:rPr>
          <w:lang w:val="el" w:eastAsia="el"/>
        </w:rPr>
        <w:t>ο Διευθυντής της Δ1 Διεύθυνσης ΟΗΕ και Διεθνών Ειδικευμένων Οργανισμών και Διασκέψεων του Υπουργείου Εξωτερικών,</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του Υπουργείου Δικαιοσύνης, ι) ο Διοικητής της Εθνικής Αρχής Διαφάνειας,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Εμπορίου και Προστασίας του Καταναλωτή του Υπουργείου Ανάπτυξης και Επενδύσεων,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ιβ)</w:t>
      </w:r>
      <w:r>
        <w:rPr>
          <w:lang w:val="en" w:eastAsia="en"/>
        </w:rPr>
        <w:tab/>
      </w:r>
      <w:r>
        <w:rPr>
          <w:lang w:val="el" w:eastAsia="el"/>
        </w:rPr>
        <w:t>ο Αρχηγός του Λιμενικού Σώματος-Ελληνικής Ακτοφυλακής,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ιγ)</w:t>
      </w:r>
      <w:r>
        <w:rPr>
          <w:lang w:val="en" w:eastAsia="en"/>
        </w:rPr>
        <w:tab/>
      </w:r>
      <w:r>
        <w:rPr>
          <w:lang w:val="el" w:eastAsia="el"/>
        </w:rPr>
        <w:t>ο Γενικός Γραμματέας Μεταναστευτικής Πολιτικής του Υπουργείου Μετανάστευσης και Ασύλου,</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ιδ)</w:t>
      </w:r>
      <w:r>
        <w:rPr>
          <w:lang w:val="en" w:eastAsia="en"/>
        </w:rPr>
        <w:tab/>
      </w:r>
      <w:r>
        <w:rPr>
          <w:lang w:val="el" w:eastAsia="el"/>
        </w:rPr>
        <w:t>ο Διευθυντής της Διεύθυνσης Επιθεώρησης Εποπτευόμενων Εταιρειών της Τράπεζας της Ελλάδος,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Κεφαλαιαγοράς,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Λογιστικής Τυποποίησης και Ελέγχων,</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ιζ)</w:t>
      </w:r>
      <w:r>
        <w:rPr>
          <w:lang w:val="en" w:eastAsia="en"/>
        </w:rPr>
        <w:tab/>
      </w:r>
      <w:r>
        <w:rPr>
          <w:lang w:val="el" w:eastAsia="el"/>
        </w:rPr>
        <w:t>ο Πρόεδρος της Επιτροπής Εποπτείας και Ελέγχου Παιγνίων.</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Στρατηγικής τα μέλη μπορεί να συνεπικουρούνται από στελέχη εξειδικευμένα στα θέματα της εκάστοτε ημερήσιας διάταξης. Η Επιτροπή συνεδριάζει νομίμως με επιτόπιες ή ηλεκτρονικές συνεδριάσεις, όταν υπάρχει απαρτία των μελών της. Λαμβάνει αποφάσεις κατά πλειοψηφία των παρόντων μελών. Σε περίπτωση ισοψηφίας, υπερισχύει η ψήφος του Προέδρου. Για κάθε θέμα που δεν ρυθμίζεται ειδικά στο παρόν, εφαρμόζεται συμπληρωματικά ο Κώδικας Διοικητικής Διαδικασίας (ν. 2690/1999, Α΄45).</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μια φορά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η Διεύθυνση Χρηματοοικονομικής Πολιτικής του Υπουργείου Οικονομικών.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6.</w:t>
      </w:r>
      <w:r>
        <w:rPr>
          <w:lang w:val="el" w:eastAsia="el"/>
        </w:rPr>
        <w:t xml:space="preserve"> Έργο της Επιτροπής Στρατηγικής είναι:</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τον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και ειδικότερα:</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την Ευρωπαϊκή Αρχή Τραπεζών και τις αντίστοιχες αρχές άλλων κρατών μελών της Ευρωπαϊκής Ένωσης για τα αποτελέσματα των ανωτέρω εκτιμήσεων κινδύνου,</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εε)</w:t>
      </w:r>
      <w:r>
        <w:rPr>
          <w:lang w:val="en" w:eastAsia="en"/>
        </w:rPr>
        <w:tab/>
      </w:r>
      <w:r>
        <w:rPr>
          <w:lang w:val="el" w:eastAsia="el"/>
        </w:rPr>
        <w:t>αναφέρει τις εθνικές προσπάθειες, τη θεσμική δομή και τις διαδικασίες του συστήματος καταπολέμησης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που εφαρμόζουν, μεταξύ άλλων, η Αρχή του άρθρου 47 και οι φορολογικές και εισαγγελικές αρχές, καθώς και τους ανθρώπινους και οικονομικούς πόρους (ανθρώπινο δυναμικό και προϋπολογισμός), στον βαθμό που οι πληροφορίες αυτές είναι διαθέσιμες.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στη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τη διαβίβαση πληροφοριών προς την Αρχή.</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και του συντονισμού μεταξύ των φορέων της παρ. 2.</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7.</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 FATF. Προς τούτο, ενημερώνεται σχετικά από τον Κεντρικό Συντονιστικό Φορέα και την Αρχή.</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 Η έκθεση υποβάλλεται μέσα στο πρώτο τρίμηνο κάθε έτους. Αντίγραφο της έκθεσης κοινοποιείται στον Κεντρικό Συντονιστικό Φορέα και στους Υπηρεσιακούς Γραμματείς των Υπουργείων που εκπροσωπούνται. Η Επιτροπή Στρατηγικής δημοσιεύει περίληψη της έκθεσης στην επίσημη ιστοσελίδα του Υπουργείου Οικονομικών παραλείποντας διαβαθμισμένες πληροφορίες που περιέχονται σε αυτήν.</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 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 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 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 όταν:</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α)</w:t>
      </w:r>
      <w:r>
        <w:rPr>
          <w:lang w:val="en" w:eastAsia="en"/>
        </w:rPr>
        <w:tab/>
      </w:r>
      <w:r>
        <w:rPr>
          <w:lang w:val="el" w:eastAsia="el"/>
        </w:rPr>
        <w:t>συνάπτουν επιχειρηματική σχέση,</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β)</w:t>
      </w:r>
      <w:r>
        <w:rPr>
          <w:lang w:val="en" w:eastAsia="en"/>
        </w:rPr>
        <w:tab/>
      </w:r>
      <w:r>
        <w:rPr>
          <w:lang w:val="el" w:eastAsia="el"/>
        </w:rPr>
        <w:t>διενεργούν περιστασιακή συναλλαγή που: βα)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γ)</w:t>
      </w:r>
      <w:r>
        <w:rPr>
          <w:lang w:val="en" w:eastAsia="en"/>
        </w:rPr>
        <w:tab/>
      </w:r>
      <w:r>
        <w:rPr>
          <w:lang w:val="el" w:eastAsia="el"/>
        </w:rPr>
        <w:t>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δ)</w:t>
      </w:r>
      <w:r>
        <w:rPr>
          <w:lang w:val="en" w:eastAsia="en"/>
        </w:rPr>
        <w:tab/>
      </w:r>
      <w:r>
        <w:rPr>
          <w:lang w:val="el" w:eastAsia="el"/>
        </w:rPr>
        <w:t>πρόκειται για παρόχους υπηρεσιών τυχερών παιγνίων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ε)</w:t>
      </w:r>
      <w:r>
        <w:rPr>
          <w:lang w:val="en" w:eastAsia="en"/>
        </w:rPr>
        <w:tab/>
      </w:r>
      <w:r>
        <w:rPr>
          <w:lang w:val="el" w:eastAsia="el"/>
        </w:rPr>
        <w:t>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στ)</w:t>
      </w:r>
      <w:r>
        <w:rPr>
          <w:lang w:val="en" w:eastAsia="en"/>
        </w:rPr>
        <w:tab/>
      </w:r>
      <w:r>
        <w:rPr>
          <w:lang w:val="el" w:eastAsia="el"/>
        </w:rPr>
        <w:t>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lang w:val="el" w:eastAsia="el"/>
        </w:rPr>
        <w:t xml:space="preserve"> Κατά παρέκκλιση των περ. α), β) και γ) της παρ. 1 του άρθρου 13, της παρ. 3 του άρθρου 14 και βάσει κατάλληλης αξιολόγησης περί μικρού κινδύνου τα υπόχρεα πρόσωπα μπορεί να μην εφαρμόζουν ορισμένα μέτρα δέουσας επιμέλειας ως προς τον πελάτη σε ό,τι αφορά στο ηλεκτρονικό χρήμα, αν πληρούνται σωρευτικά οι εξής προϋποθέσεις ελαχιστοποίησης του κινδύνου:</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Η παρ.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πενήντα (50) ευρώ ανά συναλλαγή ή σε περίπτωση εξ αποστάσεως πράξης πληρωμής, όπως ορίζεται στην παρ. 6 του άρθρου 4 του ν. 4537/2018 (Α΄ 84), όταν το καταβαλλόμενο ποσό υπερβαίνει τα πενήντα (50) ευρώ.</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αξιολόγηση κινδύνου και δεν βασίζονται αποκλειστικά στο Κεντρικό Μητρώο Πραγματικών Δικαιούχων των άρθρων 20 και 21.</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Τα πιστωτικά ιδρύματα και οι χρηματοπιστωτικοί οργανισμοί που ενεργούν ως αποδέκτες καρτών πληρωμής δέχονται τις πληρωμές που πραγματοποιούνται με ανώνυμες προπληρωμένες κάρτες μόνον εφόσον αυτές έχουν εκδοθεί από υπόχρεα πρόσωπα με εγκατάσταση στην Ευρωπαϊκή Ένωση.</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lang w:val="el" w:eastAsia="el"/>
        </w:rPr>
        <w:t xml:space="preserve"> Ειδικότερα, οι παρ. 2, 3 και 5 δεν ισχύουν σε περίπτωση υπηρεσιών τυχερών παιγνίων που διεξάγονται με τη χρήση ηλεκτρονικού λογαριασμού παίκτη της περ. ιε΄ του άρθρου 25 του ν. 4002/2011 (Α΄ 180), εφόσον τα θέματα αυτά ρυθμίζονται αυστηρότερα, σύμφωνα με τον ν. 4002/2011 και τις κατ’ εξουσιοδότηση αυτού κανονιστικές αποφάσεις.</w:t>
      </w:r>
      <w:r>
        <w:rPr>
          <w:rStyle w:val="Hyperlink"/>
          <w:color w:val="000000"/>
          <w:sz w:val="20"/>
          <w:szCs w:val="20"/>
          <w:u w:val="none" w:color="0000EE"/>
          <w:vertAlign w:val="superscript"/>
          <w:lang w:val="el" w:eastAsia="el"/>
        </w:rPr>
        <w:footnoteReference w:id="166"/>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συμπεριλαμβανομένων, όπου υπάρχουν, μέσων ηλεκτρονικής ταυτοποίησης, σχετικών υπηρεσιών εμπιστοσύνης, όπως ορίζονται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ή οποιασδήποτε άλλης ασφαλούς, εξ αποστάσεως ή ηλεκτρονικής, διαδικασίας ταυτοποίησης που ρυθμίζεται, αναγνωρίζεται, εγκρίνεται ή γίνεται δεκτή από την εκάστοτε αρμόδια αρχή του άρθρου 6.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στα νομικά πρόσωπα, τα εμπιστεύματα ή άλλα νομικά μορφώματα λαμβάνονται εύλογα μέτρα για να γίνει γνωστή η διάρθρωση του καθεστώτος ιδιοκτησίας και ελέγχου του πελάτη. Σε περίπτωση που ο πραγματικός δικαιούχος που προσδιορίζεται είναι το ανώτατο διοικητικό στέλεχος που αναφέρεται στην υποπερ. ββ΄ της περ. α΄ της παρ. 17 του άρθρου 3, τα υπόχρεα πρόσωπα λαμβάνουν τα αναγκαία εύλογα μέτρα για την εξακρίβωση της ταυτότητας του φυσικού προσώπου που κατέχει τη θέση του ανώτατου διοικητικού στελέχους και τηρούν αρχείο με τις δράσεις που αναλήφθηκαν, καθώς και τις ενδεχόμενες δυσκολίες που διαπιστώθηκαν κατά τη διαδικασία επαλήθευσης.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στην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2015/847 του Ευρωπαϊκού Κοινοβουλίου και του Συμβουλίου της 20ής Μαΐου 2015 περί στοιχείων που συνοδεύουν τις μεταφορές χρηματικών ποσών (L 141), λαμβάνοντας υπόψη τις σχετικές κατευθυντήριες οδηγίες της Ευρωπαϊκής Αρχής Τραπεζών. Ο Κανονισμός (ΕΕ) 2015/847 δεν εφαρμόζεται στις μεταφορές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ο πάροχος υπηρεσιών πληρωμών του δικαιούχου υπόκειται στον παρόντα,</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β)</w:t>
      </w:r>
      <w:r>
        <w:rPr>
          <w:lang w:val="en" w:eastAsia="en"/>
        </w:rPr>
        <w:tab/>
      </w:r>
      <w:r>
        <w:rPr>
          <w:lang w:val="el" w:eastAsia="el"/>
        </w:rPr>
        <w:t>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ποσών από το πρόσωπο που έχει συνάψει συμφωνία με τον δικαιούχο της πληρωμής για την παροχή αγαθών ή υπηρεσιών και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γ)</w:t>
      </w:r>
      <w:r>
        <w:rPr>
          <w:lang w:val="en" w:eastAsia="en"/>
        </w:rPr>
        <w:tab/>
      </w:r>
      <w:r>
        <w:rPr>
          <w:lang w:val="el" w:eastAsia="el"/>
        </w:rPr>
        <w:t>το ποσό που μεταφέρεται δεν υπερβαίνει τα χίλια (1.000) ευρώ.</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7.</w:t>
      </w:r>
      <w:r>
        <w:rPr>
          <w:lang w:val="el" w:eastAsia="el"/>
        </w:rPr>
        <w:t xml:space="preserve"> Τα υπόχρεα πρόσωπα εφαρμόζουν τα μέτρα δέουσας επιμέλειας στους νέους και υφιστάμενους πελάτες την κατάλληλη χρονική στιγμή, ανάλογα με τον βαθμό κινδύνου ή όταν μεταβάλλονται οι σχετικές περιστάσεις του πελάτη ή όταν έχουν οποιαδήποτε νομική υποχρέωση που απορρέει από τον παρόντα, τον ν. 4172/2013 (Α΄167) ή τις αποφάσεις των εκάστοτε αρμόδιων εποπτικών αρχών, κατά τη διάρκεια του ημερολογιακού έτους να επικοινωνήσουν με τον πελάτη με σκοπό την αναθεώρηση κάθε ουσιαστικής πληροφορίας που σχετίζεται με τον πραγματικό δικαιούχο ή έχουν έννομη υποχρέωση από τον ν. 4170/2013 (Α΄ 163).</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 Κάθε φορά που συνάπτεται νέα επιχειρηματική σχέση με νομικό πρόσωπο, με εμπίστευμα ή νομικό μόρφωμα που έχει δομή ή λειτουργίες παρεμφερείς των εμπιστευμάτων που υπόκεινται στην καταχώριση πληροφοριών σχετικά με τους πραγματικούς δικαιούχους σύμφωνα με τα άρθρα 20 και 21, τα υπόχρεα πρόσωπα συλλέγουν σχετικό αποδεικτικό εγγραφής σε μητρώο πραγματικών δικαιούχων.</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τα οποία προβλέπονται στα άρθρα 16Α, 17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 4.</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1α.</w:t>
      </w:r>
      <w:r>
        <w:rPr>
          <w:lang w:val="el" w:eastAsia="el"/>
        </w:rPr>
        <w:t xml:space="preserve"> Τα πιστωτικά ιδρύματα και οι χρηματοπιστωτικοί οργανισμοί, στο πλαίσιο εφαρμογής μέτρων αυξημένης δέουσας επιμέλειας, κατά την έναρξη της επιχειρηματικής σχέσης, επαληθεύουν τα ετήσια εισοδήματα πελατών:</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α)</w:t>
      </w:r>
      <w:r>
        <w:rPr>
          <w:lang w:val="en" w:eastAsia="en"/>
        </w:rPr>
        <w:tab/>
      </w:r>
      <w:r>
        <w:rPr>
          <w:lang w:val="el" w:eastAsia="el"/>
        </w:rPr>
        <w:t>που είναι φυσικά πρόσωπα, βάσει του εκκαθαριστικού σημειώματος φορολογίας εισοδήματος, και</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που είναι νομικά πρόσωπα, βάσει της υποβληθείσας δήλωσης φορολογίας εισοδήματος, εκτός αν ο πελάτης δεν υποχρεούται να υποβάλλει δήλωση φόρου εισοδήματος.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b/>
          <w:bCs/>
          <w:lang w:val="el" w:eastAsia="el"/>
        </w:rPr>
        <w:t xml:space="preserve">Άρθρο 16A. </w:t>
      </w:r>
    </w:p>
    <w:p>
      <w:pPr>
        <w:pStyle w:val="Heading6"/>
        <w:spacing w:before="240" w:after="240"/>
        <w:rPr>
          <w:lang w:val="el" w:eastAsia="el"/>
        </w:rPr>
      </w:pPr>
      <w:r>
        <w:rPr>
          <w:b/>
          <w:bCs/>
          <w:lang w:val="el" w:eastAsia="el"/>
        </w:rPr>
        <w:t>Τρίτες χώρες υψηλού κινδύνου</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lang w:val="el" w:eastAsia="el"/>
        </w:rPr>
        <w:t xml:space="preserve"> 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α)</w:t>
      </w:r>
      <w:r>
        <w:rPr>
          <w:lang w:val="en" w:eastAsia="en"/>
        </w:rPr>
        <w:tab/>
      </w:r>
      <w:r>
        <w:rPr>
          <w:lang w:val="el" w:eastAsia="el"/>
        </w:rPr>
        <w:t>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β)</w:t>
      </w:r>
      <w:r>
        <w:rPr>
          <w:lang w:val="en" w:eastAsia="en"/>
        </w:rPr>
        <w:tab/>
      </w:r>
      <w:r>
        <w:rPr>
          <w:lang w:val="el" w:eastAsia="el"/>
        </w:rPr>
        <w:t>εξασφαλίζουν την έγκριση ανώτερων διοικητικών στελεχών για την έναρξη ή τη συνέχιση της επιχειρηματικής σχέσης,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γ)</w:t>
      </w:r>
      <w:r>
        <w:rPr>
          <w:lang w:val="en" w:eastAsia="en"/>
        </w:rPr>
        <w:tab/>
      </w:r>
      <w:r>
        <w:rPr>
          <w:lang w:val="el" w:eastAsia="el"/>
        </w:rPr>
        <w:t>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w:t>
      </w:r>
      <w:r>
        <w:rPr>
          <w:lang w:val="en" w:eastAsia="en"/>
        </w:rPr>
        <w:tab/>
      </w:r>
      <w:r>
        <w:rPr>
          <w:lang w:val="el" w:eastAsia="el"/>
        </w:rPr>
        <w:t>εξασφαλίζουν, κατά περίπτωση, ότι η πρώτη πληρωμή πραγματοποιείται μέσω λογαριασμού στο όνομα του πελάτη σε πιστωτικό ίδρυμα που υπάγεται σε πρότυπα δέουσας επιμέλειας ως προς τον πελάτη, τα οποία δεν είναι λιγότερο αυστηρά από εκείνα που προβλέπονται στον παρόντα νόμο.</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lang w:val="el" w:eastAsia="el"/>
        </w:rPr>
        <w:t xml:space="preserve"> Εκτός από τα μέτρα που προβλέπονται στην παρ. 1, τα υπόχρεα πρόσωπα εφαρμόζουν, όπου απαιτείται, ένα ή περισσότερα από τα παρακάτω μέτρα μετριασμού του κινδύνου σε πρόσωπα που πραγματοποιούν συναλλαγές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απαίτηση πρόσθετων στοιχειών ενισχυμένης δέουσας επιμέλειας,</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β)εφαρμογή ενισχυμένων μηχανισμών παρακολούθησης και συστηματικής αναφοράς χρηματοοικονομικών συναλλαγών,</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w:t>
      </w:r>
      <w:r>
        <w:rPr>
          <w:lang w:val="en" w:eastAsia="en"/>
        </w:rPr>
        <w:tab/>
      </w:r>
      <w:r>
        <w:rPr>
          <w:lang w:val="el" w:eastAsia="el"/>
        </w:rPr>
        <w:t>εφαρμογή αποκλεισμού ή περιορισμού επιχειρηματικών σχέσεων ή συναλλαγών με πρόσωπα από τρίτες χώρες που χαρακτηρίζονται ως χώρες υψηλού κινδύνου.</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Εκτός από τα μέτρα που προβλέπονται στην παρ. 1, οι αρμόδιες αρχές του άρθρου 6 εφαρμόζουν, όπου απαιτείται, ένα ή περισσότερα από τα παρακάτω μέτρα σχετικά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α)</w:t>
      </w:r>
      <w:r>
        <w:rPr>
          <w:lang w:val="en" w:eastAsia="en"/>
        </w:rPr>
        <w:tab/>
      </w:r>
      <w:r>
        <w:rPr>
          <w:lang w:val="el" w:eastAsia="el"/>
        </w:rPr>
        <w:t>άρνηση ίδρυσης θυγατρικών, υποκαταστημάτων ή γραφείων εκπροσώπησης υπόχρεων προσώπων από την ενδιαφερόμενη χώρα υψηλού κινδύνου, ή συνεκτίμηση με άλλο τρόπο του γεγονότος ότι το σχετικό υπόχρεο πρόσωπο προέρχεται από χώρα που δεν διαθέτει επαρκή καθεστώτα ΚΞΧ/ΧΤ,</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απαγόρευση σε υπόχρεα πρόσωπα να ιδρύουν υποκαταστήματα ή γραφεία εκπροσώπησης στην ενδιαφερόμενη χώρα υψηλού κινδύνου, ή συνεκτίμηση με άλλον τρόπο του γεγονότος ότι το σχετικό υποκατάστημα ή γραφείο εκπροσώπησης θα βρισκόταν σε χώρα που δεν διαθέτει επαρκή καθεστώτα ΚΞΧ/ΧΤ,</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γ)</w:t>
      </w:r>
      <w:r>
        <w:rPr>
          <w:lang w:val="en" w:eastAsia="en"/>
        </w:rPr>
        <w:tab/>
      </w:r>
      <w:r>
        <w:rPr>
          <w:lang w:val="el" w:eastAsia="el"/>
        </w:rPr>
        <w:t>απαίτηση για αυξημένη εποπτική εξέταση ή για αυξημένο εξωτερικό έλεγχο για τα υποκαταστήματα και τις θυγατρικές υπόχρεων προσώπων που έχουν εγκατάσταση σε χώρα υψηλού κινδύνου,</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δ)</w:t>
      </w:r>
      <w:r>
        <w:rPr>
          <w:lang w:val="en" w:eastAsia="en"/>
        </w:rPr>
        <w:tab/>
      </w:r>
      <w:r>
        <w:rPr>
          <w:lang w:val="el" w:eastAsia="el"/>
        </w:rPr>
        <w:t>αυξημένο εξωτερικό έλεγχο για τους χρηματοπιστωτικούς ομίλους σε σχέση με οποιοδήποτε υποκατάστημα ή θυγατρική τους βρίσκεται σε χώρα υψηλού κινδύνου,</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ε)</w:t>
      </w:r>
      <w:r>
        <w:rPr>
          <w:lang w:val="en" w:eastAsia="en"/>
        </w:rPr>
        <w:tab/>
      </w:r>
      <w:r>
        <w:rPr>
          <w:lang w:val="el" w:eastAsia="el"/>
        </w:rPr>
        <w:t>απαίτηση προς τα πιστωτικά ιδρύματα και τους χρηματοπιστωτικούς οργανισμούς που λειτουργούν στην Ελλάδα να αναθεωρούν και να τροποποιούν ή, αν είναι απαραίτητο, να τερματίζουν τις διασυνοριακές σχέσεις ανταπόκρισης με πιστωτικό ίδρυμα ή χρηματοπιστωτικό οργανισμό από χώρα υψηλού κινδύνου.</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εξειδικεύουν περαιτέρω, με αποφάσεις τους τα μέτρα μετριασμού του κινδύνου λαμβάνοντας υπόψη κατά περίπτωση, σχετικές εκτιμήσεις, αξιολογήσεις ή εκθέσεις που συντάσσουν διεθνείς οργανισμοί και φορείς καθορισμού προτύπων με αρμοδιότητες στον τομέα της πρόληψης της νομιμοποίησης εσόδων από εγκληματικές δραστηριότητες και της καταπολέμησης της χρηματοδότησης της τρομοκρατίας, σχετικά με τους κινδύνους που αντιπροσωπεύουν συγκεκριμένες τρίτες χώρες. Οι λοιπές αρμόδιες αρχές μπορεί να εκδίδουν αντίστοιχου περιεχομένου αποφάσεις. Κατά την έναρξη ισχύος ή την εφαρμογή των μέτρων που προβλέπονται στις παρ. 2 και 3 λαμβάνονται υπόψη τα ανωτέρω.</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lang w:val="el" w:eastAsia="el"/>
        </w:rPr>
        <w:t xml:space="preserve"> Τα μέτρα που προβλέπονται στις παρ. 2 και 3 κοινοποιούνται, από τις αρμόδιες εποπτικές αρχές, στην Ευρωπαϊκή Επιτροπή πριν από την έναρξη ισχύος ή την εφαρμογή τους.</w:t>
      </w:r>
      <w:r>
        <w:rPr>
          <w:rStyle w:val="Hyperlink"/>
          <w:color w:val="000000"/>
          <w:sz w:val="20"/>
          <w:szCs w:val="20"/>
          <w:u w:val="none" w:color="0000EE"/>
          <w:vertAlign w:val="superscript"/>
          <w:lang w:val="el" w:eastAsia="el"/>
        </w:rPr>
        <w:footnoteReference w:id="198"/>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που αφορούν σε εκτέλεση πληρωμών με ίδρυμα πελάτη από τρίτη χώρα, τα πιστωτικά ιδρύματα και οι χρηματοπιστωτικοί οργανισμοί, όταν συνάπτουν επιχειρηματική σχέση, οφείλουν, πλέον των μέτρων δέουσας επιμέλειας του άρθρου 13, να:</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MainText"/>
        <w:spacing w:before="120" w:after="0"/>
        <w:rPr>
          <w:lang w:val="el" w:eastAsia="el"/>
        </w:rPr>
      </w:pPr>
      <w:r>
        <w:rPr>
          <w:b/>
          <w:bCs/>
          <w:lang w:val="el" w:eastAsia="el"/>
        </w:rPr>
        <w:t>4.</w:t>
      </w:r>
      <w:r>
        <w:rPr>
          <w:lang w:val="el" w:eastAsia="el"/>
        </w:rPr>
        <w:t xml:space="preserve"> Με κοινή απόφαση του Υπουργού Οικονομικών και του Προέδρου της Βουλής μετά από εισήγηση της Ειδικής Υπηρεσίας Επιτροπής Ελέγχου Δηλώσεων Περιουσιακής Κατάστασης της Βουλής, που διατυπώνεται σύμφωνα με τις παρ. 1 έως 4 του άρθρου 11 (Μέρος Α΄), την παρ. 2 του άρθρου 30Γ και το άρθρο 97 (Μέρος Β΄), του Κανονισμού της Βουλής, καθορίζονται τα ακριβή καθήκοντα και οι αρμοδιότητες όσων, με βάση την παρ. 9 του άρθρου 3, ασκούν ή άσκησαν σημαντικό δημόσιο λειτούργημα και ρυθμίζονται ειδικότερα ζητήματα σχετικά με τη σύνταξη, τήρηση, έκδοση και επικαιροποίηση του εθνικού καταλόγου, καθώς και κάθε άλλο σχετικό θέμα. Ο κατάλογος αυτός αναρτάται στην ιστοσελίδα του Υπουργείου Οικονομικών και κοινοποιείται στην Ευρωπαϊκή Επιτροπή.</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5.</w:t>
      </w:r>
      <w:r>
        <w:rPr>
          <w:lang w:val="el" w:eastAsia="el"/>
        </w:rPr>
        <w:t xml:space="preserve"> Οι διεθνείς οργανισμοί που είναι διαπιστευμένοι στην Ελληνική Επικράτεια εκδίδουν και τηρούν ενήμερο κατάλογο των σημαντικών δημόσιων λειτουργημάτων καθενός σύμφωνα με την παρ. 9 του άρθρου 3. Οι κατάλογοι αυτοί αναρτώνται στην ιστοσελίδα τους και υποβάλλονται τον πρώτο μήνα κάθε έτους στον Κεντρικό Συντονιστικό Φορέα, ο οποίος τις κοινοποιεί στην Ευρωπαϊκή Επιτροπή.</w:t>
      </w:r>
      <w:r>
        <w:rPr>
          <w:rStyle w:val="Hyperlink"/>
          <w:color w:val="000000"/>
          <w:sz w:val="20"/>
          <w:szCs w:val="20"/>
          <w:u w:val="none" w:color="0000EE"/>
          <w:vertAlign w:val="superscript"/>
          <w:lang w:val="el" w:eastAsia="el"/>
        </w:rPr>
        <w:footnoteReference w:id="201"/>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κράτοςμέλος της Ευρωπαϊκής Ένωσης ή σε τρίτη χώρα που είναι μέλος της FATF και η οποία δεν έχει επισημανθεί από την Ευρωπαϊκή Επιτροπή ως τρίτη χώρα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κατάλληλα αντίγραφα, σε έντυπη ή ηλεκτρονική μορφή, των εγγράφων και των δεδομένων εξακρίβωσης και ελέγχου της ταυτότητας, συμπεριλαμβανομένων, εφόσον είναι διαθέσιμα, μέσων ηλεκτρονικής ταυτοποίησης, σχετικών υπηρεσιών εμπιστοσύνης, όπως ορίζονται στον Κανονισμό (ΕΕ) 910/2014 σχετικά με την ηλεκτρονική ταυτοποίηση και τις υπηρεσίες εμπιστοσύνης για τις ηλεκτρονικές συναλλαγές στην εσωτερική αγορά, ή οποιασδήποτε άλλης ασφαλούς, εξ αποστάσεως ή ηλεκτρονικής, διαδικασίας ταυτοποίησης που έχει αποκτήσει το τρίτο μέρος κατά την εφαρμογή των ανωτέρω μέτρων δέουσας επιμέλειας.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του Υπουργού Οικονομικών του πρώτου εδαφίου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 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lang w:val="el" w:eastAsia="el"/>
        </w:rPr>
        <w:t xml:space="preserve">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lang w:val="el" w:eastAsia="el"/>
        </w:rPr>
        <w:t xml:space="preserve">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w:t>
      </w:r>
      <w:r>
        <w:rPr>
          <w:lang w:val="el" w:eastAsia="el"/>
        </w:rPr>
        <w:t xml:space="preserve">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 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Η Διεύθυνση Χρηματοοικονομικής Πολιτικής του Υπουργείου Οικονομικών ενημερώνει τη Γ.Γ.Π.Σ.Δ.Δ. για κάθε νέα απαίτηση που χρήζει ενσωμάτωσης στις διαδικτυακές εφαρμογές του Κ.Μ.Π.Δ., σύμφωνα με την παρ. 11. Η Γενική Διεύθυνση Σώματος Δίωξης Οικονομικού Εγκλήματος (Γ.Δ.Σ.Δ.Ο.Ε.) του Υπουργείου Οικονομικών αποτελεί τον ελεγκτικό μηχανισμό για τη διακρίβωση της τήρησης και ακρίβειας των στοιχείων που καταχωρίζονται στο Κ.Μ.Π.Δ., στο οποίο έχει πρόσβαση άμεσα, χωρίς κανέναν περιορισμό και χωρίς προηγούμενη ειδοποίηση του νομικού προσώπου ή της νομικής οντότητας. Η Γ.Δ.Σ.Δ.Ο.Ε. είναι αρμόδια για τη διενέργεια ελέγχου για την εκπλήρωση των σκοπών του παρόντος, συμπεριλαμβανομένου του επιτόπιου ελέγχου για το ειδικό μητρώο που φυλάσσεται στην έδρα ή την εγκατάσταση των υπόχρεων εταιρικών και άλλων νομικών οντοτήτων κατά τα οριζόμενα στην παρ. 1. Οι αρμόδιες υπηρεσίες της Α.Α.Δ.Ε. παρέχουν στη Γ.Δ.Σ.Δ.Ο.Ε. όλες τις πληροφορίες και τα στοιχεία που απαιτούνται για την εκπλήρωση του ελεγκτικού της έργου, ως προς τους υπόχρεους προς καταχώριση και εξασφαλίζουν άμεση πρόσβαση των εξουσιοδοτούμενων υπαλλήλων της Γ.Δ.Σ.Δ.Ο.Ε. στην εφαρμογή του Μητρώου της Α.Α.Δ.Ε.. Για την πρόσβαση των υπαλλήλων του τρίτου εδαφίου στις εφαρμογές της φορολογίας εισοδήματος νομικών και φυσικών προσώπων για την εκπλήρωση αποκλειστικά και μόνο των σκοπών του παρόντος απαιτείται επαρκώς αιτιολογημένο αίτημα της Γ.Δ.Σ.Δ.Ο.Ε. προς την αρμόδια υπηρεσία της Α.Α.Δ.Ε..</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lang w:val="el" w:eastAsia="el"/>
        </w:rPr>
        <w:t xml:space="preserve"> Το Κ.Μ.Π.Δ. μπορεί να συνδέεται μέσω διαλειτουργικότητας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w:t>
      </w:r>
      <w:r>
        <w:rPr>
          <w:lang w:val="el" w:eastAsia="el"/>
        </w:rPr>
        <w:t xml:space="preserve"> Πρόσβαση στο Κ.Μ.Π.Δ. έχουν, άμεσα, χωρίς κανέναν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υποχρεούνται να αναφέρουν στον Κεντρικό Συντονιστικό Φορέα και στη Γ.Γ.Π.Σ.Δ.Δ. οποιαδήποτε αναντιστοιχία εντοπίζουν μεταξύ των πληροφοριών σχετικά με τον πραγματικό δικαιούχο που τηρούνται στο Κ.Μ.Π.Δ. και των στοιχείων που βρίσκονται στη διάθεσή τους.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lang w:val="el" w:eastAsia="el"/>
        </w:rPr>
        <w:t xml:space="preserve"> α) Πρόσβαση σε πληροφορίες του Κ.Μ.Π.Δ. που αφορούν τουλάχιστον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μπορεί να έχει και οποιοδήποτε μέλος του κοινού. Τα υπόχρεα πρόσωπα του πρώτου εδαφίου της παρ. 1, καθώς και μέλη του ευρύτερου κοινού,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(ν. 4620/2019, Α' 96), μπορούν να έχουν πρόσβαση και σε επιπρόσθετες πληροφορίες που επιτρέπουν την ταυτοποίηση του πραγματικού δικαιούχου, οι οποίες περιλαμβάνουν τουλάχιστον την ημερομηνία γέννησης ή στοιχεία επικοινωνίας. Για την ανωτέρω πρόσβαση επιβάλλεται ειδικό τέλος που εισπράττεται με την έκδοση ηλεκτρονικού παράβολου, το ύψος του οποίου καθορίζεται με την απόφαση της παρ. 11.</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β)</w:t>
      </w:r>
      <w:r>
        <w:rPr>
          <w:lang w:val="en" w:eastAsia="en"/>
        </w:rPr>
        <w:tab/>
      </w:r>
      <w:r>
        <w:rPr>
          <w:lang w:val="el" w:eastAsia="el"/>
        </w:rPr>
        <w:t>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κατόπιν σχετικής εισήγησης της Αρχής, απόφαση του Υπουργού Οικονομικών που δεν δημοσιεύεται, η οποία κοινοποιείται στην Γ.Δ.Σ.Δ.Ο.Ε. και στην Α.Α.Δ.Ε..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γ)</w:t>
      </w:r>
      <w:r>
        <w:rPr>
          <w:lang w:val="en" w:eastAsia="en"/>
        </w:rPr>
        <w:tab/>
      </w:r>
      <w:r>
        <w:rPr>
          <w:lang w:val="el" w:eastAsia="el"/>
        </w:rPr>
        <w:t>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8.</w:t>
      </w:r>
      <w:r>
        <w:rPr>
          <w:lang w:val="el" w:eastAsia="el"/>
        </w:rPr>
        <w:t xml:space="preserve"> Επιβάλλεται πρόστιμο, σύμφωνα με τα οριζόμενα στις παρ. 9 και 11, για καθεμία από τις κάτωθι παραβάσεις, εφόσον το νομικό πρόσωπο ή η νομική οντότητα της παρ.1:</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w:t>
      </w:r>
      <w:r>
        <w:rPr>
          <w:lang w:val="en" w:eastAsia="en"/>
        </w:rPr>
        <w:tab/>
      </w:r>
      <w:r>
        <w:rPr>
          <w:lang w:val="el" w:eastAsia="el"/>
        </w:rPr>
        <w:t>δεν υποβάλλει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w:t>
      </w:r>
      <w:r>
        <w:rPr>
          <w:lang w:val="en" w:eastAsia="en"/>
        </w:rPr>
        <w:tab/>
      </w:r>
      <w:r>
        <w:rPr>
          <w:lang w:val="el" w:eastAsia="el"/>
        </w:rPr>
        <w:t>υποβάλλει εκπρόθεσμα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γ)</w:t>
      </w:r>
      <w:r>
        <w:rPr>
          <w:lang w:val="en" w:eastAsia="en"/>
        </w:rPr>
        <w:tab/>
      </w:r>
      <w:r>
        <w:rPr>
          <w:lang w:val="el" w:eastAsia="el"/>
        </w:rPr>
        <w:t>υποβάλλει ελλιπή ή ανακριβή αρχική ή τροποποιητική δήλωση καταχώρισης των στοιχείων των πραγματικών δικαιούχων στο Κ.Μ.Π.Δ. κατά τα οριζόμενα στην παρ. 1,</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δ)</w:t>
      </w:r>
      <w:r>
        <w:rPr>
          <w:lang w:val="en" w:eastAsia="en"/>
        </w:rPr>
        <w:tab/>
      </w:r>
      <w:r>
        <w:rPr>
          <w:lang w:val="el" w:eastAsia="el"/>
        </w:rPr>
        <w:t>δεν τηρεί σε ειδικό μητρώο στην έδρα ή τη μόνιμη εγκατάσταση τις πληροφορίες της παρ. 1..</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9.</w:t>
      </w:r>
      <w:r>
        <w:rPr>
          <w:lang w:val="el" w:eastAsia="el"/>
        </w:rPr>
        <w:t xml:space="preserve"> Τα πρόστιμα για τις παραβάσεις που αναφέρονται στην παρ. 8 καθορίζονται ως εξής: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για κάθε παράβαση των περ. α', γ' και δ' της παρ. 8:</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αα)</w:t>
      </w:r>
      <w:r>
        <w:rPr>
          <w:lang w:val="en" w:eastAsia="en"/>
        </w:rPr>
        <w:tab/>
      </w:r>
      <w:r>
        <w:rPr>
          <w:lang w:val="el" w:eastAsia="el"/>
        </w:rPr>
        <w:t>5.000 ευρώ για νομικά πρόσωπα και νομικές οντότητες κερδοσκοπικού χαρακτήρα με καθαρό κύκλο εργασιών έως και 100.000 ευρώ, κατά το προηγούμενο έτος της παράβασης,</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αβ)</w:t>
      </w:r>
      <w:r>
        <w:rPr>
          <w:lang w:val="en" w:eastAsia="en"/>
        </w:rPr>
        <w:tab/>
      </w:r>
      <w:r>
        <w:rPr>
          <w:lang w:val="el" w:eastAsia="el"/>
        </w:rPr>
        <w:t>10.000 ευρώ για νομικά πρόσωπα και νομικές οντότητες κερδοσκοπικού χαρακτήρα με καθαρό κύκλο εργασιών άνω των 100.000 ευρώ έως και 700.000 ευρώ, κατά το προηγούμενο έτος της παράβασης,</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αγ)</w:t>
      </w:r>
      <w:r>
        <w:rPr>
          <w:lang w:val="en" w:eastAsia="en"/>
        </w:rPr>
        <w:tab/>
      </w:r>
      <w:r>
        <w:rPr>
          <w:lang w:val="el" w:eastAsia="el"/>
        </w:rPr>
        <w:t>20.000 ευρώ για νομικά πρόσωπα και νομικές οντότητες κερδοσκοπικού χαρακτήρα με καθαρό κύκλο εργασιών άνω των 700.000 ευρώ έως και 8.000.000 ευρώ, κατά το προηγούμενο έτος της παράβασης,</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αδ)</w:t>
      </w:r>
      <w:r>
        <w:rPr>
          <w:lang w:val="en" w:eastAsia="en"/>
        </w:rPr>
        <w:tab/>
      </w:r>
      <w:r>
        <w:rPr>
          <w:lang w:val="el" w:eastAsia="el"/>
        </w:rPr>
        <w:t>40.000 ευρώ για νομικά πρόσωπα και νομικές οντότητες κερδοσκοπικού χαρακτήρα με καθαρό κύκλο εργασιών άνω των 8.000.000 ευρώ, κατά το προηγούμενο έτος της παράβασης,</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αε)</w:t>
      </w:r>
      <w:r>
        <w:rPr>
          <w:lang w:val="en" w:eastAsia="en"/>
        </w:rPr>
        <w:tab/>
      </w:r>
      <w:r>
        <w:rPr>
          <w:lang w:val="el" w:eastAsia="el"/>
        </w:rPr>
        <w:t>5.000 ευρώ για νομικά πρόσωπα και νομικές οντότητες μη κερδοσκοπικού χαρακτήρα, που δεν απασχολούν εργαζόμενους,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αστ)</w:t>
      </w:r>
      <w:r>
        <w:rPr>
          <w:lang w:val="en" w:eastAsia="en"/>
        </w:rPr>
        <w:tab/>
      </w:r>
      <w:r>
        <w:rPr>
          <w:lang w:val="el" w:eastAsia="el"/>
        </w:rPr>
        <w:t>10.000 ευρώ για νομικά πρόσωπα και νομικές οντότητες μη κερδοσκοπικού χαρακτήρα, που απασχολούν έως πενήντα (50) εργαζόμενους,</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αζ)</w:t>
      </w:r>
      <w:r>
        <w:rPr>
          <w:lang w:val="en" w:eastAsia="en"/>
        </w:rPr>
        <w:tab/>
      </w:r>
      <w:r>
        <w:rPr>
          <w:lang w:val="el" w:eastAsia="el"/>
        </w:rPr>
        <w:t>20.000 ευρώ για νομικά πρόσωπα και νομικές οντότητες μη κερδοσκοπικού χαρακτήρα, που απασχολούν από πενήντα ένα (51) έως και διακόσιους πενήντα (250) εργαζόμενους,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αη)</w:t>
      </w:r>
      <w:r>
        <w:rPr>
          <w:lang w:val="en" w:eastAsia="en"/>
        </w:rPr>
        <w:tab/>
      </w:r>
      <w:r>
        <w:rPr>
          <w:lang w:val="el" w:eastAsia="el"/>
        </w:rPr>
        <w:t>40.000 ευρώ για νομικά πρόσωπα και νομικές οντότητες μη κερδοσκοπικού χαρακτήρα, που απασχολούν άνω των διακοσίων πενήντα (250) εργαζομένων,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β)</w:t>
      </w:r>
      <w:r>
        <w:rPr>
          <w:lang w:val="en" w:eastAsia="en"/>
        </w:rPr>
        <w:tab/>
      </w:r>
      <w:r>
        <w:rPr>
          <w:lang w:val="el" w:eastAsia="el"/>
        </w:rPr>
        <w:t>για παράβαση της περ. β' της παρ. 8:</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βα)</w:t>
      </w:r>
      <w:r>
        <w:rPr>
          <w:lang w:val="en" w:eastAsia="en"/>
        </w:rPr>
        <w:tab/>
      </w:r>
      <w:r>
        <w:rPr>
          <w:lang w:val="el" w:eastAsia="el"/>
        </w:rPr>
        <w:t>εκατό (100) ευρώ, για κάθε παράβαση της περ. β', εφόσον η εκπρόθεσμη δήλωση γίνεται εντός χρονικού διαστήματος ενός (1) μηνός από την ημερομηνία παρέλευσης της προθεσμίας της παρ. 1,</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ββ)</w:t>
      </w:r>
      <w:r>
        <w:rPr>
          <w:lang w:val="en" w:eastAsia="en"/>
        </w:rPr>
        <w:tab/>
      </w:r>
      <w:r>
        <w:rPr>
          <w:lang w:val="el" w:eastAsia="el"/>
        </w:rPr>
        <w:t>πεντακοσίων (500) ευρώ για κάθε παράβαση της περ. β', εφόσον η εκπρόθεσμη δήλωση γίνεται πέραν του ενός (1) μηνός και έως τρεις (3) μήνες από την ημερομηνία παρέλευσης της προθεσμίας της παρ. 1,</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βγ)</w:t>
      </w:r>
      <w:r>
        <w:rPr>
          <w:lang w:val="en" w:eastAsia="en"/>
        </w:rPr>
        <w:tab/>
      </w:r>
      <w:r>
        <w:rPr>
          <w:lang w:val="el" w:eastAsia="el"/>
        </w:rPr>
        <w:t>σε περίπτωση παρέλευσης τριών (3) μηνών από τη λήξη της προθεσμίας καταχώρισης, η εκπρόθεσμη δήλωση τεκμαίρεται ως μη υποβληθείσα και επιβάλλεται το πρόστιμο της περ. α'.</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10.</w:t>
      </w:r>
      <w:r>
        <w:rPr>
          <w:lang w:val="el" w:eastAsia="el"/>
        </w:rPr>
        <w:t xml:space="preserve"> Σε περίπτωση διαπίστωσης παράβασης της παρ. 8 ο προϊστάμενος της κατά τόπον αρμόδιας επιχειρησιακής διεύθυνσης της Γ.Δ.Σ.Δ.Ο.Ε. διαβιβάζει Έκθεση Βεβαίωσης Παράβασης με τον χρηματικό κατάλογο στις αρμόδιες υπηρεσίες της ΑΑΔΕ, για τη βεβαίωση του προστίμου, τον καταλογισμό και την είσπραξη αυτού. Το πρόστιμο, το οποίο βεβαιώνεται και εισπράττεται σύμφωνα με τον Κώδικα Είσπραξης Δημοσίων Εσόδων (ν. 4978/2022, Α' 190), αποτελεί έσοδο του Κρατικού Προϋπολογισμού.</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Ειδικά σε περίπτωση παράβασης της περ. β' της παρ. 8, το πρόστιμο επιβάλλεται κατόπιν σχετικής ενημέρωσης από το Κ.Μ.Π.Δ..</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Με την απόφαση του Υπουργού Οικονομικών του δευτέρου εδαφίου της παρ. 11 καθορίζεται κάθε αναγκαία λεπτομέρεια για τη διαδικασία διενέργειας ελέγχου και διαπίστωσης παράβασης της παρ. 8, καθώς και υπόδειγμα της Έκθεσης Βεβαίωσης Παράβασης.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Η πράξη επιβολής διοικητικής κύρωσης υπόκειται σε ενδικοφανή προσφυγή, η οποία ασκείται ενώπιον του επικεφαλής της υπηρεσίας των ελεγκτών, εντός τριάντα (30) εργάσιμων ημερών από την έκδοση της έκθεσης βεβαίωσης. Η απόφαση επί της ενδικοφανούς προσφυγής εκδίδεται εντός τριάντα (30) εργάσιμων ημερών από την κατάθεσή της.</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Οι παραβάσεις των περ. α', γ' και δ' της παρ. 8 συνεπάγονται τη δέσμευση χορήγησης αποδεικτικού φορολογικής ενημερότητας των υπόχρεων νομικών προσώπων και οντοτήτων, η οποία ισχύει έως την άρση της παράβασης και σύμφωνα με την απόφαση του Διοικητή της ΑΑΔΕ που προβλέπεται στην παρ. 12.</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Κ.Μ.Π.Δ., τον χρόνο και τον τρόπο καταχώρισης σε αυτό του ειδικού μητρώου της παρ. 1 του παρόντος και της παρ. 1 του άρθρου 21. Με απόφαση του Υπουργού Οικονομικών καθορίζεται το υπόδειγμα της Έκθεσης Βεβαίωσης παράβασης της παρ. 10 και ρυθμίζεται κάθε ειδικότερο θέμα σχετικά με τη διενέργεια του ελέγχου και τη διαδικασία διαπίστωσης των παραβάσεων. Με κοινή απόφαση των Υπουργών Οικονομικών και Ψηφιακής Διακυβέρνησης ρυθμίζονται ειδικότερα θέματα σχετικά με τη διασύνδεση των μητρώων του προηγούμενου εδαφίου με τα Αποθετήρια Τίτλων και τα πληροφοριακά συστήματα της παρ.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13.</w:t>
      </w:r>
      <w:r>
        <w:rPr>
          <w:lang w:val="el" w:eastAsia="el"/>
        </w:rPr>
        <w:t xml:space="preserve"> Η έναρξη παραγωγικής λειτουργίας του Κ.Μ.Π.Δ. ορίζεται με την απόφαση της παρ. 11. Με κοινή απόφαση των Υπουργών Οικονομικών και Ψηφιακής Διακυβέρνησης μπορεί να τίθεται εκτός λειτουργίας το πληροφοριακό σύστημα, ύστερα από αίτημα της αρμόδιας Διεύθυνσης Χρηματοοικονομικής Πολιτικής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14.</w:t>
      </w:r>
      <w:r>
        <w:rPr>
          <w:lang w:val="el" w:eastAsia="el"/>
        </w:rPr>
        <w:t xml:space="preserve">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r>
        <w:rPr>
          <w:rStyle w:val="Hyperlink"/>
          <w:color w:val="000000"/>
          <w:sz w:val="20"/>
          <w:szCs w:val="20"/>
          <w:u w:val="none" w:color="0000EE"/>
          <w:vertAlign w:val="superscript"/>
          <w:lang w:val="el" w:eastAsia="el"/>
        </w:rPr>
        <w:footnoteReference w:id="240"/>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lang w:val="el" w:eastAsia="el"/>
        </w:rPr>
        <w:t xml:space="preserve"> Πρόσβαση στις πληροφορίες της παρ. 1 έχουν: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α)</w:t>
      </w:r>
      <w:r>
        <w:rPr>
          <w:lang w:val="en" w:eastAsia="en"/>
        </w:rPr>
        <w:tab/>
      </w:r>
      <w:r>
        <w:rPr>
          <w:lang w:val="el" w:eastAsia="el"/>
        </w:rPr>
        <w:t>η Αρχή, οι αρμόδιες αρχές του άρθρου 6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β)</w:t>
      </w:r>
      <w:r>
        <w:rPr>
          <w:lang w:val="en" w:eastAsia="en"/>
        </w:rPr>
        <w:tab/>
      </w:r>
      <w:r>
        <w:rPr>
          <w:lang w:val="el" w:eastAsia="el"/>
        </w:rPr>
        <w:t>τα υπόχρεα πρόσωπα, αποκλειστικά στο πλαίσιο της εφαρμογής των μέτρων δέουσας επιμέλειας ως προς τον πελάτη σύμφωνα με τον παρόντα,</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w:t>
      </w:r>
      <w:r>
        <w:rPr>
          <w:lang w:val="en" w:eastAsia="en"/>
        </w:rPr>
        <w:tab/>
      </w:r>
      <w:r>
        <w:rPr>
          <w:lang w:val="el" w:eastAsia="el"/>
        </w:rPr>
        <w:t>κάθε πρόσωπο που μπορεί να αποδείξει έννομο συμφέρον,</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δ)</w:t>
      </w:r>
      <w:r>
        <w:rPr>
          <w:lang w:val="en" w:eastAsia="en"/>
        </w:rPr>
        <w:tab/>
      </w:r>
      <w:r>
        <w:rPr>
          <w:lang w:val="el" w:eastAsia="el"/>
        </w:rPr>
        <w:t>κάθε πρόσωπο που υποβάλλει έγγραφη αίτηση που αφορά σε εμπίστευμα ή παρεμφερές νομικό μόρφωμα το οποίο κατέχει ή έχει στην κυριότητά του ελέγχουσα συμμετοχή σε οποιαδήποτε εταιρική ή άλλη νομική οντότητα, πλην εκείνων που αναφέρονται στην παρ. 1 του άρθρου 20, μέσω άμεσης ή έμμεσης κυριότητας, μεταξύ άλλων, μέσω μετοχών στον κομιστή ή μέσω ελέγχου με άλλα μέσα.</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Οι πληροφορίες που είναι προσβάσιμες από τα πρόσωπα των περ. γ) και δ) συνίστανται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Πρόσβαση σε επιπρόσθετες πληροφορίες που επιτρέπουν την ταυτοποίηση του πραγματικού δικαιούχου και περιλαμβάνουν τουλάχιστον ημερομηνία γέννησης ή στοιχεία επικοινωνίας, σύμφωνα με τους κανόνες προστασίας δεδομένων, μπορούν να έχουν τα πρόσωπα των περ. γ) και δ), υπό την προϋπόθεση απόδειξης εννόμου συμφέροντος κατόπιν εισαγγελικής παραγγελίας, σύμφωνα με το άρθρο 34 του Κώδικα Ποινικής Δικονομίας (ν. 4620/2019, Α΄ 96).</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Όταν η πρόσβαση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w:t>
      </w:r>
      <w:r>
        <w:rPr>
          <w:rStyle w:val="Hyperlink"/>
          <w:color w:val="000000"/>
          <w:sz w:val="20"/>
          <w:szCs w:val="20"/>
          <w:u w:val="none" w:color="0000EE"/>
          <w:vertAlign w:val="superscript"/>
          <w:lang w:val="el" w:eastAsia="el"/>
        </w:rPr>
        <w:footnoteReference w:id="256"/>
      </w:r>
    </w:p>
    <w:p>
      <w:pPr>
        <w:pStyle w:val="Heading6"/>
        <w:spacing w:before="240" w:after="240"/>
        <w:rPr>
          <w:lang w:val="el" w:eastAsia="el"/>
        </w:rPr>
      </w:pPr>
      <w:r>
        <w:rPr>
          <w:b/>
          <w:bCs/>
          <w:lang w:val="el" w:eastAsia="el"/>
        </w:rPr>
        <w:t xml:space="preserve">Άρθρο 21A. </w:t>
      </w:r>
    </w:p>
    <w:p>
      <w:pPr>
        <w:pStyle w:val="Heading6"/>
        <w:spacing w:before="240" w:after="240"/>
        <w:rPr>
          <w:lang w:val="el" w:eastAsia="el"/>
        </w:rPr>
      </w:pPr>
      <w:r>
        <w:rPr>
          <w:b/>
          <w:bCs/>
          <w:lang w:val="el" w:eastAsia="el"/>
        </w:rPr>
        <w:t>Κεντρικός αυτοματοποιημένος μηχανισμός ηλεκτρονικής ανάκτησης δεδομένων</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lang w:val="el" w:eastAsia="el"/>
        </w:rPr>
        <w:t xml:space="preserve"> Το Σύστημα Μητρώων Τραπεζικών Λογαριασμών και Λογαριασμών Πληρωμών (Σ.Μ.Τ.Λ. και Λ.Π.) του άρθρου 62 του ν. 4170/2013 (Α΄ 163) αποτελεί τον κεντρικό αυτοματοποιημένο μηχανισμό ηλεκτρονικής ανάκτησης δεδομένων για την έγκαιρη εξακρίβωση οποιωνδήποτε προσώπων κατέχουν ή ελέγχουν:</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α)</w:t>
      </w:r>
      <w:r>
        <w:rPr>
          <w:lang w:val="en" w:eastAsia="en"/>
        </w:rPr>
        <w:tab/>
      </w:r>
      <w:r>
        <w:rPr>
          <w:lang w:val="el" w:eastAsia="el"/>
        </w:rPr>
        <w:t>λογαριασμούς πληρωμής,</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β)</w:t>
      </w:r>
      <w:r>
        <w:rPr>
          <w:lang w:val="en" w:eastAsia="en"/>
        </w:rPr>
        <w:tab/>
      </w:r>
      <w:r>
        <w:rPr>
          <w:lang w:val="el" w:eastAsia="el"/>
        </w:rPr>
        <w:t>τραπεζικούς λογαριασμούς προσδιοριζόμενους από αριθμό ΙΒΑΝ, όπως ορίζονται στον Κανονισμό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υπ’ αρ. 924/2009 (L 94) ή από μοναδικό αριθμό λογαριασμού,</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γ)</w:t>
      </w:r>
      <w:r>
        <w:rPr>
          <w:lang w:val="en" w:eastAsia="en"/>
        </w:rPr>
        <w:tab/>
      </w:r>
      <w:r>
        <w:rPr>
          <w:lang w:val="el" w:eastAsia="el"/>
        </w:rPr>
        <w:t>θυρίδες ασφαλείας, και</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δ)</w:t>
      </w:r>
      <w:r>
        <w:rPr>
          <w:lang w:val="en" w:eastAsia="en"/>
        </w:rPr>
        <w:tab/>
      </w:r>
      <w:r>
        <w:rPr>
          <w:lang w:val="el" w:eastAsia="el"/>
        </w:rPr>
        <w:t>κάθε στοιχείο και πληροφορία για φυσικό ή νομικό πρόσωπο ή νομική οντότητα που τηρούνται από τα πιστωτικά ιδρύματα του ν. 4261/2014 (Α΄ 107), συμπεριλαμβανομένων και των υποκαταστημάτων αλλοδαπών πιστωτικών ιδρυμάτων, των ιδρυμάτων πληρωμών του ν. 4537/2018 (Α΄ 84) και των ιδρυμάτων ηλεκτρονικού χρήματος του ν. 4021/2011 (Α΄ 218) που λειτουργούν στην Ελληνική Επικράτεια, με ή χωρίς φυσική εγκατάσταση, και τηρούνται στο Μητρώο της Τράπεζας της Ελλάδος, καθώς και των παρόχων υπηρεσιών πληρωμών που αποδέχονται συναλλαγές καρτών πληρωμών (card acquirers) με έδρα το εξωτερικό και οι οποίοι δραστηριοποιούνται στην Ελλάδα, εξυπηρετώντας επιχειρήσεις στην Ελληνική Επικράτεια.</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Η ηλεκτρονική ανάκτηση των δεδομένων γίνεται με σκοπό τη διευκόλυνση της διαβίβασης των αιτημάτων παροχής πληροφοριών από το σύνολο των υπηρεσιών της Α.Α.Δ.Ε. και του Σώματος Δίωξης Οικονομικού Εγκλήματος του Υπουργείου Οικονομικών, τη Μονάδα Εσωτερικού Ελέγχου του Υπουργείου Οικονομικών, την Οικονομική Αστυνομία, το σύνολο των υπηρεσιών του Κέντρου Είσπραξης Ασφαλιστικών Οφειλών του Ηλεκτρονικού Εθνικού Φορέα Κοινωνικής Ασφάλισης (e-ΕΦΚΑ), τον οικονομικό εισαγγελέα, τον εισαγγελέα εγκλημάτων διαφθοράς, την Αρχή, καθώς και τις αρμόδιες αρχές του άρθρου 6.</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w:t>
      </w:r>
      <w:r>
        <w:rPr>
          <w:lang w:val="el" w:eastAsia="el"/>
        </w:rPr>
        <w:t xml:space="preserve"> Τα αιτήματα παροχής πληροφοριών αφορούν σε κάθε στοιχείο και πληροφορία για κάθε πρόσωπο της παρ. 1 για την άρση του τραπεζικού και επαγγελματικού απορρήτου, καθώς και του απορρήτου των στοιχείων έναντι των αρχών και υπηρεσιών του Δημοσίου του τελευταίου εδαφίου της παρ. 1 και της αυτοματοποιημένης πρόσβασής τους σε αυτό. Ειδικά για την Αρχή, οι ως άνω πληροφορίες είναι άμεσα προσβάσιμες, απευθείας και χωρίς παρεμβολές. Η Αρχή παρέχει εγκαίρως, κατόπιν αιτήματος από Μονάδες Χρηματοοικονομικών Πληροφοριών (ΜΧΠ) άλλου κράτουςμέλους, πληροφορίες που ανακτώνται μέσω του μηχανισμού της παρ. 1, σύμφωνα με τα οριζόμενα στο άρθρο 34.</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lang w:val="el" w:eastAsia="el"/>
        </w:rPr>
        <w:t xml:space="preserve"> Οι πληροφορίες που είναι προσβάσιμες και μπορεί να αναζητηθούν μέσω του μηχανισμού της παρ. 1 είναι οι ακόλουθες:</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α)</w:t>
      </w:r>
      <w:r>
        <w:rPr>
          <w:lang w:val="en" w:eastAsia="en"/>
        </w:rPr>
        <w:tab/>
      </w:r>
      <w:r>
        <w:rPr>
          <w:lang w:val="el" w:eastAsia="el"/>
        </w:rPr>
        <w:t>για τον κάτοχο λογαριασμού πελάτη: το ονοματεπώνυμο, συμπληρωμένο είτε με τα άλλα στοιχεία αναγνώρισης που απαιτούνται, σύμφωνα με την περ. α΄ της παρ. 1 του άρθρου 13 είτε με ένα μοναδικό αριθμό αναγνώρισης,</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β)</w:t>
      </w:r>
      <w:r>
        <w:rPr>
          <w:lang w:val="en" w:eastAsia="en"/>
        </w:rPr>
        <w:tab/>
      </w:r>
      <w:r>
        <w:rPr>
          <w:lang w:val="el" w:eastAsia="el"/>
        </w:rPr>
        <w:t>για τον πραγματικό δικαιούχο του κατόχου λογαριασμού πελάτη: το ονοματεπώνυμο, συμπληρωμένο είτε με τα άλλα στοιχεία αναγνώρισης που απαιτούνται σύμφωνα με την περ. β΄ της παρ. 1 του άρθρου 13 είτε με έναν μοναδικό αριθμό αναγνώρισης,</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γ)</w:t>
      </w:r>
      <w:r>
        <w:rPr>
          <w:lang w:val="en" w:eastAsia="en"/>
        </w:rPr>
        <w:tab/>
      </w:r>
      <w:r>
        <w:rPr>
          <w:lang w:val="el" w:eastAsia="el"/>
        </w:rPr>
        <w:t>για τον τραπεζικό λογαριασμό ή τον λογαριασμό πληρωμών: ο αριθμός ΙΒΑΝ ή ο μοναδικός αριθμός λογαριασμού και η ημερομηνία ανοίγματος και κλεισίματος του λογαριασμού και το προοδευτικό υπόλοιπο, καθώς και η κίνηση του λογαριασμού για τη χρονική περίοδο των τελευταίων – από το αίτημα – δέκα (10) ετών και</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δ)</w:t>
      </w:r>
      <w:r>
        <w:rPr>
          <w:lang w:val="en" w:eastAsia="en"/>
        </w:rPr>
        <w:tab/>
      </w:r>
      <w:r>
        <w:rPr>
          <w:lang w:val="el" w:eastAsia="el"/>
        </w:rPr>
        <w:t>για την ενεργή θυρίδα ασφαλείας: το ονοματεπώνυμο του μισθωτή, συμπληρωμένο είτε με τα άλλα στοιχεία αναγνώρισης που απαιτούνται σύμφωνα με την περ. β΄ της παρ. 1 του άρθρου 13 είτε έναν ενιαίο αριθμό αναγνώρισης και τη διάρκεια της περιόδου μίσθωσης.</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ε)</w:t>
      </w:r>
      <w:r>
        <w:rPr>
          <w:lang w:val="en" w:eastAsia="en"/>
        </w:rPr>
        <w:tab/>
      </w:r>
      <w:r>
        <w:rPr>
          <w:lang w:val="el" w:eastAsia="el"/>
        </w:rPr>
        <w:t>για τον λογαριασμό χορηγήσεων: η ημερομηνία ανοίγματος και κλεισίματος του λογαριασμού, καθώς και η κίνηση αυτού για τη χρονική περίοδο των τελευταίων – από το αίτημα – δέκα (10) ετών,</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στ)</w:t>
      </w:r>
      <w:r>
        <w:rPr>
          <w:lang w:val="en" w:eastAsia="en"/>
        </w:rPr>
        <w:tab/>
      </w:r>
      <w:r>
        <w:rPr>
          <w:lang w:val="el" w:eastAsia="el"/>
        </w:rPr>
        <w:t>για τις πιστωτικές κάρτες: η ημερομηνία ανοίγματος και κλεισίματος της κάρτας, καθώς και η κίνηση αυτής για τη χρονική περίοδο των τελευταίων – από το αίτημα δέκα (10) ετών.</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Ο Κεντρικός Συντονιστικός Φορέας κοινοποιεί στην Ευρωπαϊκή Επιτροπή τα χαρακτηριστικά του μηχανισμού της παρ. 1.</w:t>
      </w:r>
      <w:r>
        <w:rPr>
          <w:rStyle w:val="Hyperlink"/>
          <w:color w:val="000000"/>
          <w:sz w:val="20"/>
          <w:szCs w:val="20"/>
          <w:u w:val="none" w:color="0000EE"/>
          <w:vertAlign w:val="superscript"/>
          <w:lang w:val="el" w:eastAsia="el"/>
        </w:rPr>
        <w:footnoteReference w:id="272"/>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νομοθετικής, κανονιστικής, διοικητικής ή συμβατικής απαγόρευσης γνωστοποίησης πληροφοριών, ούτε συνεπάγεται οποιουδήποτε είδους ευθύνη για το υπόχρεο πρόσωπο και τους εργαζόμενους σε αυτό ή τους νόμιμους εκπροσώπους του, ακόμη και αν αποδειχθεί, ότι δεν υπήρξε εγκληματική δραστηριότητα, ούτε μπορεί να αποτελέσει λόγο καταγγελίας της εργασιακής σύμβασης ή μεταβολής των όρων της επί το δυσμενέστερον.</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πιθανές περιπτώσεις εκδίκησης ή εκφοβισμού, σύμφωνα με το άρθρο 9 του ν. 2928/2001 (Α΄ 141). Τα φυσικά αυτά πρόσωπα, στα οποία συμπεριλαμβάνονται οι εργαζόμενοι και οι αντιπρόσωποι υπόχρεων προσώπων, όταν αναφέρουν τις υπόνοιές τους εσωτερικά ή στην Αρχή, τυγχάνουν νομικής προστασίας από την έκθεσή τους σε απειλές, αντίποινα ή εχθρικές ενέργειες, ιδίως δε από εργασιακές ενέργειες που είναι δυσμενείς ή εισάγουν διακρίσεις. Τα άτομα που εκτίθενται σε απειλές, εχθρικές ενέργειες ή εργασιακές ενέργειες που είναι δυσμενείς ή εισάγουν διακρίσεις επειδή αναφέρουν υπόνοιες για νομιμοποίηση εσόδων από εγκληματικές δραστηριότητες ή χρηματοδότηση της τρομοκρατίας, εσωτερικά ή στην Αρχή, έχουν δικαίωμα να υποβάλλουν καταγγελία κατά τρόπο ασφαλή στις αντίστοιχες αρμόδιες αρχές. Χωρίς να θίγεται ο εμπιστευτικός χαρακτήρας των πληροφοριών που συλλέγει η Αρχή, τα οικεία άτομα έχουν το δικαίωμα αποτελεσματικής προσφυγής για τη διασφάλιση των δικαιωμάτων τους βάσει της παρούσας.</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r>
        <w:rPr>
          <w:rStyle w:val="Hyperlink"/>
          <w:color w:val="000000"/>
          <w:sz w:val="20"/>
          <w:szCs w:val="20"/>
          <w:u w:val="none" w:color="0000EE"/>
          <w:vertAlign w:val="superscript"/>
          <w:lang w:val="el" w:eastAsia="el"/>
        </w:rPr>
        <w:footnoteReference w:id="276"/>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Συστήνεται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Η Επιτροπή Δικηγόρων δημοσιεύει ετήσια έκθεση, η οποία περιλαμβάνει τον αριθμό των αναφορών ύποπτων ή ασυνήθων συναλλαγών που ελήφθησαν από τους δικηγόρους και τον αριθμό των αναφορών που διαβιβάστηκαν στην Αρχή.</w:t>
      </w:r>
      <w:r>
        <w:rPr>
          <w:rStyle w:val="Hyperlink"/>
          <w:color w:val="000000"/>
          <w:sz w:val="20"/>
          <w:szCs w:val="20"/>
          <w:u w:val="none" w:color="0000EE"/>
          <w:vertAlign w:val="superscript"/>
          <w:lang w:val="el" w:eastAsia="el"/>
        </w:rPr>
        <w:footnoteReference w:id="277"/>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απαιτήσεις δέουσας επιμέλειας που ορίζονται στο άρθρο 13,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 1 και 2, καθώς και τα δεδομένα που είναι προσβάσιμα μέσω των κεντρικών μηχανισμών που αναφέρονται στο άρθρο 21A,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σε υποθέσεις για τις οποίες στις 25.6.2015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25.6.2020 και, αν εκκρεμούσε ήδη ποινική διαδικασία, μέχρι τις 25.6.2025.</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13 του Κανονισμού (ΕΕ) 2016/679,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κατά την εφαρμογή του παρόντος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Κανονισμό (ΕΕ) 2016/679, τον Κανονισμό (ΕΕ) 2018/1275 και τον ν. 4624/2019 (Α΄ 137).</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γ) 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StructureList1"/>
        <w:spacing w:before="120" w:after="0"/>
        <w:rPr>
          <w:lang w:val="el" w:eastAsia="el"/>
        </w:rPr>
      </w:pPr>
      <w:r>
        <w:rPr>
          <w:lang w:val="el" w:eastAsia="el"/>
        </w:rPr>
        <w:t>στ)</w:t>
      </w:r>
      <w:r>
        <w:rPr>
          <w:lang w:val="en" w:eastAsia="en"/>
        </w:rPr>
        <w:tab/>
      </w:r>
      <w:r>
        <w:rPr>
          <w:lang w:val="el" w:eastAsia="el"/>
        </w:rPr>
        <w:t>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 και</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ζ)</w:t>
      </w:r>
      <w:r>
        <w:rPr>
          <w:lang w:val="en" w:eastAsia="en"/>
        </w:rPr>
        <w:tab/>
      </w:r>
      <w:r>
        <w:rPr>
          <w:lang w:val="el" w:eastAsia="el"/>
        </w:rPr>
        <w:t>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lang w:val="el" w:eastAsia="el"/>
        </w:rPr>
        <w:t xml:space="preserve"> Το Υπουργείο Δικαιοσύνης, η Αρχή και οι αρμόδιες αρχές της παρ. 1 δημοσιεύουν σε ετήσια βάση συγκεντρωτικά στατιστικά στοιχεία για την ενημέρωση του κοινού.</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κρατώνμελών της Ε.Ε. πληροφορίες εμπιστευτικής φύσης, που μπορεί να είναι χρήσιμες για τις επιχειρησιακές τους αναλύσεις, στις οποίες συμπεριλαμβάνονται όσες αφορούν στο εμπλεκόμενο φυσικό ή νομικό πρόσωπο, ανεξάρτητα από το είδος των συναφών βασικών αδικημάτων και ακόμη και αν το είδος των συναφών βασικών αδικημάτων δεν ταυτοποιείται κατά την ανταλλαγή. Η Αρχή, όταν λαμβάνει αιτήματα παροχής πληροφοριών, διαβιβάζει αμελλητί τις σχετικές απαντήσεις, αξιοποιώντας όλες τις εξουσίες και τα μέσα που διαθέτει. Για τη λήψη αιτήματος παροχής πληροφοριών από ΜΧΠ άλλων κρατώνμελών, η Αρχή ορίζει τουλάχιστον έναν υπεύθυνο ή σημείο επικοινωνίας. Αν λαμβάνει αναφορές ύποπτων ή ασυνήθων συναλλαγών που αφορούν σε άλλο κράτοςμέλος, τις διαβιβάζει αμελλητί στην αντίστοιχη ΜΧΠ.</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μεταξύ της Αρχής και ΜΧΠ άλλων κρατώνμελών της Ε.Ε. μπορεί να επιβάλλονται περιορισμοί και προϋποθέσεις ως προς τη χρήση τους. Οι πληροφορίες που προέρχονται από ΜΧΠ άλλων κρατώνμελών μπορεί να χρησιμοποιούνται από την Αρχή μόνο για τον σκοπό για τον οποίο ζητήθηκαν και με σεβασμό των επιβληθέντων περιορισμών ή των επιβληθεισών προϋποθέσεων. Οποιαδήποτε διαβίβαση των πληροφοριών αυτών σε άλλη αρχή ή φορέα ή χρήση τους για σκοπούς πέραν των αρχικώς εγκριθέντων υπόκειται σε προηγούμενη συγκατάθεση της ΜΧΠ που παρέχει τις πληροφορίες. Σε περίπτωση που ζητείται η συγκατάθεση της Αρχής για τη διαβίβαση των πληροφοριών αυτών σε άλλη αρμόδια αρχή ή φορέα ή χρήση τους για σκοπούς πέραν των αρχικώς εγκριθέντων, η συγκατάθεση αυτή παρέχεται αμελλητί και στον μεγαλύτερο δυνατό βαθμό, ανεξαρτήτως του βασικού αδικήματος. Η Αρχή παρέχει τη συγκατάθεσή της για τη διαβίβαση των πληροφοριών αυτών, εκτός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ή αν η διαβίβαση θα μπορούσε να παρακωλύσει τη διενέργεια εγχώριας ποινικής έρευνας ή αντίκειται σε θεμελιώδεις αρχές του ελληνικού δικαίου. Άρνηση συγκατάθεσης πρέπει να είναι επαρκώς αιτιολογημένη.</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του παρόντος, ως πληροφορίες εμπιστευτικής φύσης νοούνται εκείνες που αφορούν στην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βασικών αδικημάτων, σύμφωνα με το εθνικό δίκαιο δεν εμποδίζουν την Αρχή να ανταλλάσσει πληροφορίες ή να παρέχει συνδρομή σε ΜΧΠ άλλων κρατών-μελών.</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8.</w:t>
      </w:r>
      <w:r>
        <w:rPr>
          <w:lang w:val="el" w:eastAsia="el"/>
        </w:rPr>
        <w:t xml:space="preserve">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καταπολέμησης της τρομοκρατίας έχουν πρόσβαση σε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αυτά είναι διαθέσιμα. Με κοινές αποφάσεις του Υπουργού Οικονομικών και των κατά περίπτωση αρμόδιων Υπουργών μπορεί να ρυθμίζονται ειδικότερα θέματα σχετικά με τα εν λόγω μητρώα ή συστήματα.</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 xml:space="preserve">Άρθρο 34A. </w:t>
      </w:r>
    </w:p>
    <w:p>
      <w:pPr>
        <w:pStyle w:val="Heading6"/>
        <w:spacing w:before="240" w:after="240"/>
        <w:rPr>
          <w:lang w:val="el" w:eastAsia="el"/>
        </w:rPr>
      </w:pPr>
      <w:r>
        <w:rPr>
          <w:b/>
          <w:bCs/>
          <w:lang w:val="el" w:eastAsia="el"/>
        </w:rPr>
        <w:t>Συνεργασία μεταξύ των ελληνικών και των αρμόδιων αρχών των κρατών-μελών</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Οι αρμόδιες αρχές του άρθρου 6 και κάθε άλλη αρχή που είναι αρμόδια για την καταπολέμηση της νομιμοποίησης εσόδων από εγκληματικές δραστηριότητες ή της χρηματοδότησης της τρομοκρατίας και των βασικών αδικημάτων αυτών δεν απαγορεύουν ούτε θέτουν αναιτιολόγητους ή υπερβολικά περιοριστικούς όρους στην ανταλλαγή πληροφοριών ή τη συνδρομή μεταξύ αυτών και των αρμόδιων αρχών των κρατώνμελών. Ειδικότερα, οι αρμόδιες ελληνικές αρχές δεν δύνανται να απορρίψουν αίτημα για συνδρομή με την αιτιολόγηση ότι:</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α)</w:t>
      </w:r>
      <w:r>
        <w:rPr>
          <w:lang w:val="en" w:eastAsia="en"/>
        </w:rPr>
        <w:tab/>
      </w:r>
      <w:r>
        <w:rPr>
          <w:lang w:val="el" w:eastAsia="el"/>
        </w:rPr>
        <w:t>το αίτημα θεωρείται ότι περιλαμβάνει επίσης φορολογικά θέματα,</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β)</w:t>
      </w:r>
      <w:r>
        <w:rPr>
          <w:lang w:val="en" w:eastAsia="en"/>
        </w:rPr>
        <w:tab/>
      </w:r>
      <w:r>
        <w:rPr>
          <w:lang w:val="el" w:eastAsia="el"/>
        </w:rPr>
        <w:t>η εθνική νομοθεσία απαιτεί από το υπόχρεο πρόσωπο να τηρεί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αυτά περιγράφονται στην παρ. 2 του άρθρου 22,</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γ)</w:t>
      </w:r>
      <w:r>
        <w:rPr>
          <w:lang w:val="en" w:eastAsia="en"/>
        </w:rPr>
        <w:tab/>
      </w:r>
      <w:r>
        <w:rPr>
          <w:lang w:val="el" w:eastAsia="el"/>
        </w:rPr>
        <w:t>βρίσκεται σε εξέλιξη έρευνα, διερεύνηση ή διαδικασία, εκτός εάν η συνδρομή θα παρεμπόδιζε την εν λόγω έρευνα, διερεύνηση ή διαδικασία,</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δ)</w:t>
      </w:r>
      <w:r>
        <w:rPr>
          <w:lang w:val="en" w:eastAsia="en"/>
        </w:rPr>
        <w:tab/>
      </w:r>
      <w:r>
        <w:rPr>
          <w:lang w:val="el" w:eastAsia="el"/>
        </w:rPr>
        <w:t>η φύση ή η κατάσταση της ομολόγου αρμόδιας αρχής που υποβάλλει το αίτημα είναι διαφορετική από εκείνη της αρμόδιας αρχής προς την οποία αυτό απευθύνεται.</w:t>
      </w:r>
      <w:r>
        <w:rPr>
          <w:rStyle w:val="Hyperlink"/>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 xml:space="preserve">Άρθρο 34B. </w:t>
      </w:r>
    </w:p>
    <w:p>
      <w:pPr>
        <w:pStyle w:val="Heading6"/>
        <w:spacing w:before="240" w:after="240"/>
        <w:rPr>
          <w:lang w:val="el" w:eastAsia="el"/>
        </w:rPr>
      </w:pPr>
      <w:r>
        <w:rPr>
          <w:b/>
          <w:bCs/>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w:t>
      </w:r>
      <w:r>
        <w:rPr>
          <w:lang w:val="el" w:eastAsia="el"/>
        </w:rPr>
        <w:t xml:space="preserve"> Τα πρόσωπα που εργάζονται ή έχουν εργαστεί στις αρμόδιες αρχές των περ. α΄ και β΄ της παρ. 1 του άρθρου 6, που εποπτεύουν πιστωτικά ιδρύματα και χρηματοπιστωτικούς οργανισμούς ως προς τη συμμόρφωση τους με τον παρόντα νόμο, και οι ελεγκτές ή οι εμπειρογνώμονες που ενεργούν για λογαριασμό αυτών των αρμόδιων αρχών, δεσμεύονται από την υποχρέωση τήρησης του επαγγελματικού απορρήτου. Με την επιφύλαξη των ποινικών ερευνών και διαδικασιών, οι εμπιστευτικές πληροφορίες που λαμβάνουν τα πρόσωπα του προηγούμενου εδαφίου, κατά την άσκηση των καθηκόντων τους, δυνάμει του παρόντος νόμου, μπορούν να γνωστοποιούνται μόνο σε συνοπτική ή συγκεντρωτική μορφή, κατά τρόπο ώστε να μην μπορεί να προσδιοριστεί η ταυτότητα μεμονωμένων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lang w:val="el" w:eastAsia="el"/>
        </w:rPr>
        <w:t xml:space="preserve"> Οι διατάξεις της παρ. 1 δεν εμποδίζουν την ανταλλαγή πληροφοριών μεταξύ:</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και άλλων εθνικών αρμόδιων αρχών που εποπτεύουν πιστωτικά ιδρύματα και χρηματοπιστωτικούς οργανισμούς, σύμφωνα με τον παρόντα νόμο ή άλλες νομοθετικές πράξεις που συνδέονται με την εποπτεία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των περ. α΄ και β΄ της παρ. 1 του άρθρου 6 και των αρμόδιων αρχών άλλων κρατών-μελών που εποπτεύουν πιστωτικά ιδρύματα και χρηματοπιστωτικούς οργανισμούς, σύμφωνα με την Οδηγία (ΕΕ) 2015/849 ή άλλες νομοθετικές πράξεις που συνδέονται με την εποπτεία των πιστωτικών ιδρυμάτων και των χρηματοπιστωτικών οργανισμών, συμπεριλαμβανομένης της Ευρωπαϊκής Κεντρικής Τράπεζας (ΕΚΤ) όταν ενεργεί σύμφωνα με τον Κανονισμό (ΕΕ) 1024/2013 του Συμβουλίου της 15ης Οκτωβρίου 2013 για την ανάθεση ειδικών καθηκόντων στην ΕΚΤ σχετικά με τις πολιτικές που αφορούν στην προληπτική εποπτεία των πιστωτικών ιδρυμάτων (L 287). Αυτή η ανταλλαγή πληροφοριών υπόκειται στους όρους του επαγγελματικού απόρρητου, όπως αναφέρεται στην παρ. 1.</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Μετά από την έναρξη ισχύος του παρόντος, οι αρμόδιες αρχές των περ α΄ και β΄ της παρ. 1 του άρθρου 6 που εποπτεύουν πιστωτικά ιδρύματα και χρηματοπιστωτικούς οργανισμούς σύμφωνα με τον παρόντα νόμο, καταλήγουν, με τη στήριξη των Ευρωπαϊκών Εποπτικών Αρχών, σε συμφωνία με την ΕΚΤ, η οποία ενεργεί σύμφωνα με την παρ. 2 του άρθρου 27 του Κανονισμού (ΕΕ) 1024/2013, σχετικά με την προληπτική εποπτεία των πιστωτικών ιδρυμάτων και το άρθρο 54 του ν. 4261/2014 (Α΄ 107), σχετικά με τους πρακτικούς όρους της ανταλλαγής πληροφοριών με την ΕΚΤ.</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3.</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που λαμβάνουν εμπιστευτικές πληροφορίες, όπως αναφέρεται στην παρ. 1, χρησιμοποιούν τις πληροφορίες αυτές μόνο στις ακόλουθες περιπτώσεις:</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w:t>
      </w:r>
      <w:r>
        <w:rPr>
          <w:lang w:val="en" w:eastAsia="en"/>
        </w:rPr>
        <w:tab/>
      </w:r>
      <w:r>
        <w:rPr>
          <w:lang w:val="el" w:eastAsia="el"/>
        </w:rPr>
        <w:t>κατά την άσκηση των καθηκόντων τους σύμφωνα με τον παρόντα νόμο ή σύμφωνα με άλλες νομοθετικές και κανονιστικές πράξεις στους τομείς της καταπολέμησης της νομιμοποίησης εσόδων από εγκληματικές δραστηριότητες ή της χρηματοδότησης της τρομοκρατίας, της προληπτικής ρύθμισης και εποπτείας πιστωτικών ιδρυμάτων και χρηματοπιστωτικών οργανισμών, συμπεριλαμβανομένης της επιβολής κυρώσεων,</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κατά την άσκηση προσφυγής κατά απόφασής τους, συμπεριλαμβανομένης δικαστικής διαδικασίας,</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γ)</w:t>
      </w:r>
      <w:r>
        <w:rPr>
          <w:lang w:val="en" w:eastAsia="en"/>
        </w:rPr>
        <w:tab/>
      </w:r>
      <w:r>
        <w:rPr>
          <w:lang w:val="el" w:eastAsia="el"/>
        </w:rPr>
        <w:t>στο πλαίσιο δικαστικών διαδικασιών που έχουν κινηθεί δυνάμει των διατάξεων που προβλέπονται από τον παρόντα νόμο ή τις ρυθμίσεις εποπτείας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συνεργάζονται μεταξύ τους και με τις αντίστοιχες αρμόδιες αρχές άλλων κρατών-μελών που εποπτεύουν πιστωτικά ιδρύματα και χρηματοπιστωτικούς οργανισμούς σύμφωνα με τις εκάστοτε εθνικές διατάξεις οι οποίες ενσωματώνουν την Οδηγία (ΕΕ) 2015/849 στον μεγαλύτερο δυνατό βαθμό, ανεξάρτητα από τη νομική τους φύση ή το αντίστοιχο καθεστώς τους. Αυτή η συνεργασία περιλαμβάνει επίσης τη δυνατότητα διενέργειας ερευνών, στο πλαίσιο των αρμοδιοτήτων της ερωτώμενης αρμόδιας αρχής, για λογαριασμό αιτούσας αρμόδιας αρχής, και την επακόλουθη ανταλλαγή των πληροφοριών που λαμβάνονται μέσω αυτών των ερευνών.</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5.</w:t>
      </w:r>
      <w:r>
        <w:rPr>
          <w:lang w:val="el" w:eastAsia="el"/>
        </w:rPr>
        <w:t xml:space="preserve"> Οι αρμόδιες αρχές των περ. α΄ και β΄ της παρ. 1 του άρθρου 6 μπορούν να συνάπτουν συμφωνίες συνεργασίας και ανταλλαγής πληροφοριών με τις αρμόδιες αρχές τρίτων χωρών που αποτελούν ομολόγους των εν λόγω εθνικών αρμόδιων αρχών,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στην παρ. 1. Οι εμπιστευτικές πληροφορίες που γίνονται αντικείμενο ανταλλαγής, όπως προβλέπουν αυτές οι συμφωνίες συνεργασίας, χρησιμοποιούνται για τον σκοπό της εκτέλεσης των εποπτικών καθηκόντων των εν λόγω αρχών.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Όταν η πληροφορία που γίνεται αντικείμενο ανταλλαγής προέρχεται από άλλο κράτος-μέλος, γνωστοποιείται μόνο κατόπιν ρητής συμφωνίας της αρμόδιας αρχής που τη γνωστοποίησε και, κατά περίπτωση, μόνο για τους σκοπούς για τους οποίους έδωσε τη συγκατάθεσή της η αρχή αυτή.</w:t>
      </w:r>
      <w:r>
        <w:rPr>
          <w:rStyle w:val="Hyperlink"/>
          <w:color w:val="000000"/>
          <w:sz w:val="20"/>
          <w:szCs w:val="20"/>
          <w:u w:val="none" w:color="0000EE"/>
          <w:vertAlign w:val="superscript"/>
          <w:lang w:val="el" w:eastAsia="el"/>
        </w:rPr>
        <w:footnoteReference w:id="308"/>
      </w:r>
    </w:p>
    <w:p>
      <w:pPr>
        <w:pStyle w:val="Heading6"/>
        <w:spacing w:before="240" w:after="240"/>
        <w:rPr>
          <w:lang w:val="el" w:eastAsia="el"/>
        </w:rPr>
      </w:pPr>
      <w:r>
        <w:rPr>
          <w:b/>
          <w:bCs/>
          <w:lang w:val="el" w:eastAsia="el"/>
        </w:rPr>
        <w:t xml:space="preserve">Άρθρο 34Γ. </w:t>
      </w:r>
    </w:p>
    <w:p>
      <w:pPr>
        <w:pStyle w:val="Heading6"/>
        <w:spacing w:before="240" w:after="240"/>
        <w:rPr>
          <w:lang w:val="el" w:eastAsia="el"/>
        </w:rPr>
      </w:pPr>
      <w:r>
        <w:rPr>
          <w:b/>
          <w:bCs/>
          <w:lang w:val="el" w:eastAsia="el"/>
        </w:rPr>
        <w:t>Ανταλλαγή πληροφοριών σε εξαιρετικές περιστάσεις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w:t>
      </w:r>
      <w:r>
        <w:rPr>
          <w:lang w:val="el" w:eastAsia="el"/>
        </w:rPr>
        <w:t xml:space="preserve"> Κατά παρέκκλιση από τις παρ. 1 και 3 του άρθρου 34Β και με την επιφύλαξη της παρ. 2 του άρθρου 22, επιτρέπεται η ανταλλαγή πληροφοριών μεταξύ:</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που εποπτεύουν πιστωτικά ιδρύματα και χρηματοπιστωτικούς οργανισμούς σύμφωνα με τον παρόντα νόμο,</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της περ. α΄ ανωτέρω, με αντίστοιχες αρμόδιες αρχές που εποπτεύουν πιστωτικά ιδρύματα και χρηματοπιστωτικούς οργανισμούς σύμφωνα με την Οδηγία (ΕΕ) 2015/849 σε διαφορετικά κράτη μέλη, και</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γ)</w:t>
      </w:r>
      <w:r>
        <w:rPr>
          <w:lang w:val="en" w:eastAsia="en"/>
        </w:rPr>
        <w:tab/>
      </w:r>
      <w:r>
        <w:rPr>
          <w:lang w:val="el" w:eastAsia="el"/>
        </w:rPr>
        <w:t>των αρμόδιων αρχών της περ. α΄ ανωτέρω και των αρχών στις οποίες έχει ανατεθεί η προληπτική ρύθμιση και εποπτεία των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Οι πληροφορίες που λαμβάνονται υπόκεινται σε απαιτήσεις επαγγελματικού απορρήτου αντίστοιχες με εκείνες της παρ. 1 του άρθρου 34Β.</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w:t>
      </w:r>
      <w:r>
        <w:rPr>
          <w:lang w:val="el" w:eastAsia="el"/>
        </w:rPr>
        <w:t xml:space="preserve"> Επιτρέπεται η γνωστοποίηση πληροφοριών σχετικά με την εποπτεία των πιστωτικών ιδρυμάτων και χρηματοπιστωτικών οργανισμών, όσον αφορά στη συμμόρφωση προς τον παρόντα νόμο, προς τις εξεταστικές επιτροπές κατά την άσκηση των καθηκόντων τους, σύμφωνα με τα άρθρα 145 έως 147 του Κανονισμού της Βουλής και τις δικαστικές και εισαγγελικές αρχές που αναλαμβάνουν τη διενέργεια ερευνών, υπό τις εξής προϋποθέσεις:</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α)</w:t>
      </w:r>
      <w:r>
        <w:rPr>
          <w:lang w:val="en" w:eastAsia="en"/>
        </w:rPr>
        <w:tab/>
      </w:r>
      <w:r>
        <w:rPr>
          <w:lang w:val="el" w:eastAsia="el"/>
        </w:rPr>
        <w:t>έχουν αρμοδιότητα να ερευνούν ή να ελέγχουν τις ενέργειες των αρχών που είναι επιφορτισμένες με την εποπτεία αυτών των πιστωτικών ιδρυμάτων ή με τη θέσπιση νόμων σχετικά με την εν λόγω εποπτεία ή</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β)</w:t>
      </w:r>
      <w:r>
        <w:rPr>
          <w:lang w:val="en" w:eastAsia="en"/>
        </w:rPr>
        <w:tab/>
      </w:r>
      <w:r>
        <w:rPr>
          <w:lang w:val="el" w:eastAsia="el"/>
        </w:rPr>
        <w:t>οι πληροφορίες είναι απολύτως αναγκαίες για την εκπλήρωση της εντολής που αναφέρεται στην περ. α) ή</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γ)</w:t>
      </w:r>
      <w:r>
        <w:rPr>
          <w:lang w:val="en" w:eastAsia="en"/>
        </w:rPr>
        <w:tab/>
      </w:r>
      <w:r>
        <w:rPr>
          <w:lang w:val="el" w:eastAsia="el"/>
        </w:rPr>
        <w:t>τα πρόσωπα που έχουν πρόσβαση στις πληροφορίες υπόκεινται σε απαιτήσεις επαγγελματικού απορρήτου τουλάχιστον ισοδύναμες με εκείνες της παρ. 1 του άρθρου 34Β ή</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δ)</w:t>
      </w:r>
      <w:r>
        <w:rPr>
          <w:lang w:val="en" w:eastAsia="en"/>
        </w:rPr>
        <w:tab/>
      </w:r>
      <w:r>
        <w:rPr>
          <w:lang w:val="el" w:eastAsia="el"/>
        </w:rPr>
        <w:t>όταν η πληροφορία προέρχεται από άλλο κράτος μέλος, γνωστοποιείται μόνο με τη ρητή συγκατάθεση των αρμόδιων αρχών που τη γνωστοποίησαν και μόνο για τους σκοπούς για τους οποίους αυτές έδωσαν τη συγκατάθεσή τους.</w:t>
      </w:r>
      <w:r>
        <w:rPr>
          <w:rStyle w:val="Hyperlink"/>
          <w:color w:val="000000"/>
          <w:sz w:val="20"/>
          <w:szCs w:val="20"/>
          <w:u w:val="none" w:color="0000EE"/>
          <w:vertAlign w:val="superscript"/>
          <w:lang w:val="el" w:eastAsia="el"/>
        </w:rPr>
        <w:footnoteReference w:id="319"/>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 1, σε υποκαταστήματα και θυγατρικές των υπόχρεων προσώπων στη χώρα αυτήν, τα υπόχρεα πρόσωπα ενημερώνουν την Αρχή, την κατά περίπτωση αρμόδια αρχή του άρθρου 6 και τον Κεντρικό Συντονιστικό Φορέα. Η Τράπεζα της Ελλάδος και η Επιτροπή Κεφαλαιαγοράς ενημερώνουν ακολούθως την Ευρωπαϊκή Αρχή Τραπεζών. Η Τράπεζα της Ελλάδος και η Επιτροπή Κεφαλαιαγοράς, σε συνεργασία με την Ευρωπαϊκή Αρχή Τραπεζών, όταν εκτιμούν ποιες τρίτες χώρες δεν επιτρέπουν την εφαρμογή των πολιτικών και διαδικασιών που απαιτούνται βάσει της παρ. 1, λαμβάνουν υπόψη νομικούς περιορισμούς που μπορεί να παρεμποδίζουν την ορθή εφαρμογή αυτών των πολιτικών και διαδικασιών, μεταξύ των οποίων το απόρρητο, η προστασία των δεδομένων και άλλοι περιορισμοί στην ανταλλαγή των πληροφοριών που μπορεί να είναι χρήσιμες γι’ αυτόν τον σκοπό.</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5.</w:t>
      </w:r>
      <w:r>
        <w:rPr>
          <w:lang w:val="el" w:eastAsia="el"/>
        </w:rPr>
        <w:t xml:space="preserve"> Πληροφορίες που περιλαμβάνονται σε αναφορές ασυνήθιστων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απαιτείται να ανταλλάσσονται εντός του ομίλου, εκτός αν η Αρχή δώσει διαφορετικές οδηγίες.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r>
        <w:rPr>
          <w:rStyle w:val="Hyperlink"/>
          <w:color w:val="000000"/>
          <w:sz w:val="20"/>
          <w:szCs w:val="20"/>
          <w:u w:val="none" w:color="0000EE"/>
          <w:vertAlign w:val="superscript"/>
          <w:lang w:val="el" w:eastAsia="el"/>
        </w:rPr>
        <w:footnoteReference w:id="323"/>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2Α.</w:t>
      </w:r>
      <w:r>
        <w:rPr>
          <w:lang w:val="el" w:eastAsia="el"/>
        </w:rPr>
        <w:t xml:space="preserve"> Τα υπόχρεα πρόσωπα ορίζουν το μέλος του διοικητικού συμβουλίου που είναι αρμόδιο για την εφαρμογή του παρόντος, του Κανονισμού (ΕΕ) 2015/847 του Ευρωπαϊκού Κοινοβουλίου και του Συμβουλίου, της 20ής Μαΐου 2015, περί στοιχείων που συνοδεύουν τις μεταφορές χρηματικών ποσών και περί κατάργησης του Κανονισμού (ΕΚ) 1781/2006 του Ευρωπαϊκού Κοινοβουλίου και του Συμβουλίου, της 15ης Νοεμβρίου 2006, περί των πληροφοριών για τον πληρωτή που συνοδεύει τις μεταφορές χρηματικών ποσών (L 345) και των κανονιστικών πράξεων που εκδίδονται κατ’ εξουσιοδότησή τους.</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Ποινικές κυρώσεις</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w:t>
      </w:r>
      <w:r>
        <w:rPr>
          <w:lang w:val="el" w:eastAsia="el"/>
        </w:rPr>
        <w:t xml:space="preserve"> α) Ο υπαίτιος πράξεων νομιμοποίησης εσόδων από εγκληματικές δραστηριότητες τιμωρείται με κάθειρξη έως οκτώ (8) έτη και με χρηματική ποινή από τριακόσιες (300) έως χίλιες (1.000) ημερήσιες μονάδες.</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 α’ τιμωρείται με κάθειρξη έως δέκα (10) έτη και με χρηματική ποινή από χίλιες (1.000) έως πέντε χιλιάδες (5.000) ημερήσιες μονάδες:</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αα)</w:t>
      </w:r>
      <w:r>
        <w:rPr>
          <w:lang w:val="en" w:eastAsia="en"/>
        </w:rPr>
        <w:tab/>
      </w:r>
      <w:r>
        <w:rPr>
          <w:lang w:val="el" w:eastAsia="el"/>
        </w:rPr>
        <w:t>αν το αντικείμενο της νομιμοποίησης υπερβαίνει συνολικά σε αξία το ποσό των εκατό είκοσι χιλιάδων (120.000) ευρώ, ή</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ββ)</w:t>
      </w:r>
      <w:r>
        <w:rPr>
          <w:lang w:val="en" w:eastAsia="en"/>
        </w:rPr>
        <w:tab/>
      </w:r>
      <w:r>
        <w:rPr>
          <w:lang w:val="el" w:eastAsia="el"/>
        </w:rPr>
        <w:t>αν η πράξη τελείται από υπόχρεο φυσικό πρόσωπο κατά την άσκηση της επαγγελματικής του δραστηριότητας ή από πρόσωπο του πρώτου εδαφίου της παρ. 2 του άρθρου 46, ή</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γγ)</w:t>
      </w:r>
      <w:r>
        <w:rPr>
          <w:lang w:val="en" w:eastAsia="en"/>
        </w:rPr>
        <w:tab/>
      </w:r>
      <w:r>
        <w:rPr>
          <w:lang w:val="el" w:eastAsia="el"/>
        </w:rPr>
        <w:t>αν η περιουσία που είναι αντικείμενο νομιμοποίησης προέρχεται από τα κακουργήματα των περ. α’, β’, γ’, η’ και θ’ του άρθρου 4, καθώς και των άρθρων 323Α, 374, 380, της παρ. 2 και του δεύτερου εδαφίου της παρ. 3 του άρθρου 385 του Ποινικού Κώδικα (ΠΚ, 4619/2019, Α’ 95), της παρ. 5 του άρθρου 29 και του άρθρου 30 του ν. 4251/2014 (Α’ 80).</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 α’ τιμωρείται με κάθειρξη και με χρηματική ποινή από δύο χιλιάδες (2.000) έως δέκα χιλιάδες (10.000) ημερήσιες μονάδες, αν ασκεί τέτοιου είδους δραστηριότητες κατ’ επάγγελμα ή ως μέλος εγκληματικής οργάνωσης, η οποία επιδιώκει την τέλεση πράξεων νομιμοποίησης.</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δ)</w:t>
      </w:r>
      <w:r>
        <w:rPr>
          <w:lang w:val="en" w:eastAsia="en"/>
        </w:rPr>
        <w:tab/>
      </w:r>
      <w:r>
        <w:rPr>
          <w:lang w:val="el" w:eastAsia="el"/>
        </w:rPr>
        <w:t>Αν το βασικό αδίκημα τιμωρείται σε βαθμό πλημμελήματος, η ποινή για το αδίκημα της νομιμοποίησης εσόδων από εγκληματικές δραστηριότητες είναι φυλάκιση έως τρία (3) έτη και χρηματική ποινή έως τριακόσιες (300) ημερήσιες μονάδες. Αν η πράξη τελέστηκε κατ’ επάγγελμα επιβάλλονται οι κυρώσεις της περ. γ’.</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συμμετόχων για τις πράξεις των περ. α’, β’, γ’ και δ’,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 Σε κάθε περίπτωση, ο αυτουργός ή ο συμμέτοχος της πράξης της περ. γ’ της παρ. 1 του άρθρου 2 μένει ατιμώρητος εάν κριθεί ένοχος, με την ίδια ή με προγενέστερη απόφαση, για την τέλεση του βασικού αδικήματος, εκτός εάν για την πράξη της νομιμοποίησης απειλείται στερητική της ελευθερίας ποινή με υψηλότερο ανώτατο όριο. Η απαλλαγή κατά το προηγούμενο εδάφιο δεν αποκλείει την επιβολή ποινής στους λοιπούς αυτουργούς ή συμμετόχους της πράξης της νομιμοποίησης. Αν εχώρησε καταδίκη του υπαιτίου για βασικό αδίκημα, η ποινή κατ’ αυτού ή των οικείων του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στ)</w:t>
      </w:r>
      <w:r>
        <w:rPr>
          <w:lang w:val="en" w:eastAsia="en"/>
        </w:rPr>
        <w:tab/>
      </w:r>
      <w:r>
        <w:rPr>
          <w:lang w:val="el" w:eastAsia="el"/>
        </w:rPr>
        <w:t>Με φυλάκιση και χρηματική ποινή έως πεντακόσιες (500) ημερήσιες μονάδες τιμωρείται ο υπαίτιος του εγκλήματος της νομιμοποίησης εσόδων της περ. γ’ της παρ. 1 του άρθρου 2 που δεν είναι συμμέτοχος στη διάπραξη του βασικού αδικήματος, εφόσον είναι οικείος του υπαιτίου του βασικού αδικήματος.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ζ)</w:t>
      </w:r>
      <w:r>
        <w:rPr>
          <w:lang w:val="en" w:eastAsia="en"/>
        </w:rPr>
        <w:tab/>
      </w:r>
      <w:r>
        <w:rPr>
          <w:lang w:val="el" w:eastAsia="el"/>
        </w:rPr>
        <w:t>Το τελευταίο εδάφιο της περ. ε’ και η περ. στ’ δεν εφαρμόζονται αν συντρέχουν περιστάσεις κατ’ επάγγελμα τέλεσης της νομιμοποίησης.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η)</w:t>
      </w:r>
      <w:r>
        <w:rPr>
          <w:lang w:val="en" w:eastAsia="en"/>
        </w:rPr>
        <w:tab/>
      </w:r>
      <w:r>
        <w:rPr>
          <w:lang w:val="el" w:eastAsia="el"/>
        </w:rPr>
        <w:t>Κατά την επιμέτρηση της ποινής για πράξεις νομιμοποίησης εσόδων από εγκληματικές δραστηριότητες λαμβάνονται υπόψη ως επιβαρυντικές περιστάσεις οι αμετάκλητες καταδικαστικές αποφάσεις για το αδίκημα αυτό που εκδίδουν δικαστήρια άλλων κρατών μερών της Σύμβασης του Συμβουλίου της Ευρώπης της 16ης Μαΐου 2005 για τη νομιμοποίηση, την ανίχνευση, την κατάσχεση και τη δήμευση εσόδων από εγκληματικές δραστηριότητες και τη χρηματοδότηση της τρομοκρατίας, η οποία κυρώθηκε με τον ν. 4478/2017 (Α’ 91).</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lang w:val="el" w:eastAsia="el"/>
        </w:rPr>
        <w:t xml:space="preserve"> Η παρ. 1 εφαρμόζεται και όταν οι πράξεις νομιμοποίησης εσόδων από εγκληματικές δραστηριότητες τελέστηκαν στην αλλοδαπή από ημεδαπό, ακόμη και αν δεν συντρέχουν οι προϋποθέσεις των παρ. 1 και 3 του άρθρου 6 ΠΚ. Εφαρμόζεται επίσης και όταν οι πράξεις αυτές τελέστηκαν στην αλλοδαπή προς όφελος νομικού προσώπου ή οντότητας που έχει έδρα ή εγκατάσταση στην Ελλάδα.</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lang w:val="el" w:eastAsia="el"/>
        </w:rPr>
        <w:t xml:space="preserve"> Η άσκηση ποινικής δίωξης και η καταδίκη για νομιμοποίηση εσόδων από εγκληματικές δραστηριότητες δεν προϋποθέτουν ποινική δίωξη ή καταδίκη του υπαιτίου για το βασικό αδίκημα.</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4.</w:t>
      </w:r>
      <w:r>
        <w:rPr>
          <w:lang w:val="el" w:eastAsia="el"/>
        </w:rPr>
        <w:t xml:space="preserve"> Στις περιπτώσεις εξάλειψης του αξιόποινου, δικαστικής άφεσης της ποινής,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εξαλείφεται το αξιόποινο, δεν επιβάλλεται ποινή, κηρύσσεται αθώος ή απαλλάσσεται αντίστοιχα ο υπαίτιος από την ποινή και για τις συναφείς πράξεις νομιμοποίησης εσόδων. Η παρούσα δεν εφαρμόζεται όταν το αξιόποινο του βασικού αδικήματος εξαλείφθηκε λόγω παραγραφής.</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5.</w:t>
      </w:r>
      <w:r>
        <w:rPr>
          <w:lang w:val="el" w:eastAsia="el"/>
        </w:rPr>
        <w:t xml:space="preserve"> Με φυλάκιση μέχρι δύο (2) έτη και χρηματική ποινή έως διακόσιες (200) ημερήσιες μονάδες τιμωρείται ο υπάλληλος του υπόχρεου νομικού προσώπου ή όποιο άλλο υπόχρεο προς αναφορά ύποπτων συναλλαγών πρόσωπο παραλείπει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6.</w:t>
      </w:r>
      <w:r>
        <w:rPr>
          <w:lang w:val="el" w:eastAsia="el"/>
        </w:rPr>
        <w:t xml:space="preserve"> Τα κακουργήματα που προβλέπονται στον παρόντα νόμο δικάζονται από το Τριμελές Εφετείο Κακουργημάτων και τα πλημμελήματα από το Τριμελές Πλημμελειοδικείο. </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7.</w:t>
      </w:r>
      <w:r>
        <w:rPr>
          <w:lang w:val="el" w:eastAsia="el"/>
        </w:rPr>
        <w:t xml:space="preserve"> Επί των εγκλημάτων της παρ. 1 δύνανται να διενεργηθούν οι ειδικές ανακριτικές πράξεις του άρθρου 254 του Κώδικα Ποινικής Δικονομίας (ΚΠΔ, ν. 4620/2019, Α’ 96).</w:t>
      </w:r>
      <w:r>
        <w:rPr>
          <w:rStyle w:val="Hyperlink"/>
          <w:color w:val="000000"/>
          <w:sz w:val="20"/>
          <w:szCs w:val="20"/>
          <w:u w:val="none" w:color="0000EE"/>
          <w:vertAlign w:val="superscript"/>
          <w:lang w:val="el" w:eastAsia="el"/>
        </w:rPr>
        <w:footnoteReference w:id="342"/>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Δήμευση περιουσιακών στοιχείων</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ως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 2 του άρθρου 311 και το δεύτερο εδάφιο του άρθρου 372 του Κώδικα Ποινικής Δικονομίας (ΚΠΔ, ν. 4620/2019, Α’ 96),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τον χρόνο κτήσης τους. Η γνώση του τρίτου πρέπει να αιτιολογείται ειδικά στη δικαστική απόφαση. Όταν ο τρίτος είναι νομικό πρόσωπο, εξετάζεται αν υπήρχε η προβλεπόμενη γνώση σχετικά με την προέλευση των περιουσιακών στοιχείων σε όποιον έχει εξουσία εκπροσώπησής του ή είναι εξουσιοδοτημένος για τη λήψη αποφάσεων ή για την άσκηση ελέγχου, στο πλαίσιο του νομικού προσώπου ή της επιχείρησης ή σε όποιον ασκεί εν τοις πράγμασι τα καθήκοντα αυτά. Η παρούσα ισχύει και σε περίπτωση απόπειρας των ανωτέρω αδικημάτων. Δήμευση δεν επιβάλλεται όταν το δικαστήριο, αυτεπαγγέλτως ή μετά από αίτημα διαδίκου ή τρίτου, κρίνει ότι αυτή είναι στη συγκεκριμένη περίπτωση δυσανάλογη, όπως όταν υπάρχει κίνδυνος να αποστερήσει τον καταδικασθέντα ή τρίτο, ιδίως την οικογένειά τους, από πράγμα που εξυπηρετεί τον αναγκαίο βιοπορισμό τους ή να προκαλέσει σε αυτούς υπέρμετρη και ανεπανόρθωτη βλάβη. Στις περιπτώσεις του προηγούμενου εδαφίου, το δικαστήριο μπορεί να επιβάλει αναλόγως περιορισμένη δήμευση ή χρηματική ποινή, σύμφωνα με την παρ. 2.</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 1, δεν υπάρχει πλέον, δεν έχει βρεθεί ή δεν είναι δυνατόν να κατασχεθεί, κατάσχονται και δημεύονται με τους όρους της παρ. 1 περιουσιακά στοιχεία ίσης αξίας προς εκείνη της προαναφερθείσας περιουσίας ή του προϊόντος κατά τον χρόνο της καταδικαστικής απόφασης, όπως την προσδιορίζει το δικαστήριο (αναπληρωματική δήμευση).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 ή ανήκουν σε τρίτο στον οποίο δεν μπορεί να επιβληθεί δήμευση. Το πρώτο και δεύτερο εδάφιο δεν εφαρμόζονται όταν η περιουσία ή το προϊόν της παρ. 1 έχει ήδη αποτελέσει αντικείμενο δήμευσης, με βάση αμετάκλητη απόφαση η οποία εκδόθηκε σε άλλη δίκη. Τα εδάφια αυτά εφαρμόζονται όμως, αν η προηγηθείσα δήμευση ήταν αναπληρωματική δήμευση και τα δημευθέντα περιουσιακά στοιχεία δεν είχαν προέλθει από την αξιόποινη συμπεριφορά για την οποία είχε επιβληθεί η δήμευσή τους. Η δήμευση που επιβάλλεται με τους όρους της παρ. 1 και της παρούσας δεν θίγει προγενέστερα δικαιώματα που έχουν αποκτήσει καλόπιστοι τρίτοι ή ο ζημιωθείς από το βασικό αδίκημα ή από το αδίκημα νομιμοποίησης επί των δημευθέντων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οριστικά,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495 και η παρ. 3 του άρθρου 504 ΚΠΔ εφαρμόζονται αναλόγως και στην προκειμένη περίπτωση.</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4.</w:t>
      </w:r>
      <w:r>
        <w:rPr>
          <w:lang w:val="el" w:eastAsia="el"/>
        </w:rPr>
        <w:t xml:space="preserve"> Η παρ. 2 του άρθρου 311 και το δεύτερο εδάφιο του άρθρου 372 ΚΠΔ, εφαρμόζονται αναλόγως και αν έχει διαταχθεί δήμευση κατά της περιουσίας τρίτου, ο οποίος δεν συμμετείχε στη δίκη ούτε κλητεύθηκε σε αυτήν.</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5.</w:t>
      </w:r>
      <w:r>
        <w:rPr>
          <w:lang w:val="el" w:eastAsia="el"/>
        </w:rPr>
        <w:t xml:space="preserve"> Σε κάθε περίπτωση δήμευσης, το δικαστήριο αποφασίζει αν αυτά που δημεύθηκαν επιβάλλεται να καταστραφούν, ή αν μπορούν να χρησιμοποιηθούν για το δημόσιο συμφέρον, για κοινωνικούς σκοπούς, ή για την ικανοποίηση του ζημιωθέντος από το βασικό αδίκημα ή το αδίκημα νομιμοποίησης. Στην τελευταία περίπτωση ο ζημιωθείς μπορεί να ασκήσει τα δικαιώματά του επί του δημευθέντος αντικειμένου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48"/>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 1 εφαρμόζεται στα παρακάτω ποινικά αδικήματα, εφόσον αυτά αμέσως ή εμμέσως μπορούν να οδηγήσουν σε οικονομικό όφελος:</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α)</w:t>
      </w:r>
      <w:r>
        <w:rPr>
          <w:lang w:val="en" w:eastAsia="en"/>
        </w:rPr>
        <w:tab/>
      </w:r>
      <w:r>
        <w:rPr>
          <w:lang w:val="el" w:eastAsia="el"/>
        </w:rPr>
        <w:t>των περ. α’, β’, γ’ και θ’ του άρθρου 4 του παρόντος, και των άρθρων 237Α, 323Α και 396 του Ποινικού Κώδικα (ΠΚ, 4619/2019, Α’ 95),</w:t>
      </w:r>
      <w:r>
        <w:rPr>
          <w:rStyle w:val="Hyperlink"/>
          <w:color w:val="000000"/>
          <w:sz w:val="20"/>
          <w:szCs w:val="20"/>
          <w:u w:val="none" w:color="0000EE"/>
          <w:vertAlign w:val="superscript"/>
          <w:lang w:val="el" w:eastAsia="el"/>
        </w:rPr>
        <w:footnoteReference w:id="350"/>
      </w:r>
    </w:p>
    <w:p>
      <w:pPr>
        <w:pStyle w:val="StructureList1"/>
        <w:spacing w:before="120" w:after="0"/>
        <w:rPr>
          <w:lang w:val="el" w:eastAsia="el"/>
        </w:rPr>
      </w:pPr>
      <w:r>
        <w:rPr>
          <w:lang w:val="el" w:eastAsia="el"/>
        </w:rPr>
        <w:t>β)</w:t>
      </w:r>
      <w:r>
        <w:rPr>
          <w:lang w:val="en" w:eastAsia="en"/>
        </w:rPr>
        <w:tab/>
      </w:r>
      <w:r>
        <w:rPr>
          <w:lang w:val="el" w:eastAsia="el"/>
        </w:rPr>
        <w:t>των άρθρων 207, 208, 208Α ΠΚ,</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γ)</w:t>
      </w:r>
      <w:r>
        <w:rPr>
          <w:lang w:val="en" w:eastAsia="en"/>
        </w:rPr>
        <w:tab/>
      </w:r>
      <w:r>
        <w:rPr>
          <w:lang w:val="el" w:eastAsia="el"/>
        </w:rPr>
        <w:t>των άρθρων 216, 372, 374, 375 και της παρ. 1 του άρθρου 394 ΠΚ, εφόσον αφορούν μέσα πληρωμής πλην των μετρητών,</w:t>
      </w:r>
      <w:r>
        <w:rPr>
          <w:rStyle w:val="Hyperlink"/>
          <w:color w:val="000000"/>
          <w:sz w:val="20"/>
          <w:szCs w:val="20"/>
          <w:u w:val="none" w:color="0000EE"/>
          <w:vertAlign w:val="superscript"/>
          <w:lang w:val="el" w:eastAsia="el"/>
        </w:rPr>
        <w:footnoteReference w:id="352"/>
      </w:r>
    </w:p>
    <w:p>
      <w:pPr>
        <w:pStyle w:val="StructureList1"/>
        <w:spacing w:before="120" w:after="0"/>
        <w:rPr>
          <w:lang w:val="el" w:eastAsia="el"/>
        </w:rPr>
      </w:pPr>
      <w:r>
        <w:rPr>
          <w:lang w:val="el" w:eastAsia="el"/>
        </w:rPr>
        <w:t>δ)</w:t>
      </w:r>
      <w:r>
        <w:rPr>
          <w:lang w:val="en" w:eastAsia="en"/>
        </w:rPr>
        <w:tab/>
      </w:r>
      <w:r>
        <w:rPr>
          <w:lang w:val="el" w:eastAsia="el"/>
        </w:rPr>
        <w:t>των άρθρων 348Α, 348Β, 348Γ, 349 ΠΚ,</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ε)</w:t>
      </w:r>
      <w:r>
        <w:rPr>
          <w:lang w:val="en" w:eastAsia="en"/>
        </w:rPr>
        <w:tab/>
      </w:r>
      <w:r>
        <w:rPr>
          <w:lang w:val="el" w:eastAsia="el"/>
        </w:rPr>
        <w:t>του άρθρου 292Β ΠΚ.</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Δέσμευση και απαγόρευση εκποίησης περιουσιακών στοιχείων - Εξουσιοδοτική διάταξη</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ο ανακριτής μπορεί, με σύμφωνη γνώμη του εισαγγελέα, να διατάξει τη δέσμευση κάθε είδους λογαριασμών, τίτλων ή χρηματοπιστωτικών προϊόντων που τηρούνται σε πιστωτικό ίδρυμα ή χρηματοπιστωτικό οργανισμό, καθώς και του περιεχομένου των θυρίδων θησαυροφυλακίου του κατηγορουμένου, έστω και κοινών οποιουδήποτε είδους με άλλο πρόσωπο, εφόσον υπάρχουν σοβαρές ενδείξεις ότι τα περιουσιακά αυτά στοιχεία προέρχονται άμεσα ή έμμεσα από την τέλεση των αδικημάτων του άρθρου 2. Το ίδιο ισχύει και όταν διεξάγεται ανάκριση για βασικό αδίκημα και υπάρχουν σοβαρές ενδείξεις ότι τα περιουσιακά αυτά στοιχεία προέρχονται άμεσα ή έμμεσα από την τέλεση του ανωτέρω αδικήματος ή υπόκεινται σε δήμευση, σύμφωνα με το άρθρο 40. Η δέσμευση μπορεί να αφορά και σε περιουσιακά στοιχεία τρίτου φυσικού ή νομικού προσώπου όταν υπάρχουν σοβαρές ενδείξεις ότι συντρέχουν οι προϋποθέσεις της δήμευσης αυτών κατά την παρ. 1 του άρθρου 40. Σε περίπτωση διεξαγωγής προκαταρκτικής εξέτασης ή προανάκρισης, με την επιφύλαξη της παρ. 2 του άρθρου 36 του Κώδικα Ποινικής Δικονομίας (ΚΠΔ, ν. 4620/2019, Α’ 96) για την επιβολή του μέτρου αυτού από τους εισαγγελείς οικονομικού εγκλήματος, η δέσμευση των παραπάνω περιουσιακών στοιχείων μπορεί να διαταχθεί από το δικαστικό συμβούλιο, εφόσον συντρέχουν βάσιμες υπόνοιες ότι αυτά προέρχονται άμεσα ή έμμεσα από την τέλεση βασικού αδικήματος ή αδικήματος νομιμοποίησης ή υπόκεινται σε δήμευση, σύμφωνα με το άρθρο 40.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τον χρηματοπιστωτικό οργανισμό και επιδίδεται σε εκείνον κατά του οποίου στρέφεται η δέσμευση εντός είκοσι (20) ημερών από την έκδοσή του. Σε περίπτωση κοινών λογαριασμών, τίτλων ή χρηματοπιστωτικών προϊόντων επιδίδεται και στον τρίτο συνδικαιούχο, σε περίπτωση δε θυρίδων και στον πληρεξούσιο του μισθωτή. Η επιβολή της δέσμευσης δεν κωλύει το άνοιγμα νέων τραπεζικών λογαριασμών για την εξυπηρέτηση αποκλειστικά βιοτικών και επαγγελματικών αναγκών εκείνου κατά του οποίου στρέφεται η δέσμευση. Στην περίπτωση του προηγούμενου εδαφίου λαμβάνονται υποχρεωτικά μέτρα αυξημένης δέουσας επιμέλειας και ενημερώνεται ο αρμόδιος εισαγγελέας ή ο ανακριτής για τις διενεργούμενες συναλλαγές. Στην περίπτωση αυτή δεν ισχύει το τραπεζικό απόρρητο.</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2.</w:t>
      </w:r>
      <w:r>
        <w:rPr>
          <w:lang w:val="el" w:eastAsia="el"/>
        </w:rPr>
        <w:t xml:space="preserve"> Η δέσμευση που προβλέπεται στην παρ. 1 ισχύει από τη χρονική στιγμή της αποδεδειγμένης γνωστοποίησης της διάταξης του ανακριτή ή του βουλεύματος στο πιστωτικό ίδρυμα ή στον χρηματοπιστωτικό οργανισμό. Από τότε απαγορεύεται το άνοιγμα της θυρίδας και είναι άκυρη έναντι του Δημοσίου εκταμίευση χρημάτων από τον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δέσμευση δεν θίγει προγενέστερα δικαιώματα που έχουν αποκτήσει καλόπιστοι τρίτοι επί του λογαριασμού, των τίτλων ή των χρηματοπιστωτικών προϊόντων ή του περιεχομένου της θυρίδας. Δεν εμποδίζεται επίσης ο ζημιωθείς από το βασικό αδίκημα ή το αδίκημα νομιμοποίησης, ακόμη και μετά από την επιβολή της δέσμευσης, να αποκτήσει δικαιώματα επί των περιουσιακών στοιχείων της παρ. 1. Τα δικαιώματα των προηγούμενων δύο εδαφίων μπορούν να ασκηθούν σύμφωνα με τις διατάξεις του ιδιωτικού δικαίου και του Κώδικα Πολιτικής Δικονομίας.</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 1, ο ανακριτής ή το δικαστικό συμβούλιο μπορεί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καταχώριση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εντός είκοσι (20) ημερών από την έκδοσή του, καθώς και στον τρίτο συγκύριο του περιουσιακού στοιχείου ή στον δικαιούχο άλλου δικαιώματος εγγεγραμμένου στα βιβλία των ανωτέρω υπηρεσιών. Κάθε δικαιοπραξία, υποθήκη, κατάσχεση ή άλλη πράξη που εγγράφεται στα βιβλία των ανωτέρω αρμόδιων υπηρεσιών μετά από την εγγραφή της ανωτέρω σημείωσης είναι άκυρη έναντι του Δημοσίου. Το τέταρτο, πέμπτο και έκτο εδάφιο της παρ. 2 εφαρμόζονται αναλόγως και στην παρούσα περίπτωση.</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4.</w:t>
      </w:r>
      <w:r>
        <w:rPr>
          <w:lang w:val="el" w:eastAsia="el"/>
        </w:rPr>
        <w:t xml:space="preserve"> Εκείνος κατά του οποίου στρέφεται το μέτρο της δέσμευσης και ο τρίτος συγκύριος ή δικαιούχος επί του δεσμευμένου περιουσιακού στοιχείου δικαιούνται να ζητήσουν την άρση της διάταξης του ανακριτή, ή την ανάκληση του βουλεύματος, ή τον περιορισμό αυτών σε περιουσιακά στοιχεία μικρότερης αξίας από τα δεσμευθέντα, με προσφυγή που απευθύνεται προς το αρμόδιο δικαστικό συμβούλιο και κατατίθεται στον ανακριτή ή τον εισαγγελέα, μέσα σε είκοσι (20) ημέρες από την επίδοση σε αυτόν της διάταξης ή του βουλεύματος. Στη σύνθεση του συμβουλίου δεν μετέχει ο ανακριτής. Η υποβολή της προσφυγής και η προθεσμία προς τούτο δεν αναστέλλουν την εκτέλεση της διάταξης ή του βουλεύματος. Το συμβούλιο, κατά την κρίση του για τον περιορισμό των δεσμευμένων περιουσιακών στοιχείων, λαμβάνει ιδιαίτερα υπόψη την ύπαρξη και άλλων συγκυρίων ή δικαιούχων επί των στοιχείων αυτών.</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5.</w:t>
      </w:r>
      <w:r>
        <w:rPr>
          <w:lang w:val="el" w:eastAsia="el"/>
        </w:rPr>
        <w:t xml:space="preserve"> Ανεξάρτητα από την υποβολή της προσφυγής κατά την παρ. 4 ή από την κρίση επ’ αυτής, η διάταξη ή το βούλευμα μπορούν να ανακληθούν, ή να μεταρρυθμισθούν και η δέσμευση να αρθεί ή να περιορισθεί αυτεπάγγελτα από τον ανακριτή ή το δικαστικό συμβούλιο ή με αίτηση εκείνου κατά του οποίου στρέφεται ή του τρίτου συγκυρίου ή δικαιούχου επί του δεσμευμένου περιουσιακού στοιχείου, αν προκύψουν νέα στοιχεία, ή συντρέξουν ιδιαίτερες περιστάσεις στο πρόσωπο αυτών ή των μελών των οικογενειών τους. Επιτρέπεται, επίσης, η άρση ή ο περιορισμός της δέσμευσης, προκειμένου να ικανοποιηθεί ο ζημιωθείς από το βασικό αδίκημα, ή από το αδίκημα νομιμοποίησης και όταν ακόμη δεν συντρέχει περίπτωση από τις προβλεπόμενες στο άρθρο 304 ΚΠΔ. Μετά από την παραπομπή του κατηγορουμένου στο ακροατήριο είναι δυνατή η ανάκληση ή μεταρρύθμιση της διάταξης ή του βουλεύματος από το δικαστικό συμβούλιο ή το δικαστήριο, κατά το πρώτο εδάφιο της παρ. 1 και την παρ. 2 του άρθρου 294 ΚΠΔ, οι οποίες εφαρμόζονται αναλόγως.</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6.</w:t>
      </w:r>
      <w:r>
        <w:rPr>
          <w:lang w:val="el" w:eastAsia="el"/>
        </w:rPr>
        <w:t xml:space="preserve"> Δικαίωμα υποβολής προσφυγής ή αίτησης στο δικαστικό συμβούλιο, κατά τις παρ. 4 και 5, έχουν και οι τρίτοι οι οποίοι διεκδικούν για λογαριασμό τους την κυριότητα ή άλλο δικαίωμα επί του δεσμευμένου περιουσιακού στοιχείου.</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7.</w:t>
      </w:r>
      <w:r>
        <w:rPr>
          <w:lang w:val="el" w:eastAsia="el"/>
        </w:rPr>
        <w:t xml:space="preserve"> Όταν διεξάγεται έρευνα από την Αρχή, η δέσμευση των λογαριασμών, τίτλων και χρηματοπιστωτικών προϊόντων και του περιεχομένου των θυρίδων, καθώς και η απαγόρευση της μεταβίβασης ή εκποίησης οποιουδήποτε περιουσιακού στοιχείου μπορεί να διαταχθούν σε επείγουσες περιπτώσεις από τον Πρόεδρο της Αρχής, με τους όρους και τις προϋποθέσεις που προβλέπονται στις παρ. 1 έως 3, εφόσον συντρέχουν βάσιμες υπόνοιες κατά την περ. δ΄ της παρ. 2 του άρθρου 48. To αντίγραφο της διάταξης του Προέδρου της Αρχής διαβιβάζεται αμελλητί στον αρμόδιο εισαγγελέα, χωρίς αυτό να παρακωλύει την συνέχιση της έρευνας από την Αρχή. Τα πρόσωπα που βλάπτονται από την παραπάνω δέσμευση έχουν τα δικαιώματα που προβλέπονται στις παρ. 4, 5 και 6. Τα χρονικά όρια διάρκειας των μέτρων δέσμευσης που περιγράφονται στο πρώτο εδάφιο της παρ. 2 του άρθρου 36 ΚΠΔ ισχύουν και για τη δέσμευση ή απαγόρευση μεταβίβασης ή εκποίησης, η οποία διατάσσεται από τον Πρόεδρο της Αρχής, σύμφωνα με τις διατάξεις της παρούσας. Για την εξακολούθηση της ισχύος της διάταξης του Προέδρου της Αρχής πέραν των χρονικών ορίων του προηγούμενου εδαφίου αποφαίνεται, πριν από την παρέλευση αυτών, ο ανακριτής με διάταξή του, αν η υπόθεση εκκρεμεί στο στάδιο της ανάκρισης, ή το δικαστικό συμβούλιο σε κάθε άλλη περίπτωση, σύμφωνα με τους όρους και τις προϋποθέσεις των παρ. 1 έως 3.</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8.</w:t>
      </w:r>
      <w:r>
        <w:rPr>
          <w:lang w:val="el" w:eastAsia="el"/>
        </w:rPr>
        <w:t xml:space="preserve"> Κατά την έκδοση της διάταξης ή του βουλεύματος των παρ. 1, 3 και 7 εξαιρούνται τα ποσά που είναι αναγκαία για την κάλυψη των αναγκών διαβίωσης, συντήρησης ή λειτουργίας των ενδιαφερόμενων προσώπων ή των οικογενειών τους, των εξόδων για τη νομική τους υποστήριξη και των βασικών εξόδων για τη διατήρηση των δεσμευμένων περιουσιακών στοιχείων. Τα ενδιαφερόμενα πρόσωπα, με αίτησή τους που απευθύνεται στην αρμόδια δικαστική αρχή ενώπιον της οποία εκκρεμεί η υπόθεση ή με την προσφυγή ή την αίτηση που προβλέπεται στις παρ. 4, 5 και 6, μπορούν να ζητούν την αποδέσμευση συγκεκριμένων ποσών για τους παραπάνω λόγους. Είναι δυνατόν, επίσης, να εξαιρεθούν από τη δέσμευση, ολικά ή μερικά, τραπεζικοί λογαριασμοί στους οποίους κατατίθενται μισθοί, συντάξεις ή ανάλογες πρόσοδοι εκείνου κατά του οποίου στρέφεται η δέσμευση.</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9.</w:t>
      </w:r>
      <w:r>
        <w:rPr>
          <w:lang w:val="el" w:eastAsia="el"/>
        </w:rPr>
        <w:t xml:space="preserve"> Η δέσμευση του παρόντος αίρεται αυτοδικαίως όταν παρέλθουν τα χρονικά όρια που ορίζονται στην παρ. 4 του άρθρου 262 ΚΠΔ. Σε κάθε περίπτωση, το δικαστικό συμβούλιο, όταν παραπέμπει τον κατηγορούμενο στο ακροατήριο, αποφασίζει για τη διατήρηση της δέσμευσης, εφόσον συντρέχουν οι σοβαρές ενδείξεις της παρ. 1, ή για τον περιορισμό ή την άρση αυτής. Όταν το συμβούλιο αποφαίνεται ότι δεν πρέπει να γίνει κατηγορία κατά του κατηγορουμένου, αίρει τη δέσμευση και διατάσσει την απόδοση των περιουσιακών στοιχείων στον δικαιούχο τους. Εφαρμόζεται, επίσης, η παρ. 3 του άρθρου 311 ΚΠΔ. Κατά τη διαδικασία στο ακροατήριο εφαρμόζεται το άρθρο 373 ΚΠΔ. Στις περιπτώσεις των παρ. 3 και 4 του άρθρου 43 ΚΠΔ και των παρ. 2 και 3 του άρθρου 51 ΚΠΔ την άρση της δέσμευσης διατάσσει ο εισαγγελέας κατά ανάλογη εφαρμογή της παρ. 3 του άρθρου 269 ΚΠΔ. Εφαρμόζεται, επίσης, το άρθρο 544 ΚΠΔ για την αποζημίωση σε περίπτωση που η δέσμευση δεν ήταν δικαιολογημένη.</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10.</w:t>
      </w:r>
      <w:r>
        <w:rPr>
          <w:lang w:val="el" w:eastAsia="el"/>
        </w:rPr>
        <w:t xml:space="preserve"> Κάθε διάταξη, βούλευμα ή δικαστική απόφαση με τα οποία τροποποιείται ή αίρεται επιβληθείσα δέσμευση ή εξακολουθεί η ισχύς της κατά την παρ. 7, καθώς και κάθε παραπεμπτικό βούλευμα με το οποίο διατηρείται η δέσμευση, επιδίδεται εντός είκοσι (20) ημερών από την έκδοσή του, με μέριμνα των κατά περίπτωση αρμοδίων εισαγγελικών αρχών, στους αποδέκτες στους οποίους γνωστοποιείται ή επιδίδεται και η αντίστοιχη διάταξη ή το βούλευμα με τα οποία επιβάλλεται το μέτρο αυτό. Οι υπηρεσίες της παρ. 3 οφείλουν, στην περίπτωση του προηγούμενου εδαφίου, να προβούν σε σχετική σημείωση στα βιβλία τα οποία τηρούν. Οι τρίτοι συγκύριοι του περιουσιακού στοιχείου ή δικαιούχοι δικαιώματος επ’ αυτού, καθώς και οι παραπάνω αποδέκτες έχουν δικαίωμα να πληροφορούνται τις παραπάνω μεταβολές από τα στοιχεία της οικείας δικογραφίας και να λαμβάνουν αντίγραφα από τα σχετικά έγγραφα, κατόπιν εγκρίσεως του ανακριτή, αν η υπόθεση εκκρεμεί στο στάδιο της ανάκρισης, ή του εισαγγελέα σε κάθε άλλη περίπτωση. Για κάθε αμφιβολία, ως προς την ισχύ, τη χρονική διάρκεια, την έκταση ή την άρση της δέσμευσης αποφαίνεται το αρμόδιο κατά τις περ. α΄ και β΄ του δεύτερου εδαφίου της παρ. 2 του άρθρου 292 ΚΠΔ δικαστικό συμβούλιο, ή το δικαστήριο κατά τη διάρκεια της εκδίκασης κατ’ άρθρο 373 ΚΠΔ, κατόπιν αιτήσεως εκείνου κατά του οποίου στρέφεται η δέσμευση, του τρίτου συγκύριου ή δικαιούχου επί του δεσμευμένου περιουσιακού στοιχείου, καθώς και των παραπάνω αποδεκτών. Στις περιπτώσεις αυτοδίκαιης άρσης της ισχύος της διάταξης, διαπιστώνεται η παρέλευση των χρονικών ορίων με πράξη του αρμόδιου εισαγγελέα που χειρίζεται την υπόθεση και το αποτέλεσμά της γνωστοποιείται στον ενδιαφερόμενο.</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11.</w:t>
      </w:r>
      <w:r>
        <w:rPr>
          <w:lang w:val="el" w:eastAsia="el"/>
        </w:rPr>
        <w:t xml:space="preserve"> Τα δικαιώματα που έχει εκείνος κατά του οποίου στρέφεται η δέσμευση κατά το παρόν μπορούν να ασκηθούν και από τους κληρονόμους του, σε περίπτωση θανάτου του.</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12.</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13.</w:t>
      </w:r>
      <w:r>
        <w:rPr>
          <w:lang w:val="el" w:eastAsia="el"/>
        </w:rPr>
        <w:t xml:space="preserve"> Με απόφαση του Υπουργού Δικαιοσύνης ρυθμίζονται όλα τα ειδικότερα ζητήματα σχετικά με τη δέσμευση και απαγόρευση εκποίησης περιουσιακών στοιχείων που προβλέπονται στο παρόν.</w:t>
      </w:r>
      <w:r>
        <w:rPr>
          <w:rStyle w:val="Hyperlink"/>
          <w:color w:val="000000"/>
          <w:sz w:val="20"/>
          <w:szCs w:val="20"/>
          <w:u w:val="none" w:color="0000EE"/>
          <w:vertAlign w:val="superscript"/>
          <w:lang w:val="el" w:eastAsia="el"/>
        </w:rPr>
        <w:footnoteReference w:id="368"/>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Ευθύνη νομικών προσώπων και οντοτήτων</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τέσσερα εκατομμύρια (4.000.000) ευρώ.</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 ή λύση του νομικού προσώπου ή της οντότητας και θέση αυτού ή αυτής υπό εκκαθάριση.</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αναθέσεις έργων και υπηρεσιών, προμήθειες, επιδοτήσεις, διαφημίσεις και διαγωνισμούς του δημοσίου τομέα υπό την έννοια της περ. α’ της παρ. 1 του άρθρου 14 του ν. 4270/2014 (Α’ 143), με την επιφύλαξη των άρθρων 73 και 74 του ν. 4412/2016 (Α’ 147) και 39 και 42 του ν. 4413/2016 (Α’ 148).</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Το διοικητικό πρόστιμο της περ.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 Για την επιβολή των διοικητικών κυρώσεων απαιτείται αμετάκλητη καταδικαστική απόφαση σε βάρος του φυσικού προσώπου.</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δυόμιση εκατομμύρια (2.500.000) ευρώ.</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 β’, γ’ και δ’ της παρ.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οντότητας, σύμφωνα με την έννοια των παρ.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Για το κακούργημα της παρ. 1 του άρθρου 187Β του Ποινικού Κώδικα (ΠΚ, 4619/2019, Α’ 95), η ευθύνη των νομικών προσώπων ή οντοτήτων καθορίζεται στο άρθρο 36 του ν. 4689/2020 (Α’ 103) με την επιφύλαξη των άρθρων 73 και 74 του ν. 4412/2016 και 39 και 42 του ν. 4413/2016. Ειδικές διατάξεις, με τις οποίες καθιερώνεται ευθύνη νομικών προσώπων για άλλα βασικά αδικήματα, διατηρούνται σε ισχύ.</w:t>
      </w:r>
      <w:r>
        <w:rPr>
          <w:rStyle w:val="Hyperlink"/>
          <w:color w:val="000000"/>
          <w:sz w:val="20"/>
          <w:szCs w:val="20"/>
          <w:u w:val="none" w:color="0000EE"/>
          <w:vertAlign w:val="superscript"/>
          <w:lang w:val="el" w:eastAsia="el"/>
        </w:rPr>
        <w:footnoteReference w:id="374"/>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Οι κυρώσεις που επιβάλλονται σε νομικά πρόσωπα, δημοσιοποιούνται χωρίς αδικαιολόγητη καθυστέρηση. Αν έχει ασκηθεί ένδικο βοήθημα ενώπιον του αρμοδίου δικαστηρίου, η δημοσίευση περιλαμβάνει και τις πληροφορίες για το περιεχόμενο αυτού και για την έκβασή του, έως και την έκδοση αμετάκλητης δικαστικής απόφασης. Οι κυρώσεις που επιβάλλονται σε φυσικά πρόσωπα δημοσιοποιούνται αν έχει παρέλθει η προθεσμία άσκησης ενδίκου βοηθήματος, ενώπιον του αρμοδίου δικαστηρίου, ή αν αυτό έχει απορριφθεί αμετακλήτως. Από τη δημοσιοποίηση των κυρώσεων εις βάρος φυσικών και νομικών προσώπων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ή επί τιμή, με γνώση της αγγλικής γλώσσας. Ο εν ενεργεία ανώτατος εισαγγελικός λειτουργός επιλέγεται μαζί με τον αναπληρωτή του με απόφαση του Ανώτατου Δικαστικού Συμβουλίου, μετά από σχετικό ερώτημα του Υπουργού Δικαιοσύνης, και διορίζεται με κοινή απόφαση των Υπουργών Οικονομικών και Δικαιοσύνης. Ο επί τιμή ανώτατος εισαγγελικός λειτουργός επιλέγεται μαζί με τον αναπληρωτή του με κοινή απόφαση των Υπουργών Οικονομικών και Δικαιοσύνης ύστερα από πρόταση του τελευταίου και γνώμη της Μόνιμης Επιτροπής Θεσμών και Διαφάνειας της Βουλής σύμφωνα με τα ειδικότερα οριζόμενα στον Κανονισμό της Βουλής για την καταλληλότητα του προτεινομένου προσώπου. Ο Πρόεδρος της Αρχής είναι πλήρους απασχόλησης.</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Γραμματεία Οικονομικής Πολιτικής και Στρατηγικής του Υπουργείου Εθνικής Οικονομίας και Οικονομικών που προτείνονται από τον αρμόδιο Υπουργό,</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από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 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 7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της Ελληνικής Αστυνομίας που προτείνεται από τον Υπουργό Προστασίας του Πολίτη,</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στα άρθρα 187Α και 187Β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στ)</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που προτείνεται από τον αρμόδιο Υπουργό.</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παρ. 1 του άρθρου 3 του ν. 5026/2023 (Α' 45), όπως έχουν κατανεμηθεί σε αυτήν με απόφαση της Επιτροπής Ελέγχου του άρθρου 25 του ίδιου νόμου, σύμφωνα με όσα ορίζονται στο άρθρο 27 του ίδιου νόμου,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 1 του άρθρου 28 του ν. 5026/2023 εφαρμόζεται αναλόγως, σύμφωνα με τη διαδικασία του άρθρου 29 του ίδιου νόμου.</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Σε εξαιρετικά σύνθετες περιπτώσεις ελέγχου δηλώσεων περιουσιακής κατάστασης, με απόφαση του Προέδρου της Αρχής, σύμφωνα με την παρ. 1 του άρθρου 31 και την παρ. 3 του άρθρου 26 του ν. 5026/2023,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Εθνικής Οικονομίας και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 1 του άρθρου 30 του ν. 5026/2023.</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393"/>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 1 του άρθρου 187Β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στα άρθρα 187Α και 187Β ΠΚ. Ειδικότερα, στην Αρχή υποβάλλονται τα εξής:</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 1 σε βάρος των προσδιοριζόμενων ως σχετιζόμενων με την τρομοκρατία προσώπων που διαμένουν ή εδρεύουν ή κατέχουν περιουσία, σύμφωνα με την έννοια της παρ. 1 του άρθρου 187Β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Προσωπικό και λειτουργία της Αρχής</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w:t>
      </w:r>
      <w:r>
        <w:rPr>
          <w:lang w:val="el" w:eastAsia="el"/>
        </w:rPr>
        <w:t xml:space="preserve"> Για τις ανάγκες των Μονάδων της Αρχής και του Αυτοτελούς Γραφείου Διοικητικής Υποστήριξης συστήνονται ενενήντα τρεις (93) οργανικές θέσεις και δύο (2) θέσεις συνεργατών - μετακλητών υπαλλήλων.</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Οι θέσεις του πρώτου εδαφίου πληρούνται με πρόσληψη, διορισμό, μετάταξη και απόσπαση.</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2.</w:t>
      </w:r>
      <w:r>
        <w:rPr>
          <w:lang w:val="el" w:eastAsia="el"/>
        </w:rPr>
        <w:t xml:space="preserve"> Η Αρχή στελεχώνεται από μόνιμους δημοσίους υπαλλήλους, υπαλλήλους με σχέση εργασίας ιδιωτικού δικαίου αορίστου χρόνου και έως δύο (2) συνεργάτες μετακλητούς υπαλλήλους, οι οποίοι καταλαμβάνουν αντίστοιχες θέσεις της παρ. 1. Η πλήρωση των κενών οργανικών θέσεων γίνεται:</w:t>
      </w:r>
      <w:r>
        <w:rPr>
          <w:rStyle w:val="Hyperlink"/>
          <w:color w:val="000000"/>
          <w:sz w:val="20"/>
          <w:szCs w:val="20"/>
          <w:u w:val="none" w:color="0000EE"/>
          <w:vertAlign w:val="superscript"/>
          <w:lang w:val="el" w:eastAsia="el"/>
        </w:rPr>
        <w:footnoteReference w:id="399"/>
      </w:r>
    </w:p>
    <w:p>
      <w:pPr>
        <w:pStyle w:val="StructureList1"/>
        <w:spacing w:before="120" w:after="0"/>
        <w:rPr>
          <w:lang w:val="el" w:eastAsia="el"/>
        </w:rPr>
      </w:pPr>
      <w:r>
        <w:rPr>
          <w:lang w:val="el" w:eastAsia="el"/>
        </w:rPr>
        <w:t>α)</w:t>
      </w:r>
      <w:r>
        <w:rPr>
          <w:lang w:val="en" w:eastAsia="en"/>
        </w:rPr>
        <w:tab/>
      </w:r>
      <w:r>
        <w:rPr>
          <w:lang w:val="el" w:eastAsia="el"/>
        </w:rPr>
        <w:t>με διορισμό ή πρόσληψη, μετά από εισήγηση του Προέδρου της Αρχής, σύμφωνα με τον ν. 4765/2021 (Α' 6) και το άρθρο 51 του ν. 4622/2019 (Α' 133), περί ετήσιου προγραμματισμού ανθρώπινου δυναμικού του δημόσιου τομέα, με εξαίρεση τον διορισμό των συνεργατών - μετακλητών υπαλλήλων. Για την πρόσληψη ειδικού επιστημονικού προσωπικού εφαρμόζεται, κατ' αναλογία, το άρθρο 57 του ν. 5043/2023 (Α' 91), περί πρόσληψης προσωπικού. Οι συνεργάτες - μετακλητοί υπάλληλοι διαθέτουν πέντε (5) τουλάχιστον έτη εμπειρίας στα αντικείμενα της Αρχής Καταπολέμησης της Νομιμοποίησης Εσόδων από Εγκληματικές Δραστηριότητες και προσλαμβάνονται κατ' επιλογή του Προέδρου, εφαρμοζομένων κατά τα λοιπά αναλογικά των άρθρων 46 έως 48 του ν. 4622/2019, περί της στελέχωσης των ιδιαίτερων γραφείων.</w:t>
      </w:r>
      <w:r>
        <w:rPr>
          <w:rStyle w:val="Hyperlink"/>
          <w:color w:val="000000"/>
          <w:sz w:val="20"/>
          <w:szCs w:val="20"/>
          <w:u w:val="none" w:color="0000EE"/>
          <w:vertAlign w:val="superscript"/>
          <w:lang w:val="el" w:eastAsia="el"/>
        </w:rPr>
        <w:footnoteReference w:id="400"/>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μόνιμου προσωπικού και προσωπικού με σχέση εργασίας ιδιωτικού δικαίου αορίστου χρόνου που υπηρετεί σε φορείς στον δημόσιο τομέα, όπως αυτός οριοθετείται στην περ. α) της παρ. 1 του άρθρου 14 του ν. 4270/2014 (Α' 143).</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lang w:val="el" w:eastAsia="el"/>
        </w:rPr>
        <w:t xml:space="preserve"> Πέραν του ανωτέρω προσωπικού, στην Αρχή δύναται να αποσπάται προσωπικό ως εξής:</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α)</w:t>
      </w:r>
      <w:r>
        <w:rPr>
          <w:lang w:val="en" w:eastAsia="en"/>
        </w:rPr>
        <w:tab/>
      </w:r>
      <w:r>
        <w:rPr>
          <w:lang w:val="el" w:eastAsia="el"/>
        </w:rPr>
        <w:t>ένστολοι από την Ελληνική Αστυνομία, το Πυροσβεστικό Σώμα και το Λιμενικό Σώμα - Ελληνική Ακτοφυλακή,</w:t>
      </w:r>
      <w:r>
        <w:rPr>
          <w:rStyle w:val="Hyperlink"/>
          <w:color w:val="000000"/>
          <w:sz w:val="20"/>
          <w:szCs w:val="20"/>
          <w:u w:val="none" w:color="0000EE"/>
          <w:vertAlign w:val="superscript"/>
          <w:lang w:val="el" w:eastAsia="el"/>
        </w:rPr>
        <w:footnoteReference w:id="403"/>
      </w:r>
    </w:p>
    <w:p>
      <w:pPr>
        <w:pStyle w:val="StructureList1"/>
        <w:spacing w:before="120" w:after="0"/>
        <w:rPr>
          <w:lang w:val="el" w:eastAsia="el"/>
        </w:rPr>
      </w:pPr>
      <w:r>
        <w:rPr>
          <w:lang w:val="el" w:eastAsia="el"/>
        </w:rPr>
        <w:t>β)</w:t>
      </w:r>
      <w:r>
        <w:rPr>
          <w:lang w:val="en" w:eastAsia="en"/>
        </w:rPr>
        <w:tab/>
      </w:r>
      <w:r>
        <w:rPr>
          <w:lang w:val="el" w:eastAsia="el"/>
        </w:rPr>
        <w:t>δικαστικοί υπάλληλοι των δικαστηρίων και των εισαγγελιών, η απόσπαση των οποίων διενεργείται, ύστερα από πρόταση του Προέδρου της Αρχής, σύμφωνα με τον Κώδικα Δικαστικών Υπαλλήλων (ν. 4798/2021, Α' 68) και</w:t>
      </w:r>
      <w:r>
        <w:rPr>
          <w:rStyle w:val="Hyperlink"/>
          <w:color w:val="000000"/>
          <w:sz w:val="20"/>
          <w:szCs w:val="20"/>
          <w:u w:val="none" w:color="0000EE"/>
          <w:vertAlign w:val="superscript"/>
          <w:lang w:val="el" w:eastAsia="el"/>
        </w:rPr>
        <w:footnoteReference w:id="404"/>
      </w:r>
    </w:p>
    <w:p>
      <w:pPr>
        <w:pStyle w:val="StructureList1"/>
        <w:spacing w:before="120" w:after="0"/>
        <w:rPr>
          <w:lang w:val="el" w:eastAsia="el"/>
        </w:rPr>
      </w:pPr>
      <w:r>
        <w:rPr>
          <w:lang w:val="el" w:eastAsia="el"/>
        </w:rPr>
        <w:t>γ)</w:t>
      </w:r>
      <w:r>
        <w:rPr>
          <w:lang w:val="en" w:eastAsia="en"/>
        </w:rPr>
        <w:tab/>
      </w:r>
      <w:r>
        <w:rPr>
          <w:lang w:val="el" w:eastAsia="el"/>
        </w:rPr>
        <w:t>στελέχη της Τράπεζας της Ελλάδος, της Επιτροπής Κεφαλαιαγοράς και της Επιτροπής Λογιστικής Τυποποίησης και Ελέγχου.</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4.</w:t>
      </w:r>
      <w:r>
        <w:rPr>
          <w:lang w:val="el" w:eastAsia="el"/>
        </w:rPr>
        <w:t xml:space="preserve"> Οι αποσπάσεις της περ. β) της παρ. 2 και των περ. α) και γ) της παρ. 3 διενεργούνται με απόφαση του Προέδρου της Αρχής, ύστερα από σύμφωνη γνώμη του αρμόδιου φορέα προέλευσης, κατά παρέκκλιση κάθε άλλης γενικής ή ειδικής διάταξης περί αποσπάσεων. Οι αποσπάσεις των ενστόλων της Ελληνικής Αστυνομίας, της περ. α, της παρ. 3, διενεργούνται με απόφαση του προέδρου της Αρχής ύστερα από σύμφωνη γνώμη του Υπουργού Προστασίας του Πολίτη. Το σύνολο των θέσεων των αποσπασμένων υπαλλήλων των παρ. 2 και 3 δεν δύναται να υπερβαίνει το τριάντα τοις εκατό (30%) των θέσεων της παρ. 1. Οι υπάλληλοι της παρ. 3 δύνανται να καταλαμβάνουν θέσεις προϊσταμένων εντός της Αρχής, σύμφωνα με την περ. δ) της παρ. 13.</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5.</w:t>
      </w:r>
      <w:r>
        <w:rPr>
          <w:lang w:val="el" w:eastAsia="el"/>
        </w:rPr>
        <w:t xml:space="preserve"> Η χρονική διάρκεια των αποσπάσεων στην Αρχή ορίζεται σε τρία (3) έτη με δυνατότητα ισόχρονης ανανέωσης για μία (1) φορά και αρχίζει από την ημερομηνία ανάληψης υπηρεσίας του αποσπασμένου υπαλλήλου στην Αρχή. Η διαδικασία της απόσπασης των παρ. 2 και 3 ολοκληρώνεται μέσα σε προθεσμία ενός (1) μηνός από τη διαβίβαση της απόφασης του Προέδρου της Αρχής στον φορέα προέλευσης, με την επιφύλαξη των αποσπάσεων των υπαλλήλων της περ. β) της παρ. 3.</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Η απόσπαση ανανεώνεται, με την ίδια ως άνω διαδικασία δύο (2) μήνες πριν από τη λήξη της και λήγει οποτεδήποτε για λόγους αναγόμενους αποκλειστικά στην άσκηση των καθηκόντων του αποσπώμενου προσωπικού ή κατόπιν αίτησής του, ύστερα από απόφαση του Προέδρου της Αρχής.</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Ο χρόνος υπηρεσίας των αποσπασμένων υπαλλήλων λογίζεται ως χρόνος πραγματικής υπηρεσίας στην οργανική τους θέση για τη βαθμολογική και μισθολογική τους εξέλιξη, καθώς και για κάθε άλλη συνέπεια.</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6.</w:t>
      </w:r>
      <w:r>
        <w:rPr>
          <w:lang w:val="el" w:eastAsia="el"/>
        </w:rPr>
        <w:t xml:space="preserve"> Υπάλληλος που προσλαμβάνεται, διορίζεται ή μετατάσσεται στην Αρχή, σύμφωνα με την παρ. 2, δεν μπορεί να μεταταχθεί ή αποσπαστεί σε άλλο φορέα πριν παρέλθει χρονικό διάστημα έξι (6) ετών από την πράξη πρόσληψης, διορισμού ή μετάταξης. Το προηγούμενο εδάφιο δεν εφαρμόζεται για αποσπάσεις στην Ευρωπαϊκή Αρχή για την καταπολέμηση της νομιμοποίησης εσόδων από παράνομες δραστηριότητες και της χρηματοδότησης της τρομοκρατίας (ΑΜLΑ), που έχει συσταθεί δυνάμει του Κανονισμού (ΕΕ) 2024/1620 του Ευρωπαϊκού Κοινοβουλίου και του Συμβουλίου, της 31ης Μαΐου 2024, σχετικά με τη σύσταση της Αρχής για την καταπολέμηση της νομιμοποίησης εσόδων από παράνομες δραστηριότητες και της χρηματοδότησης της τρομοκρατίας και την τροποποίηση των Κανονισμών (ΕΕ) 1093/2010, (ΕΕ) 1094/2010 και (ΕΕ) 1095/2010 (Σειρά L/19.6.2024).</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7.</w:t>
      </w:r>
      <w:r>
        <w:rPr>
          <w:lang w:val="el" w:eastAsia="el"/>
        </w:rPr>
        <w:t xml:space="preserve"> Τα προσόντα που απαιτούνται για την πρόσληψη, τον διορισμό ή τη μετάταξη στην Αρχή ορίζονται στο π.δ. 85/2022 (Α' 237), με την επιφύλαξη όσων προβλέπονται στον Οργανισμό της Αρχής. Το προσωπικό της Αρχής διαθέτει την απαιτούμενη επιστημονική κατάρτιση, ακεραιότητα, υπηρεσιακή εμπειρία και ικανότητα για την ανάληψη θέσης σε Μονάδα της Αρχής, καθώς και άριστο υπηρεσιακό μητρώο, κατά προτίμηση δε και γνώση της αγγλικής γλώσσας. Δεν πρέπει να συντρέχουν σε αυτό τα κωλύματα διορισμού του Κώδικα Κατάστασης Δημοσίων Πολιτικών Διοικητικών Υπαλλήλων και Υπαλλήλων Ν.Π.Δ.Δ. (ν. 3528/2007, Α' 26). Η κάλυψη των θέσεων ευθύνης, σύμφωνα με τα όσα ορίζονται στην κείμενη νομοθεσία, γίνεται μόνο από υπαλλήλους που κατέχουν οργανική θέση στην Αρχή.</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8.</w:t>
      </w:r>
      <w:r>
        <w:rPr>
          <w:lang w:val="el" w:eastAsia="el"/>
        </w:rPr>
        <w:t xml:space="preserve"> Για τις αποδοχές του προσωπικού της Αρχής, εφαρμόζεται το άρθρο 51Α.</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9.</w:t>
      </w:r>
      <w:r>
        <w:rPr>
          <w:lang w:val="el" w:eastAsia="el"/>
        </w:rPr>
        <w:t xml:space="preserve"> Ο Πρόεδρος της Αρχής αποφασίζει για την κατανομή των υποθέσεων, καθώς και τις περιπτώσεις στις οποίες είναι αναγκαία η εμπλοκή δύο (2) ή και όλων των Μονάδων στην έρευνα της ίδιας υπόθεσης.</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10.</w:t>
      </w:r>
      <w:r>
        <w:rPr>
          <w:lang w:val="el" w:eastAsia="el"/>
        </w:rPr>
        <w:t xml:space="preserve"> Για τη διοικητική και γραμματειακή υποστήριξη του έργου του Προέδρου της Αρχής, συνιστάται Αυτοτελές Γραφείο Διοικητικής Υποστήριξης, στο οποίο κατανέμονται έως δέκα (10) εκ των θέσεων της παρ. 1, υπάγεται απευθείας στον Πρόεδρο και στελεχώνεται, σύμφωνα με το παρόν.</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11.</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για την απόδοση και τη συμπεριφορά κάθε υπαλλήλου της Αρχής, την οποία, για τους αποσπασμένους υπαλλήλους, αποστέλλει στον φορέα προέλευσης του υπαλλήλου. Η αξιολόγηση του προσωπικού και των προϊσταμένων διενεργείται κατ' ανάλογη εφαρμογή του ν. 4940/2022 (Α' 112) και επέχει θέση αξιολόγησης που εφαρμόζεται στον δημόσιο τομέα.</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12.</w:t>
      </w:r>
      <w:r>
        <w:rPr>
          <w:lang w:val="el" w:eastAsia="el"/>
        </w:rPr>
        <w:t xml:space="preserve"> Κατά την εκτέλεση των καθηκόντων τους, ο Πρόεδρος, τα μέλη και το προσωπικό της Αρχής τηρούν τις αρχές της αντικειμενικότητας και της αμεροληψίας και απέχουν από την εξέταση υποθέσεων για τις οποίες υπάρχει πιθανότητα σύγκρουσης συμφερόντων ή στις οποίες εμπλέκονται πρόσωπα συγγενικά ή οικεία. Επιπλέον,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Η παράβαση του καθήκοντος εχεμύθειας τιμωρείται με φυλάκιση τουλάχιστον τριών (3) μηνών.</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13.</w:t>
      </w:r>
      <w:r>
        <w:rPr>
          <w:lang w:val="el" w:eastAsia="el"/>
        </w:rPr>
        <w:t xml:space="preserve"> Με απόφαση του Προέδρου της Αρχής:</w:t>
      </w:r>
      <w:r>
        <w:rPr>
          <w:rStyle w:val="Hyperlink"/>
          <w:color w:val="000000"/>
          <w:sz w:val="20"/>
          <w:szCs w:val="20"/>
          <w:u w:val="none" w:color="0000EE"/>
          <w:vertAlign w:val="superscript"/>
          <w:lang w:val="el" w:eastAsia="el"/>
        </w:rPr>
        <w:footnoteReference w:id="417"/>
      </w:r>
    </w:p>
    <w:p>
      <w:pPr>
        <w:pStyle w:val="StructureList1"/>
        <w:spacing w:before="120" w:after="0"/>
        <w:rPr>
          <w:lang w:val="el" w:eastAsia="el"/>
        </w:rPr>
      </w:pPr>
      <w:r>
        <w:rPr>
          <w:lang w:val="el" w:eastAsia="el"/>
        </w:rPr>
        <w:t>α)</w:t>
      </w:r>
      <w:r>
        <w:rPr>
          <w:lang w:val="en" w:eastAsia="en"/>
        </w:rPr>
        <w:tab/>
      </w:r>
      <w:r>
        <w:rPr>
          <w:lang w:val="el" w:eastAsia="el"/>
        </w:rPr>
        <w:t>καθορίζεται ο Οργανισμός της Αρχής, κατανέμονται και ανακατανέμονται οι θέσεις της παρ. 1 ανά κατηγορία εκπαίδευσης, ανά εργασιακή σχέση, κλάδο και ειδικότητα, προς κάλυψη των επιχειρησιακών αναγκών της Αρχής,</w:t>
      </w:r>
      <w:r>
        <w:rPr>
          <w:rStyle w:val="Hyperlink"/>
          <w:color w:val="000000"/>
          <w:sz w:val="20"/>
          <w:szCs w:val="20"/>
          <w:u w:val="none" w:color="0000EE"/>
          <w:vertAlign w:val="superscript"/>
          <w:lang w:val="el" w:eastAsia="el"/>
        </w:rPr>
        <w:footnoteReference w:id="418"/>
      </w:r>
    </w:p>
    <w:p>
      <w:pPr>
        <w:pStyle w:val="StructureList1"/>
        <w:spacing w:before="120" w:after="0"/>
        <w:rPr>
          <w:lang w:val="el" w:eastAsia="el"/>
        </w:rPr>
      </w:pPr>
      <w:r>
        <w:rPr>
          <w:lang w:val="el" w:eastAsia="el"/>
        </w:rPr>
        <w:t>β)</w:t>
      </w:r>
      <w:r>
        <w:rPr>
          <w:lang w:val="en" w:eastAsia="en"/>
        </w:rPr>
        <w:tab/>
      </w:r>
      <w:r>
        <w:rPr>
          <w:lang w:val="el" w:eastAsia="el"/>
        </w:rPr>
        <w:t>τοποθετούνται ή μετακινούνται οι υπάλληλοι στις επιμέρους μονάδες της Αρχής,</w:t>
      </w:r>
      <w:r>
        <w:rPr>
          <w:rStyle w:val="Hyperlink"/>
          <w:color w:val="000000"/>
          <w:sz w:val="20"/>
          <w:szCs w:val="20"/>
          <w:u w:val="none" w:color="0000EE"/>
          <w:vertAlign w:val="superscript"/>
          <w:lang w:val="el" w:eastAsia="el"/>
        </w:rPr>
        <w:footnoteReference w:id="419"/>
      </w:r>
    </w:p>
    <w:p>
      <w:pPr>
        <w:pStyle w:val="StructureList1"/>
        <w:spacing w:before="120" w:after="0"/>
        <w:rPr>
          <w:lang w:val="el" w:eastAsia="el"/>
        </w:rPr>
      </w:pPr>
      <w:r>
        <w:rPr>
          <w:lang w:val="el" w:eastAsia="el"/>
        </w:rPr>
        <w:t>γ)</w:t>
      </w:r>
      <w:r>
        <w:rPr>
          <w:lang w:val="en" w:eastAsia="en"/>
        </w:rPr>
        <w:tab/>
      </w:r>
      <w:r>
        <w:rPr>
          <w:lang w:val="el" w:eastAsia="el"/>
        </w:rPr>
        <w:t>που εκδίδεται έως την 20ή Δεκεμβρίου κάθε έτους, καθορίζονται και κατανέμονται στις οργανικές μονάδες της Αρχής οι προτεραιότητες και οι στόχοι για το επόμενο έτος αναφοράς και</w:t>
      </w:r>
      <w:r>
        <w:rPr>
          <w:rStyle w:val="Hyperlink"/>
          <w:color w:val="000000"/>
          <w:sz w:val="20"/>
          <w:szCs w:val="20"/>
          <w:u w:val="none" w:color="0000EE"/>
          <w:vertAlign w:val="superscript"/>
          <w:lang w:val="el" w:eastAsia="el"/>
        </w:rPr>
        <w:footnoteReference w:id="420"/>
      </w:r>
    </w:p>
    <w:p>
      <w:pPr>
        <w:pStyle w:val="StructureList1"/>
        <w:spacing w:before="120" w:after="0"/>
        <w:rPr>
          <w:lang w:val="el" w:eastAsia="el"/>
        </w:rPr>
      </w:pPr>
      <w:r>
        <w:rPr>
          <w:lang w:val="el" w:eastAsia="el"/>
        </w:rPr>
        <w:t>δ)</w:t>
      </w:r>
      <w:r>
        <w:rPr>
          <w:lang w:val="en" w:eastAsia="en"/>
        </w:rPr>
        <w:tab/>
      </w:r>
      <w:r>
        <w:rPr>
          <w:lang w:val="el" w:eastAsia="el"/>
        </w:rPr>
        <w:t>ρυθμίζονται ειδικότερα θέματα που αφορούν στη λειτουργία της Αρχής και των επιμέρους μονάδων της, τον κανονισμό λειτουργίας, τη διαδικασία επιλογής προϊσταμένων,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άλλο θέμα αναγκαίο για την εύρυθμη λειτουργία της Αρχής.</w:t>
      </w:r>
      <w:r>
        <w:rPr>
          <w:rStyle w:val="Hyperlink"/>
          <w:color w:val="000000"/>
          <w:sz w:val="20"/>
          <w:szCs w:val="20"/>
          <w:u w:val="none" w:color="0000EE"/>
          <w:vertAlign w:val="superscript"/>
          <w:lang w:val="el" w:eastAsia="el"/>
        </w:rPr>
        <w:footnoteReference w:id="421"/>
      </w:r>
    </w:p>
    <w:p>
      <w:pPr>
        <w:pStyle w:val="Heading6"/>
        <w:spacing w:before="240" w:after="240"/>
        <w:rPr>
          <w:lang w:val="el" w:eastAsia="el"/>
        </w:rPr>
      </w:pPr>
      <w:r>
        <w:rPr>
          <w:b/>
          <w:bCs/>
          <w:lang w:val="el" w:eastAsia="el"/>
        </w:rPr>
        <w:t xml:space="preserve">Άρθρο 51A. </w:t>
      </w:r>
    </w:p>
    <w:p>
      <w:pPr>
        <w:pStyle w:val="Heading6"/>
        <w:spacing w:before="240" w:after="240"/>
        <w:rPr>
          <w:lang w:val="el" w:eastAsia="el"/>
        </w:rPr>
      </w:pPr>
      <w:r>
        <w:rPr>
          <w:b/>
          <w:bCs/>
          <w:lang w:val="el" w:eastAsia="el"/>
        </w:rPr>
        <w:t>Μισθολογικό καθεστώς Αρχής - Εξουσιοδοτική διάταξη</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w:t>
      </w:r>
      <w:r>
        <w:rPr>
          <w:b/>
          <w:bCs/>
          <w:lang w:val="el" w:eastAsia="el"/>
        </w:rPr>
        <w:t xml:space="preserve"> Στον Πρόεδρο και τα μέλη της Αρχής καταβάλλεται αποζημίωση. Στο σύνολο του προσωπικού που υπηρετεί στην Αρχή καταβάλλονται, πέραν των αποδοχών της θέσης τους, πρόσθετες αμοιβές οι οποίες δεν υπόκεινται σε κρατήσεις υπέρ τρίτων.</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b/>
          <w:bCs/>
          <w:lang w:val="el" w:eastAsia="el"/>
        </w:rPr>
        <w:t xml:space="preserve"> Στους υπαλλήλους που υπηρετούν στην Αρχή εξακολουθεί να καταβάλλεται:</w:t>
      </w:r>
      <w:r>
        <w:rPr>
          <w:rStyle w:val="Hyperlink"/>
          <w:b/>
          <w:bCs/>
          <w:color w:val="000000"/>
          <w:sz w:val="20"/>
          <w:szCs w:val="20"/>
          <w:u w:val="none" w:color="0000EE"/>
          <w:vertAlign w:val="superscript"/>
          <w:lang w:val="el" w:eastAsia="el"/>
        </w:rPr>
        <w:footnoteReference w:id="424"/>
      </w:r>
    </w:p>
    <w:p>
      <w:pPr>
        <w:pStyle w:val="StructureList1"/>
        <w:spacing w:before="120" w:after="0"/>
        <w:rPr>
          <w:lang w:val="el" w:eastAsia="el"/>
        </w:rPr>
      </w:pPr>
      <w:r>
        <w:rPr>
          <w:b/>
          <w:bCs/>
          <w:lang w:val="el" w:eastAsia="el"/>
        </w:rPr>
        <w:t>α)</w:t>
      </w:r>
      <w:r>
        <w:rPr>
          <w:b/>
          <w:bCs/>
          <w:lang w:val="en" w:eastAsia="en"/>
        </w:rPr>
        <w:tab/>
      </w:r>
      <w:r>
        <w:rPr>
          <w:b/>
          <w:bCs/>
          <w:lang w:val="el" w:eastAsia="el"/>
        </w:rPr>
        <w:t>η προσωπική διαφορά του άρθρου 27 του ν. 4354/2015 (A' 176), περί διασφάλισης αποδοχών, στο ύψος που αυτή έχει προσδιοριστεί κατά την ημερομηνία ανάληψης υπηρεσίας στην Αρχή και</w:t>
      </w:r>
      <w:r>
        <w:rPr>
          <w:rStyle w:val="Hyperlink"/>
          <w:b/>
          <w:bCs/>
          <w:color w:val="000000"/>
          <w:sz w:val="20"/>
          <w:szCs w:val="20"/>
          <w:u w:val="none" w:color="0000EE"/>
          <w:vertAlign w:val="superscript"/>
          <w:lang w:val="el" w:eastAsia="el"/>
        </w:rPr>
        <w:footnoteReference w:id="425"/>
      </w:r>
    </w:p>
    <w:p>
      <w:pPr>
        <w:pStyle w:val="StructureList1"/>
        <w:spacing w:before="120" w:after="0"/>
        <w:rPr>
          <w:lang w:val="el" w:eastAsia="el"/>
        </w:rPr>
      </w:pPr>
      <w:r>
        <w:rPr>
          <w:b/>
          <w:bCs/>
          <w:lang w:val="el" w:eastAsia="el"/>
        </w:rPr>
        <w:t>β)</w:t>
      </w:r>
      <w:r>
        <w:rPr>
          <w:b/>
          <w:bCs/>
          <w:lang w:val="en" w:eastAsia="en"/>
        </w:rPr>
        <w:tab/>
      </w:r>
      <w:r>
        <w:rPr>
          <w:b/>
          <w:bCs/>
          <w:lang w:val="el" w:eastAsia="el"/>
        </w:rPr>
        <w:t>η οικογενειακή παροχή του άρθρου 15 του ν. 4354/2015.</w:t>
      </w:r>
      <w:r>
        <w:rPr>
          <w:rStyle w:val="Hyperlink"/>
          <w:b/>
          <w:bCs/>
          <w:color w:val="000000"/>
          <w:sz w:val="20"/>
          <w:szCs w:val="20"/>
          <w:u w:val="none" w:color="0000EE"/>
          <w:vertAlign w:val="superscript"/>
          <w:lang w:val="el" w:eastAsia="el"/>
        </w:rPr>
        <w:footnoteReference w:id="426"/>
      </w:r>
    </w:p>
    <w:p>
      <w:pPr>
        <w:spacing w:before="240" w:after="240"/>
        <w:rPr>
          <w:lang w:val="el" w:eastAsia="el"/>
        </w:rPr>
      </w:pPr>
      <w:r>
        <w:rPr>
          <w:b/>
          <w:bCs/>
          <w:lang w:val="el" w:eastAsia="el"/>
        </w:rPr>
        <w:t>Στους προϊστάμενους των οργανικών μονάδων της Αρχής καταβάλλεται, για όσο χρόνο ασκούν τα συγκεκριμένα καθήκοντα, το αντίστοιχο με τη θέση μηνιαίο επίδομα, όπως αυτό ορίζεται με τις ισχύουσες διατάξεις.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3.</w:t>
      </w:r>
      <w:r>
        <w:rPr>
          <w:b/>
          <w:bCs/>
          <w:lang w:val="el" w:eastAsia="el"/>
        </w:rPr>
        <w:t xml:space="preserve"> Οι υπάλληλοι που υπηρετούν με απόσπαση στην Αρχή λαμβάνουν το σύνολο των αποδοχών και επιδομάτων της οργανικής τους θέσης σύμφωνα με την παρ. 1 του άρθρου 23 του ν. 4354/2015. Οι αποδοχές του αποσπασθέντος προσωπικού συνεχίζουν να καταβάλλονται από την υπηρεσία προέλευσής του, σύμφωνα με το άρθρο 54 του ν. 4407/2016 (Α' 134) κατ' εξαίρεση της παρ. 2 του άρθρου 23 του ν. 4354/2015.</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4.</w:t>
      </w:r>
      <w:r>
        <w:rPr>
          <w:b/>
          <w:bCs/>
          <w:lang w:val="el" w:eastAsia="el"/>
        </w:rPr>
        <w:t xml:space="preserve"> Με απόφαση του Υπουργού Εθνικής Οικονομίας και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της παρ. 1.</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5.</w:t>
      </w:r>
      <w:r>
        <w:rPr>
          <w:b/>
          <w:bCs/>
          <w:lang w:val="el" w:eastAsia="el"/>
        </w:rPr>
        <w:t xml:space="preserve"> Με απόφαση του Προέδρου, υπό τις προϋποθέσεις του άρθρου 20 του ν. 4354/2015, περί αποζημίωσης για εργασία καθ' υπέρβαση του υποχρεωτικού ωραρίου και αποζημίωσης για εργασία προς συμπλήρωση του υποχρεωτικού ωραρίου, το προσωπικό της Αρχής λαμβάνει αποζημίωση για υπερωριακή εργασία και εργασία κατά τις νυχτερινές ώρες ή κατά τις Κυριακές και εξαιρέσιμες ημέρες, σύμφωνα με τον ν. 4270/2014 (Α' 143) και το π.δ. 54/2018 (Α' 103).</w:t>
      </w:r>
      <w:r>
        <w:rPr>
          <w:rStyle w:val="Hyperlink"/>
          <w:b/>
          <w:bCs/>
          <w:color w:val="000000"/>
          <w:sz w:val="20"/>
          <w:szCs w:val="20"/>
          <w:u w:val="none" w:color="0000EE"/>
          <w:vertAlign w:val="superscript"/>
          <w:lang w:val="el" w:eastAsia="el"/>
        </w:rPr>
        <w:footnoteReference w:id="430"/>
      </w:r>
    </w:p>
    <w:p>
      <w:pPr>
        <w:pStyle w:val="Heading6"/>
        <w:spacing w:before="240" w:after="240"/>
        <w:rPr>
          <w:lang w:val="el" w:eastAsia="el"/>
        </w:rPr>
      </w:pPr>
      <w:r>
        <w:rPr>
          <w:b/>
          <w:bCs/>
          <w:lang w:val="el" w:eastAsia="el"/>
        </w:rPr>
        <w:t xml:space="preserve">Άρθρο 51B. </w:t>
      </w:r>
    </w:p>
    <w:p>
      <w:pPr>
        <w:pStyle w:val="Heading6"/>
        <w:spacing w:before="240" w:after="240"/>
        <w:rPr>
          <w:lang w:val="el" w:eastAsia="el"/>
        </w:rPr>
      </w:pPr>
      <w:r>
        <w:rPr>
          <w:b/>
          <w:bCs/>
          <w:lang w:val="el" w:eastAsia="el"/>
        </w:rPr>
        <w:t>Πειθαρχικά συμβούλια - Εξουσιοδοτική διάταξη</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1.</w:t>
      </w:r>
      <w:r>
        <w:rPr>
          <w:b/>
          <w:bCs/>
          <w:lang w:val="el" w:eastAsia="el"/>
        </w:rPr>
        <w:t xml:space="preserve"> Ο Πρόεδρος, τα μέλη και οι υπάλληλοι κάθε Μονάδας, που παραβαίνουν υπαίτια τα καθήκοντα και τις υποχρεώσεις τους, υπέχουν, ανεξάρτητα από την ποινική, και πειθαρχική ευθύνη. Η πειθαρχική διαδικασία που ακολουθείται, έχει ως εξής:</w:t>
      </w:r>
      <w:r>
        <w:rPr>
          <w:rStyle w:val="Hyperlink"/>
          <w:b/>
          <w:bCs/>
          <w:color w:val="000000"/>
          <w:sz w:val="20"/>
          <w:szCs w:val="20"/>
          <w:u w:val="none" w:color="0000EE"/>
          <w:vertAlign w:val="superscript"/>
          <w:lang w:val="el" w:eastAsia="el"/>
        </w:rPr>
        <w:footnoteReference w:id="432"/>
      </w:r>
    </w:p>
    <w:p>
      <w:pPr>
        <w:pStyle w:val="StructureList1"/>
        <w:spacing w:before="120" w:after="0"/>
        <w:rPr>
          <w:lang w:val="el" w:eastAsia="el"/>
        </w:rPr>
      </w:pPr>
      <w:r>
        <w:rPr>
          <w:b/>
          <w:bCs/>
          <w:lang w:val="el" w:eastAsia="el"/>
        </w:rPr>
        <w:t>α)</w:t>
      </w:r>
      <w:r>
        <w:rPr>
          <w:b/>
          <w:bCs/>
          <w:lang w:val="en" w:eastAsia="en"/>
        </w:rPr>
        <w:tab/>
      </w:r>
      <w:r>
        <w:rPr>
          <w:b/>
          <w:bCs/>
          <w:lang w:val="el" w:eastAsia="el"/>
        </w:rPr>
        <w:t>Για τους υπαλλήλους που υπηρετούν στην Αρχή, εφαρμόζονται τα άρθρα 103 έως 151 του Κώδικα Κατάστασης Δημοσίων Πολιτικών Διοικητικών Υπαλλήλων και Υπαλλήλων Ν.Π.Δ.Δ. (ν. 3528/2007, Α' 26), με την επιφύλαξη των περ. β) και γ) της παρούσας,</w:t>
      </w:r>
      <w:r>
        <w:rPr>
          <w:rStyle w:val="Hyperlink"/>
          <w:b/>
          <w:bCs/>
          <w:color w:val="000000"/>
          <w:sz w:val="20"/>
          <w:szCs w:val="20"/>
          <w:u w:val="none" w:color="0000EE"/>
          <w:vertAlign w:val="superscript"/>
          <w:lang w:val="el" w:eastAsia="el"/>
        </w:rPr>
        <w:footnoteReference w:id="433"/>
      </w:r>
    </w:p>
    <w:p>
      <w:pPr>
        <w:pStyle w:val="StructureList1"/>
        <w:spacing w:before="120" w:after="0"/>
        <w:rPr>
          <w:lang w:val="el" w:eastAsia="el"/>
        </w:rPr>
      </w:pPr>
      <w:r>
        <w:rPr>
          <w:b/>
          <w:bCs/>
          <w:lang w:val="el" w:eastAsia="el"/>
        </w:rPr>
        <w:t>β)</w:t>
      </w:r>
      <w:r>
        <w:rPr>
          <w:b/>
          <w:bCs/>
          <w:lang w:val="en" w:eastAsia="en"/>
        </w:rPr>
        <w:tab/>
      </w:r>
      <w:r>
        <w:rPr>
          <w:b/>
          <w:bCs/>
          <w:lang w:val="el" w:eastAsia="el"/>
        </w:rPr>
        <w:t>ειδικά για τους αποσπασμένους υπαλλήλους, οι οποίοι προέρχονται από φορείς εκτός του πεδίου εφαρμογής του Κώδικα Κατάστασης Δημοσίων Πολιτικών Διοικητικών Υπαλλήλων και Υπαλλήλων Ν.Π.Δ.Δ., η πειθαρχική δίωξη ασκείται και η υπόθεση εκδικάζεται από τα αρμόδια πειθαρχικά όργανα των φορέων από τους οποίους προέρχονται, ύστερα από αναφορά του Προέδρου της Αρχής προς αυτά,</w:t>
      </w:r>
      <w:r>
        <w:rPr>
          <w:rStyle w:val="Hyperlink"/>
          <w:b/>
          <w:bCs/>
          <w:color w:val="000000"/>
          <w:sz w:val="20"/>
          <w:szCs w:val="20"/>
          <w:u w:val="none" w:color="0000EE"/>
          <w:vertAlign w:val="superscript"/>
          <w:lang w:val="el" w:eastAsia="el"/>
        </w:rPr>
        <w:footnoteReference w:id="434"/>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Προϊσταμένους των Α', Β' και Γ' Μονάδων, την πειθαρχική δίωξη ασκεί ο Πρόεδρος της Αρχής,</w:t>
      </w:r>
      <w:r>
        <w:rPr>
          <w:rStyle w:val="Hyperlink"/>
          <w:b/>
          <w:bCs/>
          <w:color w:val="000000"/>
          <w:sz w:val="20"/>
          <w:szCs w:val="20"/>
          <w:u w:val="none" w:color="0000EE"/>
          <w:vertAlign w:val="superscript"/>
          <w:lang w:val="el" w:eastAsia="el"/>
        </w:rPr>
        <w:footnoteReference w:id="435"/>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μέλη των Μονάδων, η πειθαρχική δίωξη ασκείται, κατά περίπτωση, από τον εποπτεύοντα Υπουργό ή Διοικητή ή Πρόεδρο του φορέα προέλευσης, ύστερα από αναφορά του Προέδρου της Αρχής προς τα πειθαρχικά συμβούλια των φορέων προέλευσης και η υπόθεση εκδικάζεται από τα αρμόδια πειθαρχικά όργανα των φορέων αυτών,</w:t>
      </w:r>
      <w:r>
        <w:rPr>
          <w:rStyle w:val="Hyperlink"/>
          <w:b/>
          <w:bCs/>
          <w:color w:val="000000"/>
          <w:sz w:val="20"/>
          <w:szCs w:val="20"/>
          <w:u w:val="none" w:color="0000EE"/>
          <w:vertAlign w:val="superscript"/>
          <w:lang w:val="el" w:eastAsia="el"/>
        </w:rPr>
        <w:footnoteReference w:id="436"/>
      </w:r>
    </w:p>
    <w:p>
      <w:pPr>
        <w:pStyle w:val="StructureList1"/>
        <w:spacing w:before="120" w:after="0"/>
        <w:rPr>
          <w:lang w:val="el" w:eastAsia="el"/>
        </w:rPr>
      </w:pPr>
      <w:r>
        <w:rPr>
          <w:b/>
          <w:bCs/>
          <w:lang w:val="el" w:eastAsia="el"/>
        </w:rPr>
        <w:t>ε)</w:t>
      </w:r>
      <w:r>
        <w:rPr>
          <w:b/>
          <w:bCs/>
          <w:lang w:val="en" w:eastAsia="en"/>
        </w:rPr>
        <w:tab/>
      </w:r>
      <w:r>
        <w:rPr>
          <w:b/>
          <w:bCs/>
          <w:lang w:val="el" w:eastAsia="el"/>
        </w:rPr>
        <w:t>για τον Πρόεδρο, η πειθαρχική δίωξη ασκείται και η υπόθεση εκδικάζεται από τα όργανα που προβλέπονται στο Σύνταγμα και τον Κώδικα Δικαστικών Λειτουργών (ν. 4938/2022, Α' 109).</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w:t>
      </w:r>
      <w:r>
        <w:rPr>
          <w:b/>
          <w:bCs/>
          <w:lang w:val="el" w:eastAsia="el"/>
        </w:rPr>
        <w:t xml:space="preserve"> Με απόφαση του Προέδρου, η οποία δημοσιεύεται στην Εφημερίδα της Κυβερνήσεως, συστήνεται και συγκροτείται το Πειθαρχικό Συμβούλιο της Αρχής, στη σύνθεση του οποίου μετέχουν:</w:t>
      </w:r>
      <w:r>
        <w:rPr>
          <w:rStyle w:val="Hyperlink"/>
          <w:b/>
          <w:bCs/>
          <w:color w:val="000000"/>
          <w:sz w:val="20"/>
          <w:szCs w:val="20"/>
          <w:u w:val="none" w:color="0000EE"/>
          <w:vertAlign w:val="superscript"/>
          <w:lang w:val="el" w:eastAsia="el"/>
        </w:rPr>
        <w:footnoteReference w:id="438"/>
      </w:r>
    </w:p>
    <w:p>
      <w:pPr>
        <w:pStyle w:val="StructureList1"/>
        <w:spacing w:before="120" w:after="0"/>
        <w:rPr>
          <w:lang w:val="el" w:eastAsia="el"/>
        </w:rPr>
      </w:pPr>
      <w:r>
        <w:rPr>
          <w:b/>
          <w:bCs/>
          <w:lang w:val="el" w:eastAsia="el"/>
        </w:rPr>
        <w:t>α)</w:t>
      </w:r>
      <w:r>
        <w:rPr>
          <w:b/>
          <w:bCs/>
          <w:lang w:val="en" w:eastAsia="en"/>
        </w:rPr>
        <w:tab/>
      </w:r>
      <w:r>
        <w:rPr>
          <w:b/>
          <w:bCs/>
          <w:lang w:val="el" w:eastAsia="el"/>
        </w:rPr>
        <w:t>ο Προϊστάμενος της Α' Μονάδας της Αρχής με τον αναπληρωτή του που ορίζεται με απόφαση του Προέδρου της Αρχής και</w:t>
      </w:r>
      <w:r>
        <w:rPr>
          <w:rStyle w:val="Hyperlink"/>
          <w:b/>
          <w:bCs/>
          <w:color w:val="000000"/>
          <w:sz w:val="20"/>
          <w:szCs w:val="20"/>
          <w:u w:val="none" w:color="0000EE"/>
          <w:vertAlign w:val="superscript"/>
          <w:lang w:val="el" w:eastAsia="el"/>
        </w:rPr>
        <w:footnoteReference w:id="439"/>
      </w:r>
    </w:p>
    <w:p>
      <w:pPr>
        <w:pStyle w:val="StructureList1"/>
        <w:spacing w:before="120" w:after="0"/>
        <w:rPr>
          <w:lang w:val="el" w:eastAsia="el"/>
        </w:rPr>
      </w:pPr>
      <w:r>
        <w:rPr>
          <w:b/>
          <w:bCs/>
          <w:lang w:val="el" w:eastAsia="el"/>
        </w:rPr>
        <w:t>β)</w:t>
      </w:r>
      <w:r>
        <w:rPr>
          <w:b/>
          <w:bCs/>
          <w:lang w:val="en" w:eastAsia="en"/>
        </w:rPr>
        <w:tab/>
      </w:r>
      <w:r>
        <w:rPr>
          <w:b/>
          <w:bCs/>
          <w:lang w:val="el" w:eastAsia="el"/>
        </w:rPr>
        <w:t>δύο (2) Πάρεδροι του Νομικού Συμβουλίου του Κράτους, με τους αναπληρωτές τους, οι οποίοι ορίζονται από τον Πρόεδρο του Νομικού Συμβουλίου του Κράτους.</w:t>
      </w:r>
      <w:r>
        <w:rPr>
          <w:rStyle w:val="Hyperlink"/>
          <w:b/>
          <w:bCs/>
          <w:color w:val="000000"/>
          <w:sz w:val="20"/>
          <w:szCs w:val="20"/>
          <w:u w:val="none" w:color="0000EE"/>
          <w:vertAlign w:val="superscript"/>
          <w:lang w:val="el" w:eastAsia="el"/>
        </w:rPr>
        <w:footnoteReference w:id="440"/>
      </w:r>
    </w:p>
    <w:p>
      <w:pPr>
        <w:spacing w:before="240" w:after="240"/>
        <w:rPr>
          <w:lang w:val="el" w:eastAsia="el"/>
        </w:rPr>
      </w:pPr>
      <w:r>
        <w:rPr>
          <w:b/>
          <w:bCs/>
          <w:lang w:val="el" w:eastAsia="el"/>
        </w:rPr>
        <w:t>Η θητεία του Πειθαρχικού Συμβουλίου ορίζεται διετής. Με την ίδια απόφαση ορίζεται η αμοιβή των μελών του Πειθαρχικού Συμβουλίου.</w:t>
      </w:r>
      <w:r>
        <w:rPr>
          <w:rStyle w:val="Hyperlink"/>
          <w:b/>
          <w:bCs/>
          <w:color w:val="000000"/>
          <w:sz w:val="20"/>
          <w:szCs w:val="20"/>
          <w:u w:val="none" w:color="0000EE"/>
          <w:vertAlign w:val="superscript"/>
          <w:lang w:val="el" w:eastAsia="el"/>
        </w:rPr>
        <w:footnoteReference w:id="441"/>
      </w:r>
    </w:p>
    <w:p>
      <w:pPr>
        <w:spacing w:before="240" w:after="240"/>
        <w:rPr>
          <w:lang w:val="el" w:eastAsia="el"/>
        </w:rPr>
      </w:pPr>
      <w:r>
        <w:rPr>
          <w:b/>
          <w:bCs/>
          <w:lang w:val="el" w:eastAsia="el"/>
        </w:rPr>
        <w:t>Το Πειθαρχικό Συμβούλιο της Αρχής έχει αποκλειστική αρμοδιότητα για την άσκηση της πειθαρχικής εξουσίας στους υπαλλήλους που υπηρετούν με οργανική θέση στην Αρχή, καθώς και στους αποσπασμένους από φορείς εντός του πεδίου εφαρμογής του Κώδικα Κατάστασης Δημοσίων Πολιτικών Διοικητικών Υπαλλήλων και Υπαλλήλων Ν.Π.Δ.Δ., εκτός των Προϊσταμένων των Α', Β' και Γ' Μονάδων της Αρχής, για τους οποίους αρμόδιο πειθαρχικό όργανο σε πρώτο και τελευταίο βαθμό είναι το Δευτεροβάθμιο Πειθαρχικό Συμβούλιο του άρθρου 146Α του Κώδικα Κατάστασης Δημοσίων Πολιτικών Διοικητικών Υπαλλήλων και Υπαλλήλων Ν.Π.Δ.Δ.. Για την αρμοδιότητα του Πειθαρχικού Συμβουλίου της Αρχής εφαρμόζεται αναλόγως το άρθρο 120 του Κώδικα Κατάστασης Δημοσίων Πολιτικών Διοικητικών Υπαλλήλων και Υπαλλήλων Ν.Π.Δ.Δ..</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3.</w:t>
      </w:r>
      <w:r>
        <w:rPr>
          <w:b/>
          <w:bCs/>
          <w:lang w:val="el" w:eastAsia="el"/>
        </w:rPr>
        <w:t xml:space="preserve"> Αρμόδιο πειθαρχικό όργανο για να κρίνει σε δεύτερο βαθμό το λοιπό προσωπικό της Αρχής που υπάγεται στην αρμοδιότητα του Πειθαρχικού Συμβουλίου αυτής είναι το Δευτεροβάθμιο Πειθαρχικό Συμβούλιο του άρθρου 146Α του Κώδικα Κατάστασης Δημοσίων Πολιτικών Διοικητικών Υπαλλήλων και Υπαλλήλων Ν.Π.Δ.Δ.. Αν κρίνονται υπάλληλοι της Αρχής, στο ως άνω Πειθαρχικό Συμβούλιο μετέχει, αντί του μέλους που προβλέπεται στην περ. δ) της παρ. 1 του άρθρου 146Α, ο Πρόεδρος της Αρχής, ο οποίος, με απόφασή του, ορίζει ως αναπληρωτή του Προϊστάμενο Μονάδας της Αρχής, πριν από την έναρξη λειτουργίας του Συμβουλίου.</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4.</w:t>
      </w:r>
      <w:r>
        <w:rPr>
          <w:b/>
          <w:bCs/>
          <w:lang w:val="el" w:eastAsia="el"/>
        </w:rPr>
        <w:t xml:space="preserve"> Με κοινή απόφαση των Υπουργών Εθνικής Οικονομίας και Οικονομικών και Εσωτερικών καθορίζονται ο ειδικότερος τρόπος λειτουργίας του Πειθαρχικού Συμβουλίου της Αρχής, καθώς και κάθε άλλο σχετικό θέμα σχετικό με την εφαρμογή της παρ. 1.</w:t>
      </w:r>
      <w:r>
        <w:rPr>
          <w:rStyle w:val="Hyperlink"/>
          <w:b/>
          <w:bCs/>
          <w:color w:val="000000"/>
          <w:sz w:val="20"/>
          <w:szCs w:val="20"/>
          <w:u w:val="none" w:color="0000EE"/>
          <w:vertAlign w:val="superscript"/>
          <w:lang w:val="el" w:eastAsia="el"/>
        </w:rPr>
        <w:footnoteReference w:id="444"/>
      </w:r>
    </w:p>
    <w:p>
      <w:pPr>
        <w:pStyle w:val="Heading6"/>
        <w:spacing w:before="240" w:after="240"/>
        <w:rPr>
          <w:lang w:val="el" w:eastAsia="el"/>
        </w:rPr>
      </w:pPr>
      <w:r>
        <w:rPr>
          <w:b/>
          <w:bCs/>
          <w:lang w:val="el" w:eastAsia="el"/>
        </w:rPr>
        <w:t xml:space="preserve">Άρθρο 51Γ. </w:t>
      </w:r>
    </w:p>
    <w:p>
      <w:pPr>
        <w:pStyle w:val="Heading6"/>
        <w:spacing w:before="240" w:after="240"/>
        <w:rPr>
          <w:lang w:val="el" w:eastAsia="el"/>
        </w:rPr>
      </w:pPr>
      <w:r>
        <w:rPr>
          <w:b/>
          <w:bCs/>
          <w:lang w:val="el" w:eastAsia="el"/>
        </w:rPr>
        <w:t>Υπηρεσιακό Συμβούλιο</w:t>
      </w:r>
      <w:r>
        <w:rPr>
          <w:rStyle w:val="Hyperlink"/>
          <w:b/>
          <w:bCs/>
          <w:color w:val="000000"/>
          <w:sz w:val="20"/>
          <w:szCs w:val="20"/>
          <w:u w:val="none" w:color="0000EE"/>
          <w:vertAlign w:val="superscript"/>
          <w:lang w:val="el" w:eastAsia="el"/>
        </w:rPr>
        <w:footnoteReference w:id="445"/>
      </w:r>
    </w:p>
    <w:p>
      <w:pPr>
        <w:spacing w:before="240" w:after="240"/>
        <w:rPr>
          <w:lang w:val="el" w:eastAsia="el"/>
        </w:rPr>
      </w:pPr>
      <w:r>
        <w:rPr>
          <w:b/>
          <w:bCs/>
          <w:lang w:val="el" w:eastAsia="el"/>
        </w:rPr>
        <w:t>Συστήνεται και συγκροτείται, με απόφαση του Προέδρου της Αρχής, πενταμελές Υπηρεσιακό Συμβούλιο για το πάσης φύσεως προσωπικό που υπηρετεί στην Αρχή. Στη σύνθεση του Υπηρεσιακού Συμβουλίου μετέχουν με θητεία δύο (2) ετών:</w:t>
      </w:r>
      <w:r>
        <w:rPr>
          <w:rStyle w:val="Hyperlink"/>
          <w:b/>
          <w:bCs/>
          <w:color w:val="000000"/>
          <w:sz w:val="20"/>
          <w:szCs w:val="20"/>
          <w:u w:val="none" w:color="0000EE"/>
          <w:vertAlign w:val="superscript"/>
          <w:lang w:val="el" w:eastAsia="el"/>
        </w:rPr>
        <w:footnoteReference w:id="446"/>
      </w:r>
    </w:p>
    <w:p>
      <w:pPr>
        <w:pStyle w:val="StructureList1"/>
        <w:spacing w:before="120" w:after="0"/>
        <w:rPr>
          <w:lang w:val="el" w:eastAsia="el"/>
        </w:rPr>
      </w:pPr>
      <w:r>
        <w:rPr>
          <w:b/>
          <w:bCs/>
          <w:lang w:val="el" w:eastAsia="el"/>
        </w:rPr>
        <w:t>α)</w:t>
      </w:r>
      <w:r>
        <w:rPr>
          <w:b/>
          <w:bCs/>
          <w:lang w:val="en" w:eastAsia="en"/>
        </w:rPr>
        <w:tab/>
      </w:r>
      <w:r>
        <w:rPr>
          <w:b/>
          <w:bCs/>
          <w:lang w:val="el" w:eastAsia="el"/>
        </w:rPr>
        <w:t>Ο Προϊστάμενος της Α' Μονάδας της Αρχής, ως Πρόεδρος, με τον αναπληρωτή του που ορίζεται με απόφαση του Προέδρου της Αρχής,</w:t>
      </w:r>
      <w:r>
        <w:rPr>
          <w:rStyle w:val="Hyperlink"/>
          <w:b/>
          <w:bCs/>
          <w:color w:val="000000"/>
          <w:sz w:val="20"/>
          <w:szCs w:val="20"/>
          <w:u w:val="none" w:color="0000EE"/>
          <w:vertAlign w:val="superscript"/>
          <w:lang w:val="el" w:eastAsia="el"/>
        </w:rPr>
        <w:footnoteReference w:id="447"/>
      </w:r>
    </w:p>
    <w:p>
      <w:pPr>
        <w:pStyle w:val="StructureList1"/>
        <w:spacing w:before="120" w:after="0"/>
        <w:rPr>
          <w:lang w:val="el" w:eastAsia="el"/>
        </w:rPr>
      </w:pPr>
      <w:r>
        <w:rPr>
          <w:b/>
          <w:bCs/>
          <w:lang w:val="el" w:eastAsia="el"/>
        </w:rPr>
        <w:t>β)</w:t>
      </w:r>
      <w:r>
        <w:rPr>
          <w:b/>
          <w:bCs/>
          <w:lang w:val="en" w:eastAsia="en"/>
        </w:rPr>
        <w:tab/>
      </w:r>
      <w:r>
        <w:rPr>
          <w:b/>
          <w:bCs/>
          <w:lang w:val="el" w:eastAsia="el"/>
        </w:rPr>
        <w:t>ο Επικεφαλής του Τμήματος Διοικητικής και Οικονομικής Υποστήριξης της Α' Μονάδας της Αρχής με το νόμιμο αναπληρωτή του, που ορίζεται με απόφαση του Προέδρου,</w:t>
      </w:r>
      <w:r>
        <w:rPr>
          <w:rStyle w:val="Hyperlink"/>
          <w:b/>
          <w:bCs/>
          <w:color w:val="000000"/>
          <w:sz w:val="20"/>
          <w:szCs w:val="20"/>
          <w:u w:val="none" w:color="0000EE"/>
          <w:vertAlign w:val="superscript"/>
          <w:lang w:val="el" w:eastAsia="el"/>
        </w:rPr>
        <w:footnoteReference w:id="448"/>
      </w:r>
    </w:p>
    <w:p>
      <w:pPr>
        <w:pStyle w:val="StructureList1"/>
        <w:spacing w:before="120" w:after="0"/>
        <w:rPr>
          <w:lang w:val="el" w:eastAsia="el"/>
        </w:rPr>
      </w:pPr>
      <w:r>
        <w:rPr>
          <w:b/>
          <w:bCs/>
          <w:lang w:val="el" w:eastAsia="el"/>
        </w:rPr>
        <w:t>γ)</w:t>
      </w:r>
      <w:r>
        <w:rPr>
          <w:b/>
          <w:bCs/>
          <w:lang w:val="en" w:eastAsia="en"/>
        </w:rPr>
        <w:tab/>
      </w:r>
      <w:r>
        <w:rPr>
          <w:b/>
          <w:bCs/>
          <w:lang w:val="el" w:eastAsia="el"/>
        </w:rPr>
        <w:t>ο Προϊστάμενος άλλης Μονάδας που ορίζεται μαζί με τον αναπληρωτή του, με κλήρωση και</w:t>
      </w:r>
      <w:r>
        <w:rPr>
          <w:rStyle w:val="Hyperlink"/>
          <w:b/>
          <w:bCs/>
          <w:color w:val="000000"/>
          <w:sz w:val="20"/>
          <w:szCs w:val="20"/>
          <w:u w:val="none" w:color="0000EE"/>
          <w:vertAlign w:val="superscript"/>
          <w:lang w:val="el" w:eastAsia="el"/>
        </w:rPr>
        <w:footnoteReference w:id="449"/>
      </w:r>
    </w:p>
    <w:p>
      <w:pPr>
        <w:pStyle w:val="StructureList1"/>
        <w:spacing w:before="120" w:after="0"/>
        <w:rPr>
          <w:lang w:val="el" w:eastAsia="el"/>
        </w:rPr>
      </w:pPr>
      <w:r>
        <w:rPr>
          <w:b/>
          <w:bCs/>
          <w:lang w:val="el" w:eastAsia="el"/>
        </w:rPr>
        <w:t>δ)</w:t>
      </w:r>
      <w:r>
        <w:rPr>
          <w:b/>
          <w:bCs/>
          <w:lang w:val="en" w:eastAsia="en"/>
        </w:rPr>
        <w:tab/>
      </w:r>
      <w:r>
        <w:rPr>
          <w:b/>
          <w:bCs/>
          <w:lang w:val="el" w:eastAsia="el"/>
        </w:rPr>
        <w:t>δύο (2) αιρετοί εκπρόσωποι του προσωπικού της Αρχής που έχουν οργανική θέση στον φορέα με τους αναπληρωτές τους κατά τη σειρά εκλογής τους. Μέχρι τη διενέργεια εκλογών ανάδειξης αιρετών εκπροσώπων, το Υπηρεσιακό Συμβούλιο του παρόντος λειτουργεί νόμιμα με τα τρία (3) τακτικά μέλη.</w:t>
      </w:r>
      <w:r>
        <w:rPr>
          <w:rStyle w:val="Hyperlink"/>
          <w:b/>
          <w:bCs/>
          <w:color w:val="000000"/>
          <w:sz w:val="20"/>
          <w:szCs w:val="20"/>
          <w:u w:val="none" w:color="0000EE"/>
          <w:vertAlign w:val="superscript"/>
          <w:lang w:val="el" w:eastAsia="el"/>
        </w:rPr>
        <w:footnoteReference w:id="45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Άσκηση αρμοδιοτήτων από την Α.Α.Δ.Ε. ως αρχή του άρθρου 6 </w:t>
      </w:r>
    </w:p>
    <w:p>
      <w:pPr>
        <w:spacing w:before="240" w:after="240"/>
        <w:rPr>
          <w:lang w:val="el" w:eastAsia="el"/>
        </w:rPr>
      </w:pPr>
      <w:r>
        <w:rPr>
          <w:b/>
          <w:bCs/>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 xml:space="preserve">Μεταβατικές διατάξεις </w:t>
      </w:r>
    </w:p>
    <w:p>
      <w:pPr>
        <w:pStyle w:val="MainText"/>
        <w:spacing w:before="120" w:after="0"/>
        <w:rPr>
          <w:lang w:val="el" w:eastAsia="el"/>
        </w:rPr>
      </w:pPr>
      <w:r>
        <w:rPr>
          <w:b/>
          <w:bCs/>
          <w:lang w:val="el" w:eastAsia="el"/>
        </w:rPr>
        <w:t>1.</w:t>
      </w:r>
      <w:r>
        <w:rPr>
          <w:b/>
          <w:bCs/>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b/>
          <w:bCs/>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b/>
          <w:bCs/>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b/>
          <w:bCs/>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b/>
          <w:bCs/>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b/>
          <w:bCs/>
          <w:lang w:val="el" w:eastAsia="el"/>
        </w:rPr>
        <w:t xml:space="preserve"> Με την έναρξη ισχύος του παρόντος καταργούνται: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άρθρα 1 έως και 54 του Ν. 3691/2008,</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62Α του Ν. 4170/2013 (Α΄163),</w:t>
      </w:r>
    </w:p>
    <w:p>
      <w:pPr>
        <w:pStyle w:val="StructureList1"/>
        <w:spacing w:before="120" w:after="0"/>
        <w:rPr>
          <w:lang w:val="el" w:eastAsia="el"/>
        </w:rPr>
      </w:pPr>
      <w:r>
        <w:rPr>
          <w:b/>
          <w:bCs/>
          <w:lang w:val="el" w:eastAsia="el"/>
        </w:rPr>
        <w:t>γ)</w:t>
      </w:r>
      <w:r>
        <w:rPr>
          <w:b/>
          <w:bCs/>
          <w:lang w:val="en" w:eastAsia="en"/>
        </w:rPr>
        <w:tab/>
      </w:r>
      <w:r>
        <w:rPr>
          <w:b/>
          <w:bCs/>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b/>
          <w:bCs/>
          <w:lang w:val="el" w:eastAsia="el"/>
        </w:rPr>
        <w:t xml:space="preserve">Άρθρο 55. </w:t>
      </w:r>
    </w:p>
    <w:p>
      <w:pPr>
        <w:spacing w:before="240" w:after="240"/>
        <w:rPr>
          <w:lang w:val="el" w:eastAsia="el"/>
        </w:rPr>
      </w:pPr>
      <w:r>
        <w:rPr>
          <w:b/>
          <w:bCs/>
          <w:lang w:val="el" w:eastAsia="el"/>
        </w:rPr>
        <w:t>Μετά το άρθρο 3 του Ν. 4182/2013 (Α΄ 185) προστίθεται άρθρο 3Α, ως εξής:</w:t>
      </w:r>
    </w:p>
    <w:p>
      <w:pPr>
        <w:spacing w:before="240" w:after="240"/>
        <w:rPr>
          <w:lang w:val="el" w:eastAsia="el"/>
        </w:rPr>
      </w:pPr>
      <w:r>
        <w:rPr>
          <w:b/>
          <w:bCs/>
          <w:lang w:val="el" w:eastAsia="el"/>
        </w:rPr>
        <w:t>« Άρθρο 3Α</w:t>
      </w:r>
    </w:p>
    <w:p>
      <w:pPr>
        <w:spacing w:before="240" w:after="240"/>
        <w:rPr>
          <w:lang w:val="el" w:eastAsia="el"/>
        </w:rPr>
      </w:pPr>
      <w:r>
        <w:rPr>
          <w:b/>
          <w:bCs/>
          <w:lang w:val="el" w:eastAsia="el"/>
        </w:rPr>
        <w:t>Ρύθμιση θεμάτων δωρεών προς φορείς δημόσιου τομέα</w:t>
      </w:r>
    </w:p>
    <w:p>
      <w:pPr>
        <w:spacing w:before="240" w:after="240"/>
        <w:rPr>
          <w:lang w:val="el" w:eastAsia="el"/>
        </w:rPr>
      </w:pPr>
      <w:r>
        <w:rPr>
          <w:b/>
          <w:bCs/>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b/>
          <w:bCs/>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b/>
          <w:bCs/>
          <w:lang w:val="el" w:eastAsia="el"/>
        </w:rPr>
        <w:t>β. Η δαπάνη, η οποία καλύπτεται εξ ολοκλήρου από τον δωρητή.</w:t>
      </w:r>
    </w:p>
    <w:p>
      <w:pPr>
        <w:spacing w:before="240" w:after="240"/>
        <w:rPr>
          <w:lang w:val="el" w:eastAsia="el"/>
        </w:rPr>
      </w:pPr>
      <w:r>
        <w:rPr>
          <w:b/>
          <w:bCs/>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b/>
          <w:bCs/>
          <w:lang w:val="el" w:eastAsia="el"/>
        </w:rPr>
        <w:t>αα) η σύνταξη τεχνικών προδιαγραφών,</w:t>
      </w:r>
    </w:p>
    <w:p>
      <w:pPr>
        <w:spacing w:before="240" w:after="240"/>
        <w:rPr>
          <w:lang w:val="el" w:eastAsia="el"/>
        </w:rPr>
      </w:pPr>
      <w:r>
        <w:rPr>
          <w:b/>
          <w:bCs/>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b/>
          <w:bCs/>
          <w:lang w:val="el" w:eastAsia="el"/>
        </w:rPr>
        <w:t>γγ) η έρευνα αγοράς και η υποβολή στον δωρητή τουλάχιστον τριών (3) προσφορών,</w:t>
      </w:r>
    </w:p>
    <w:p>
      <w:pPr>
        <w:spacing w:before="240" w:after="240"/>
        <w:rPr>
          <w:lang w:val="el" w:eastAsia="el"/>
        </w:rPr>
      </w:pPr>
      <w:r>
        <w:rPr>
          <w:b/>
          <w:bCs/>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b/>
          <w:bCs/>
          <w:lang w:val="el" w:eastAsia="el"/>
        </w:rPr>
        <w:t>εε) η εφαρμογή κανόνων ακεραιότητας,</w:t>
      </w:r>
    </w:p>
    <w:p>
      <w:pPr>
        <w:spacing w:before="240" w:after="240"/>
        <w:rPr>
          <w:lang w:val="el" w:eastAsia="el"/>
        </w:rPr>
      </w:pPr>
      <w:r>
        <w:rPr>
          <w:b/>
          <w:bCs/>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b/>
          <w:bCs/>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b/>
          <w:bCs/>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b/>
          <w:bCs/>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b/>
          <w:bCs/>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b/>
          <w:bCs/>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b/>
          <w:bCs/>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b/>
          <w:bCs/>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b/>
          <w:bCs/>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b/>
          <w:bCs/>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b/>
          <w:bCs/>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b/>
          <w:bCs/>
          <w:lang w:val="el" w:eastAsia="el"/>
        </w:rPr>
        <w:t>Άρθρο 56.</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1.</w:t>
      </w:r>
      <w:r>
        <w:rPr>
          <w:b/>
          <w:bCs/>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2.</w:t>
      </w:r>
      <w:r>
        <w:rPr>
          <w:b/>
          <w:bCs/>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3.</w:t>
      </w:r>
      <w:r>
        <w:rPr>
          <w:b/>
          <w:bCs/>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4.</w:t>
      </w:r>
      <w:r>
        <w:rPr>
          <w:b/>
          <w:bCs/>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b/>
          <w:bCs/>
          <w:color w:val="000000"/>
          <w:sz w:val="20"/>
          <w:szCs w:val="20"/>
          <w:u w:val="none" w:color="0000EE"/>
          <w:vertAlign w:val="superscript"/>
          <w:lang w:val="el" w:eastAsia="el"/>
        </w:rPr>
        <w:footnoteReference w:id="455"/>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b/>
          <w:bCs/>
          <w:lang w:val="el" w:eastAsia="el"/>
        </w:rPr>
        <w:t xml:space="preserve"> Μετά το άρθρο 66 του π.δ. 21/31.10.1932 (Α΄ 387) προστίθεται νέο άρθρο 66Α, ως εξής:</w:t>
      </w:r>
    </w:p>
    <w:p>
      <w:pPr>
        <w:spacing w:before="240" w:after="240"/>
        <w:rPr>
          <w:lang w:val="el" w:eastAsia="el"/>
        </w:rPr>
      </w:pPr>
      <w:r>
        <w:rPr>
          <w:b/>
          <w:bCs/>
          <w:lang w:val="el" w:eastAsia="el"/>
        </w:rPr>
        <w:t>« Άρθρο 66Α</w:t>
      </w:r>
    </w:p>
    <w:p>
      <w:pPr>
        <w:spacing w:before="240" w:after="240"/>
        <w:rPr>
          <w:lang w:val="el" w:eastAsia="el"/>
        </w:rPr>
      </w:pPr>
      <w:r>
        <w:rPr>
          <w:b/>
          <w:bCs/>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b/>
          <w:bCs/>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b/>
          <w:bCs/>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b/>
          <w:bCs/>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b/>
          <w:bCs/>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b/>
          <w:bCs/>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b/>
          <w:bCs/>
          <w:lang w:val="el" w:eastAsia="el"/>
        </w:rPr>
        <w:t xml:space="preserve"> Στην παρ. 4 του άρθρου 70 του π.δ. 21/31.10.1932 προστίθεται δεύτερο εδάφιο, ως εξής:</w:t>
      </w:r>
    </w:p>
    <w:p>
      <w:pPr>
        <w:spacing w:before="240" w:after="240"/>
        <w:rPr>
          <w:lang w:val="el" w:eastAsia="el"/>
        </w:rPr>
      </w:pPr>
      <w:r>
        <w:rPr>
          <w:b/>
          <w:bCs/>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b/>
          <w:bCs/>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b/>
          <w:bCs/>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b/>
          <w:bCs/>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b/>
          <w:bCs/>
          <w:lang w:val="el" w:eastAsia="el"/>
        </w:rPr>
        <w:t>α. Υπάλληλοι Κατηγορίας Πανεπιστημιακής Εκπαίδευσης:</w:t>
      </w:r>
    </w:p>
    <w:p>
      <w:pPr>
        <w:spacing w:before="240" w:after="240"/>
        <w:rPr>
          <w:lang w:val="el" w:eastAsia="el"/>
        </w:rPr>
      </w:pPr>
      <w:r>
        <w:rPr>
          <w:b/>
          <w:bCs/>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b/>
          <w:bCs/>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b/>
          <w:bCs/>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b/>
          <w:bCs/>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b/>
          <w:bCs/>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b/>
          <w:bCs/>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b/>
          <w:bCs/>
          <w:lang w:val="el" w:eastAsia="el"/>
        </w:rPr>
        <w:t>β. Υπάλληλοι Κατηγορίας Τεχνολογικής Εκπαίδευσης:</w:t>
      </w:r>
    </w:p>
    <w:p>
      <w:pPr>
        <w:spacing w:before="240" w:after="240"/>
        <w:rPr>
          <w:lang w:val="el" w:eastAsia="el"/>
        </w:rPr>
      </w:pPr>
      <w:r>
        <w:rPr>
          <w:b/>
          <w:bCs/>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b/>
          <w:bCs/>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b/>
          <w:bCs/>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b/>
          <w:bCs/>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b/>
          <w:bCs/>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b/>
          <w:bCs/>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b/>
          <w:bCs/>
          <w:lang w:val="el" w:eastAsia="el"/>
        </w:rPr>
        <w:t>γ. Υπάλληλοι Κατηγορίας Δευτεροβάθμιας Εκπαίδευσης:</w:t>
      </w:r>
    </w:p>
    <w:p>
      <w:pPr>
        <w:spacing w:before="240" w:after="240"/>
        <w:rPr>
          <w:lang w:val="el" w:eastAsia="el"/>
        </w:rPr>
      </w:pPr>
      <w:r>
        <w:rPr>
          <w:b/>
          <w:bCs/>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b/>
          <w:bCs/>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b/>
          <w:bCs/>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b/>
          <w:bCs/>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b/>
          <w:bCs/>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b/>
          <w:bCs/>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b/>
          <w:bCs/>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Υπολογισμός καταβαλλόμενων μερισμάτων από το Μετοχικό Ταμείο Αεροπορίας</w:t>
      </w:r>
    </w:p>
    <w:p>
      <w:pPr>
        <w:spacing w:before="240" w:after="240"/>
        <w:rPr>
          <w:lang w:val="el" w:eastAsia="el"/>
        </w:rPr>
      </w:pPr>
      <w:r>
        <w:rPr>
          <w:b/>
          <w:bCs/>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b/>
          <w:bCs/>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b/>
          <w:bCs/>
          <w:lang w:val="el" w:eastAsia="el"/>
        </w:rPr>
        <w:t>αα. Α΄ Κατηγορία μισθολογικής κατάταξης:</w:t>
      </w:r>
    </w:p>
    <w:p>
      <w:pPr>
        <w:spacing w:before="240" w:after="240"/>
        <w:rPr>
          <w:lang w:val="el" w:eastAsia="el"/>
        </w:rPr>
      </w:pPr>
      <w:r>
        <w:rPr>
          <w:b/>
          <w:bCs/>
          <w:lang w:val="el" w:eastAsia="el"/>
        </w:rPr>
        <w:t>(1) Αρχηγός Γ.Ε.ΕΘ.Α. (Κλιμάκιο 1): μερίδια 36.</w:t>
      </w:r>
    </w:p>
    <w:p>
      <w:pPr>
        <w:spacing w:before="240" w:after="240"/>
        <w:rPr>
          <w:lang w:val="el" w:eastAsia="el"/>
        </w:rPr>
      </w:pPr>
      <w:r>
        <w:rPr>
          <w:b/>
          <w:bCs/>
          <w:lang w:val="el" w:eastAsia="el"/>
        </w:rPr>
        <w:t>(2) Αρχηγός Γ.Ε.Α. (Κλιμάκιο 2): μερίδια 35.</w:t>
      </w:r>
    </w:p>
    <w:p>
      <w:pPr>
        <w:spacing w:before="240" w:after="240"/>
        <w:rPr>
          <w:lang w:val="el" w:eastAsia="el"/>
        </w:rPr>
      </w:pPr>
      <w:r>
        <w:rPr>
          <w:b/>
          <w:bCs/>
          <w:lang w:val="el" w:eastAsia="el"/>
        </w:rPr>
        <w:t>(3) Αρχηγός Α.Τ.Α. (Κλιμάκιο 3): μερίδια 34.</w:t>
      </w:r>
    </w:p>
    <w:p>
      <w:pPr>
        <w:spacing w:before="240" w:after="240"/>
        <w:rPr>
          <w:lang w:val="el" w:eastAsia="el"/>
        </w:rPr>
      </w:pPr>
      <w:r>
        <w:rPr>
          <w:b/>
          <w:bCs/>
          <w:lang w:val="el" w:eastAsia="el"/>
        </w:rPr>
        <w:t>(4) Αντιπτέραρχος: μερίδια 33,5 για τα Κλιμάκια 4 και 5.</w:t>
      </w:r>
    </w:p>
    <w:p>
      <w:pPr>
        <w:spacing w:before="240" w:after="240"/>
        <w:rPr>
          <w:lang w:val="el" w:eastAsia="el"/>
        </w:rPr>
      </w:pPr>
      <w:r>
        <w:rPr>
          <w:b/>
          <w:bCs/>
          <w:lang w:val="el" w:eastAsia="el"/>
        </w:rPr>
        <w:t>(5) Υποπτέραρχος: μερίδια 32,3 για τα Κλιμάκια 5 και 6 και μερίδια 32 για τα Κλιμάκια 7 έως 9.</w:t>
      </w:r>
    </w:p>
    <w:p>
      <w:pPr>
        <w:spacing w:before="240" w:after="240"/>
        <w:rPr>
          <w:lang w:val="el" w:eastAsia="el"/>
        </w:rPr>
      </w:pPr>
      <w:r>
        <w:rPr>
          <w:b/>
          <w:bCs/>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b/>
          <w:bCs/>
          <w:lang w:val="el" w:eastAsia="el"/>
        </w:rPr>
        <w:t>(7) Σμήναρχος: μερίδια 30 για τα Κλιμάκια 7 έως 11, και μερίδια 28 για τα Κλιμάκια 12 έως 19.</w:t>
      </w:r>
    </w:p>
    <w:p>
      <w:pPr>
        <w:spacing w:before="240" w:after="240"/>
        <w:rPr>
          <w:lang w:val="el" w:eastAsia="el"/>
        </w:rPr>
      </w:pPr>
      <w:r>
        <w:rPr>
          <w:b/>
          <w:bCs/>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b/>
          <w:bCs/>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b/>
          <w:bCs/>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b/>
          <w:bCs/>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b/>
          <w:bCs/>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b/>
          <w:bCs/>
          <w:lang w:val="el" w:eastAsia="el"/>
        </w:rPr>
        <w:t>ββ. Β΄ Κατηγορία μισθολογικής κατάταξης:</w:t>
      </w:r>
    </w:p>
    <w:p>
      <w:pPr>
        <w:spacing w:before="240" w:after="240"/>
        <w:rPr>
          <w:lang w:val="el" w:eastAsia="el"/>
        </w:rPr>
      </w:pPr>
      <w:r>
        <w:rPr>
          <w:b/>
          <w:bCs/>
          <w:lang w:val="el" w:eastAsia="el"/>
        </w:rPr>
        <w:t>(1) Σμήναρχος: μερίδια 27 για τα Κλιμάκια 1 και 2.</w:t>
      </w:r>
    </w:p>
    <w:p>
      <w:pPr>
        <w:spacing w:before="240" w:after="240"/>
        <w:rPr>
          <w:lang w:val="el" w:eastAsia="el"/>
        </w:rPr>
      </w:pPr>
      <w:r>
        <w:rPr>
          <w:b/>
          <w:bCs/>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b/>
          <w:bCs/>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b/>
          <w:bCs/>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b/>
          <w:bCs/>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b/>
          <w:bCs/>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b/>
          <w:bCs/>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b/>
          <w:bCs/>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b/>
          <w:bCs/>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b/>
          <w:bCs/>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b/>
          <w:bCs/>
          <w:lang w:val="el" w:eastAsia="el"/>
        </w:rPr>
        <w:t>γγ. Γ΄ Κατηγορία μισθολογικής κατάταξης:</w:t>
      </w:r>
    </w:p>
    <w:p>
      <w:pPr>
        <w:spacing w:before="240" w:after="240"/>
        <w:rPr>
          <w:lang w:val="el" w:eastAsia="el"/>
        </w:rPr>
      </w:pPr>
      <w:r>
        <w:rPr>
          <w:b/>
          <w:bCs/>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b/>
          <w:bCs/>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b/>
          <w:bCs/>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b/>
          <w:bCs/>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b/>
          <w:bCs/>
          <w:lang w:val="el" w:eastAsia="el"/>
        </w:rPr>
        <w:t>(5) Υποσμηνίας: μερίδια 10 για τα Κλιμάκια 18 και 19 και μερίδια 7 για τα Κλιμάκια 20 και 21.</w:t>
      </w:r>
    </w:p>
    <w:p>
      <w:pPr>
        <w:spacing w:before="240" w:after="240"/>
        <w:rPr>
          <w:lang w:val="el" w:eastAsia="el"/>
        </w:rPr>
      </w:pPr>
      <w:r>
        <w:rPr>
          <w:b/>
          <w:bCs/>
          <w:lang w:val="el" w:eastAsia="el"/>
        </w:rPr>
        <w:t>(6) Σμηνίτης: μερίδια 6 για τα Κλιμάκια 20 έως 22.</w:t>
      </w:r>
    </w:p>
    <w:p>
      <w:pPr>
        <w:spacing w:before="240" w:after="240"/>
        <w:rPr>
          <w:lang w:val="el" w:eastAsia="el"/>
        </w:rPr>
      </w:pPr>
      <w:r>
        <w:rPr>
          <w:b/>
          <w:bCs/>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b/>
          <w:bCs/>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b/>
          <w:bCs/>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b/>
          <w:bCs/>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b/>
          <w:bCs/>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b/>
          <w:bCs/>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b/>
          <w:bCs/>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b/>
          <w:bCs/>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Τροποποίηση του άρθρου 26 του Ν. 4258/2014 (Α΄ 94)</w:t>
      </w:r>
    </w:p>
    <w:p>
      <w:pPr>
        <w:spacing w:before="240" w:after="240"/>
        <w:rPr>
          <w:lang w:val="el" w:eastAsia="el"/>
        </w:rPr>
      </w:pPr>
      <w:r>
        <w:rPr>
          <w:b/>
          <w:bCs/>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b/>
          <w:bCs/>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b/>
          <w:bCs/>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Τροποποίηση του άρθρου 32 του Ν. 4361/2016</w:t>
      </w:r>
    </w:p>
    <w:p>
      <w:pPr>
        <w:spacing w:before="240" w:after="240"/>
        <w:rPr>
          <w:lang w:val="el" w:eastAsia="el"/>
        </w:rPr>
      </w:pPr>
      <w:r>
        <w:rPr>
          <w:b/>
          <w:bCs/>
          <w:lang w:val="el" w:eastAsia="el"/>
        </w:rPr>
        <w:t>Στο άρθρο 32 του Ν. 4361/2016, όπως ισχύει, προστίθεται νέα παράγραφος 7 ως εξής:</w:t>
      </w:r>
    </w:p>
    <w:p>
      <w:pPr>
        <w:spacing w:before="240" w:after="240"/>
        <w:rPr>
          <w:lang w:val="el" w:eastAsia="el"/>
        </w:rPr>
      </w:pPr>
      <w:r>
        <w:rPr>
          <w:b/>
          <w:bCs/>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b/>
          <w:bCs/>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Τροποποίηση του α . ν . 1920/1939</w:t>
      </w:r>
    </w:p>
    <w:p>
      <w:pPr>
        <w:pStyle w:val="MainText"/>
        <w:spacing w:before="120" w:after="0"/>
        <w:rPr>
          <w:lang w:val="el" w:eastAsia="el"/>
        </w:rPr>
      </w:pPr>
      <w:r>
        <w:rPr>
          <w:b/>
          <w:bCs/>
          <w:lang w:val="el" w:eastAsia="el"/>
        </w:rPr>
        <w:t>1.</w:t>
      </w:r>
      <w:r>
        <w:rPr>
          <w:b/>
          <w:bCs/>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b/>
          <w:bCs/>
          <w:lang w:val="el" w:eastAsia="el"/>
        </w:rPr>
        <w:t>«Άρθρο 3</w:t>
      </w:r>
    </w:p>
    <w:p>
      <w:pPr>
        <w:spacing w:before="240" w:after="240"/>
        <w:rPr>
          <w:lang w:val="el" w:eastAsia="el"/>
        </w:rPr>
      </w:pPr>
      <w:r>
        <w:rPr>
          <w:b/>
          <w:bCs/>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b/>
          <w:bCs/>
          <w:lang w:val="el" w:eastAsia="el"/>
        </w:rPr>
        <w:t>1) τον Υπουργό Εξωτερικών,</w:t>
      </w:r>
    </w:p>
    <w:p>
      <w:pPr>
        <w:spacing w:before="240" w:after="240"/>
        <w:rPr>
          <w:lang w:val="el" w:eastAsia="el"/>
        </w:rPr>
      </w:pPr>
      <w:r>
        <w:rPr>
          <w:b/>
          <w:bCs/>
          <w:lang w:val="el" w:eastAsia="el"/>
        </w:rPr>
        <w:t>2) τον Υπουργό Οικονομίας και Ανάπτυξης,</w:t>
      </w:r>
    </w:p>
    <w:p>
      <w:pPr>
        <w:spacing w:before="240" w:after="240"/>
        <w:rPr>
          <w:lang w:val="el" w:eastAsia="el"/>
        </w:rPr>
      </w:pPr>
      <w:r>
        <w:rPr>
          <w:b/>
          <w:bCs/>
          <w:lang w:val="el" w:eastAsia="el"/>
        </w:rPr>
        <w:t>3) τον Υπουργό Πολιτισμού και Αθλητισμού,</w:t>
      </w:r>
    </w:p>
    <w:p>
      <w:pPr>
        <w:spacing w:before="240" w:after="240"/>
        <w:rPr>
          <w:lang w:val="el" w:eastAsia="el"/>
        </w:rPr>
      </w:pPr>
      <w:r>
        <w:rPr>
          <w:b/>
          <w:bCs/>
          <w:lang w:val="el" w:eastAsia="el"/>
        </w:rPr>
        <w:t>4) τον Υπουργό Αγροτικής Ανάπτυξης και Τροφίμων,</w:t>
      </w:r>
    </w:p>
    <w:p>
      <w:pPr>
        <w:spacing w:before="240" w:after="240"/>
        <w:rPr>
          <w:lang w:val="el" w:eastAsia="el"/>
        </w:rPr>
      </w:pPr>
      <w:r>
        <w:rPr>
          <w:b/>
          <w:bCs/>
          <w:lang w:val="el" w:eastAsia="el"/>
        </w:rPr>
        <w:t>5) τον Υπουργό Τουρισμού,</w:t>
      </w:r>
    </w:p>
    <w:p>
      <w:pPr>
        <w:spacing w:before="240" w:after="240"/>
        <w:rPr>
          <w:lang w:val="el" w:eastAsia="el"/>
        </w:rPr>
      </w:pPr>
      <w:r>
        <w:rPr>
          <w:b/>
          <w:bCs/>
          <w:lang w:val="el" w:eastAsia="el"/>
        </w:rPr>
        <w:t>6) τον Γενικό Γραμματέα της Περιφέρειας Αττικής,</w:t>
      </w:r>
    </w:p>
    <w:p>
      <w:pPr>
        <w:spacing w:before="240" w:after="240"/>
        <w:rPr>
          <w:lang w:val="el" w:eastAsia="el"/>
        </w:rPr>
      </w:pPr>
      <w:r>
        <w:rPr>
          <w:b/>
          <w:bCs/>
          <w:lang w:val="el" w:eastAsia="el"/>
        </w:rPr>
        <w:t>7) τον Δήμαρχο Αθηναίων,</w:t>
      </w:r>
    </w:p>
    <w:p>
      <w:pPr>
        <w:spacing w:before="240" w:after="240"/>
        <w:rPr>
          <w:lang w:val="el" w:eastAsia="el"/>
        </w:rPr>
      </w:pPr>
      <w:r>
        <w:rPr>
          <w:b/>
          <w:bCs/>
          <w:lang w:val="el" w:eastAsia="el"/>
        </w:rPr>
        <w:t>8) τον Δικηγορικό Σύλλογο Αθηνών,</w:t>
      </w:r>
    </w:p>
    <w:p>
      <w:pPr>
        <w:spacing w:before="240" w:after="240"/>
        <w:rPr>
          <w:lang w:val="el" w:eastAsia="el"/>
        </w:rPr>
      </w:pPr>
      <w:r>
        <w:rPr>
          <w:b/>
          <w:bCs/>
          <w:lang w:val="el" w:eastAsia="el"/>
        </w:rPr>
        <w:t>9) το Εθνικό Μετσόβιο Πολυτεχνείο,</w:t>
      </w:r>
    </w:p>
    <w:p>
      <w:pPr>
        <w:spacing w:before="240" w:after="240"/>
        <w:rPr>
          <w:lang w:val="el" w:eastAsia="el"/>
        </w:rPr>
      </w:pPr>
      <w:r>
        <w:rPr>
          <w:b/>
          <w:bCs/>
          <w:lang w:val="el" w:eastAsia="el"/>
        </w:rPr>
        <w:t>10) το Γεωπονικό Πανεπιστήμιο Αθηνών,</w:t>
      </w:r>
    </w:p>
    <w:p>
      <w:pPr>
        <w:spacing w:before="240" w:after="240"/>
        <w:rPr>
          <w:lang w:val="el" w:eastAsia="el"/>
        </w:rPr>
      </w:pPr>
      <w:r>
        <w:rPr>
          <w:b/>
          <w:bCs/>
          <w:lang w:val="el" w:eastAsia="el"/>
        </w:rPr>
        <w:t>11) το Οικονομικό Πανεπιστήμιο Αθηνών,</w:t>
      </w:r>
    </w:p>
    <w:p>
      <w:pPr>
        <w:spacing w:before="240" w:after="240"/>
        <w:rPr>
          <w:lang w:val="el" w:eastAsia="el"/>
        </w:rPr>
      </w:pPr>
      <w:r>
        <w:rPr>
          <w:b/>
          <w:bCs/>
          <w:lang w:val="el" w:eastAsia="el"/>
        </w:rPr>
        <w:t>12) την Ανώτατη Σχολή Καλών Τεχνών,</w:t>
      </w:r>
    </w:p>
    <w:p>
      <w:pPr>
        <w:spacing w:before="240" w:after="240"/>
        <w:rPr>
          <w:lang w:val="el" w:eastAsia="el"/>
        </w:rPr>
      </w:pPr>
      <w:r>
        <w:rPr>
          <w:b/>
          <w:bCs/>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b/>
          <w:bCs/>
          <w:lang w:val="el" w:eastAsia="el"/>
        </w:rPr>
        <w:t>14) τον Εμπορικό Σύλλογο Αθηνών,</w:t>
      </w:r>
    </w:p>
    <w:p>
      <w:pPr>
        <w:spacing w:before="240" w:after="240"/>
        <w:rPr>
          <w:lang w:val="el" w:eastAsia="el"/>
        </w:rPr>
      </w:pPr>
      <w:r>
        <w:rPr>
          <w:b/>
          <w:bCs/>
          <w:lang w:val="el" w:eastAsia="el"/>
        </w:rPr>
        <w:t>15) το Σύνδεσμο των εν Ελλάδι Τουριστικών και Ταξιδιωτικών Γραφείων,</w:t>
      </w:r>
    </w:p>
    <w:p>
      <w:pPr>
        <w:spacing w:before="240" w:after="240"/>
        <w:rPr>
          <w:lang w:val="el" w:eastAsia="el"/>
        </w:rPr>
      </w:pPr>
      <w:r>
        <w:rPr>
          <w:b/>
          <w:bCs/>
          <w:lang w:val="el" w:eastAsia="el"/>
        </w:rPr>
        <w:t>16) την Πανηπειρωτική Ομοσπονδία Ελλάδας.</w:t>
      </w:r>
    </w:p>
    <w:p>
      <w:pPr>
        <w:spacing w:before="240" w:after="240"/>
        <w:rPr>
          <w:lang w:val="el" w:eastAsia="el"/>
        </w:rPr>
      </w:pPr>
      <w:r>
        <w:rPr>
          <w:b/>
          <w:bCs/>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b/>
          <w:bCs/>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b/>
          <w:bCs/>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b/>
          <w:bCs/>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b/>
          <w:bCs/>
          <w:lang w:val="el" w:eastAsia="el"/>
        </w:rPr>
        <w:t xml:space="preserve"> Η παρ. 1 του άρθρου 23 του α.ν. 1920/1939 αντικαθίσταται ως εξής:</w:t>
      </w:r>
    </w:p>
    <w:p>
      <w:pPr>
        <w:spacing w:before="240" w:after="240"/>
        <w:rPr>
          <w:lang w:val="el" w:eastAsia="el"/>
        </w:rPr>
      </w:pPr>
      <w:r>
        <w:rPr>
          <w:b/>
          <w:bCs/>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b/>
          <w:bCs/>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b/>
          <w:bCs/>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b/>
          <w:bCs/>
          <w:lang w:val="el" w:eastAsia="el"/>
        </w:rPr>
        <w:t xml:space="preserve"> Οι παράγραφοι 1 και 2 του άρθρου 25 του α.ν. 1920/1939, αντικαθίστανται ως εξής:</w:t>
      </w:r>
    </w:p>
    <w:p>
      <w:pPr>
        <w:spacing w:before="240" w:after="240"/>
        <w:rPr>
          <w:lang w:val="el" w:eastAsia="el"/>
        </w:rPr>
      </w:pPr>
      <w:r>
        <w:rPr>
          <w:b/>
          <w:bCs/>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b/>
          <w:bCs/>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b/>
          <w:bCs/>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b/>
          <w:bCs/>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b/>
          <w:bCs/>
          <w:lang w:val="el" w:eastAsia="el"/>
        </w:rPr>
        <w:t xml:space="preserve"> Στο τέλος της παρ. 4 του άρθρου 26 του α.ν. 1920/1939 προστίθενται εδάφια ως εξής:</w:t>
      </w:r>
    </w:p>
    <w:p>
      <w:pPr>
        <w:spacing w:before="240" w:after="240"/>
        <w:rPr>
          <w:lang w:val="el" w:eastAsia="el"/>
        </w:rPr>
      </w:pPr>
      <w:r>
        <w:rPr>
          <w:b/>
          <w:bCs/>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b/>
          <w:bCs/>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b/>
          <w:bCs/>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b/>
          <w:bCs/>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b/>
          <w:bCs/>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Τροποποίηση του άρθρου 30 του Ν. 3296/2004</w:t>
      </w:r>
    </w:p>
    <w:p>
      <w:pPr>
        <w:pStyle w:val="MainText"/>
        <w:spacing w:before="120" w:after="0"/>
        <w:rPr>
          <w:lang w:val="el" w:eastAsia="el"/>
        </w:rPr>
      </w:pPr>
      <w:r>
        <w:rPr>
          <w:b/>
          <w:bCs/>
          <w:lang w:val="el" w:eastAsia="el"/>
        </w:rPr>
        <w:t>1.</w:t>
      </w:r>
      <w:r>
        <w:rPr>
          <w:b/>
          <w:bCs/>
          <w:lang w:val="el" w:eastAsia="el"/>
        </w:rPr>
        <w:t xml:space="preserve"> Η περίπτωση ε΄ της παρ. 5 του άρθρου 30 του Ν. 3296/2004 (Α΄ 253) αντικαθίσταται ως εξής:</w:t>
      </w:r>
    </w:p>
    <w:p>
      <w:pPr>
        <w:spacing w:before="240" w:after="240"/>
        <w:rPr>
          <w:lang w:val="el" w:eastAsia="el"/>
        </w:rPr>
      </w:pPr>
      <w:r>
        <w:rPr>
          <w:b/>
          <w:bCs/>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b/>
          <w:bCs/>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b/>
          <w:bCs/>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b/>
          <w:bCs/>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b/>
          <w:bCs/>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b/>
          <w:bCs/>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b/>
          <w:bCs/>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b/>
          <w:bCs/>
          <w:lang w:val="el" w:eastAsia="el"/>
        </w:rPr>
        <w:t>ββ)</w:t>
      </w:r>
      <w:r>
        <w:rPr>
          <w:b/>
          <w:bCs/>
          <w:lang w:val="en" w:eastAsia="en"/>
        </w:rPr>
        <w:tab/>
      </w:r>
      <w:r>
        <w:rPr>
          <w:b/>
          <w:bCs/>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b/>
          <w:bCs/>
          <w:lang w:val="el" w:eastAsia="el"/>
        </w:rPr>
        <w:t>γγ)</w:t>
      </w:r>
      <w:r>
        <w:rPr>
          <w:b/>
          <w:bCs/>
          <w:lang w:val="en" w:eastAsia="en"/>
        </w:rPr>
        <w:tab/>
      </w:r>
      <w:r>
        <w:rPr>
          <w:b/>
          <w:bCs/>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b/>
          <w:bCs/>
          <w:lang w:val="el" w:eastAsia="el"/>
        </w:rPr>
        <w:t>δδ)</w:t>
      </w:r>
      <w:r>
        <w:rPr>
          <w:b/>
          <w:bCs/>
          <w:lang w:val="en" w:eastAsia="en"/>
        </w:rPr>
        <w:tab/>
      </w:r>
      <w:r>
        <w:rPr>
          <w:b/>
          <w:bCs/>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b/>
          <w:bCs/>
          <w:lang w:val="el" w:eastAsia="el"/>
        </w:rPr>
        <w:t>εε)</w:t>
      </w:r>
      <w:r>
        <w:rPr>
          <w:b/>
          <w:bCs/>
          <w:lang w:val="en" w:eastAsia="en"/>
        </w:rPr>
        <w:tab/>
      </w:r>
      <w:r>
        <w:rPr>
          <w:b/>
          <w:bCs/>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b/>
          <w:bCs/>
          <w:lang w:val="el" w:eastAsia="el"/>
        </w:rPr>
        <w:t xml:space="preserve"> Στο τέλος της παρ. 6 του άρθρου 30 του Ν. 3296/2004 προστίθεται εδάφιο, ως εξής:</w:t>
      </w:r>
    </w:p>
    <w:p>
      <w:pPr>
        <w:spacing w:before="240" w:after="240"/>
        <w:rPr>
          <w:lang w:val="el" w:eastAsia="el"/>
        </w:rPr>
      </w:pPr>
      <w:r>
        <w:rPr>
          <w:b/>
          <w:bCs/>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b/>
          <w:bCs/>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b/>
          <w:bCs/>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b/>
          <w:bCs/>
          <w:lang w:val="el" w:eastAsia="el"/>
        </w:rPr>
        <w:t xml:space="preserve"> Στο τέλος της παρ. 5 του άρθρου 53Α του Ν. 2960/2001 , προστίθεται εδάφιο ως εξής:</w:t>
      </w:r>
    </w:p>
    <w:p>
      <w:pPr>
        <w:spacing w:before="240" w:after="240"/>
        <w:rPr>
          <w:lang w:val="el" w:eastAsia="el"/>
        </w:rPr>
      </w:pPr>
      <w:r>
        <w:rPr>
          <w:b/>
          <w:bCs/>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b/>
          <w:bCs/>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b/>
          <w:bCs/>
          <w:lang w:val="el" w:eastAsia="el"/>
        </w:rPr>
        <w:t xml:space="preserve">Άρθρο 66. </w:t>
      </w:r>
    </w:p>
    <w:p>
      <w:pPr>
        <w:pStyle w:val="MainText"/>
        <w:spacing w:before="120" w:after="0"/>
        <w:rPr>
          <w:lang w:val="el" w:eastAsia="el"/>
        </w:rPr>
      </w:pPr>
      <w:r>
        <w:rPr>
          <w:b/>
          <w:bCs/>
          <w:lang w:val="el" w:eastAsia="el"/>
        </w:rPr>
        <w:t>1.</w:t>
      </w:r>
      <w:r>
        <w:rPr>
          <w:b/>
          <w:bCs/>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b/>
          <w:bCs/>
          <w:lang w:val="el" w:eastAsia="el"/>
        </w:rPr>
        <w:t xml:space="preserve"> Μετά το άρθρο 33 του Ν. 4389/2016 (Α΄ 94) εισάγεται νέο άρθρο 33Α, ως εξής:</w:t>
      </w:r>
    </w:p>
    <w:p>
      <w:pPr>
        <w:spacing w:before="240" w:after="240"/>
        <w:rPr>
          <w:lang w:val="el" w:eastAsia="el"/>
        </w:rPr>
      </w:pPr>
      <w:r>
        <w:rPr>
          <w:b/>
          <w:bCs/>
          <w:lang w:val="el" w:eastAsia="el"/>
        </w:rPr>
        <w:t>« Άρθρο 33Α</w:t>
      </w:r>
    </w:p>
    <w:p>
      <w:pPr>
        <w:spacing w:before="240" w:after="240"/>
        <w:rPr>
          <w:lang w:val="el" w:eastAsia="el"/>
        </w:rPr>
      </w:pPr>
      <w:r>
        <w:rPr>
          <w:b/>
          <w:bCs/>
          <w:lang w:val="el" w:eastAsia="el"/>
        </w:rPr>
        <w:t>Νομική Υπεράσπιση - Δικαστικά έξοδα</w:t>
      </w:r>
    </w:p>
    <w:p>
      <w:pPr>
        <w:spacing w:before="240" w:after="240"/>
        <w:rPr>
          <w:lang w:val="el" w:eastAsia="el"/>
        </w:rPr>
      </w:pPr>
      <w:r>
        <w:rPr>
          <w:b/>
          <w:bCs/>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b/>
          <w:bCs/>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b/>
          <w:bCs/>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b/>
          <w:bCs/>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b/>
          <w:bCs/>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b/>
          <w:bCs/>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b/>
          <w:bCs/>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b/>
          <w:bCs/>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b/>
          <w:bCs/>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b/>
          <w:bCs/>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b/>
          <w:bCs/>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Τροποποίηση του Παραρτήματος Γ΄ της παρ. 7 του άρθρου 196 του Ν. 4389/2016</w:t>
      </w:r>
    </w:p>
    <w:p>
      <w:pPr>
        <w:spacing w:before="240" w:after="240"/>
        <w:rPr>
          <w:lang w:val="el" w:eastAsia="el"/>
        </w:rPr>
      </w:pPr>
      <w:r>
        <w:rPr>
          <w:b/>
          <w:bCs/>
          <w:lang w:val="el" w:eastAsia="el"/>
        </w:rPr>
        <w:t>Το Παράρτημα Γ΄ της </w:t>
      </w:r>
      <w:r>
        <w:rPr>
          <w:rStyle w:val="link"/>
          <w:b/>
          <w:bCs/>
          <w:lang w:val="el" w:eastAsia="el"/>
        </w:rPr>
        <w:t>παρ. 7 του άρθρου 196 του Ν. 4389/2016</w:t>
      </w:r>
      <w:r>
        <w:rPr>
          <w:b/>
          <w:bCs/>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b/>
          <w:bCs/>
          <w:lang w:val="el" w:eastAsia="el"/>
        </w:rPr>
        <w:t xml:space="preserve">»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 xml:space="preserve">Έναρξη ισχύος </w:t>
      </w:r>
    </w:p>
    <w:p>
      <w:pPr>
        <w:spacing w:before="240" w:after="240"/>
        <w:rPr>
          <w:lang w:val="el" w:eastAsia="el"/>
        </w:rPr>
      </w:pPr>
      <w:r>
        <w:rPr>
          <w:b/>
          <w:bCs/>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b/>
          <w:bCs/>
          <w:lang w:val="el" w:eastAsia="el"/>
        </w:rPr>
        <w:t>(Παράρτημα II της Οδηγίας 2015/849, όπως τροποποιήθηκε με την Οδηγία 2018/843)</w:t>
      </w:r>
    </w:p>
    <w:p>
      <w:pPr>
        <w:spacing w:before="240" w:after="240"/>
        <w:rPr>
          <w:lang w:val="el" w:eastAsia="el"/>
        </w:rPr>
      </w:pPr>
      <w:r>
        <w:rPr>
          <w:b/>
          <w:bCs/>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b/>
          <w:bCs/>
          <w:lang w:val="el" w:eastAsia="el"/>
        </w:rPr>
        <w:t xml:space="preserve"> Παράγοντες κινδύνου ως προς τον πελάτη:</w:t>
      </w:r>
    </w:p>
    <w:p>
      <w:pPr>
        <w:pStyle w:val="StructureList1"/>
        <w:spacing w:before="120" w:after="0"/>
        <w:rPr>
          <w:lang w:val="el" w:eastAsia="el"/>
        </w:rPr>
      </w:pPr>
      <w:r>
        <w:rPr>
          <w:b/>
          <w:bCs/>
          <w:lang w:val="el" w:eastAsia="el"/>
        </w:rPr>
        <w:t>α)</w:t>
      </w:r>
      <w:r>
        <w:rPr>
          <w:b/>
          <w:bCs/>
          <w:lang w:val="en" w:eastAsia="en"/>
        </w:rPr>
        <w:tab/>
      </w:r>
      <w:r>
        <w:rPr>
          <w:b/>
          <w:bCs/>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b/>
          <w:bCs/>
          <w:lang w:val="el" w:eastAsia="el"/>
        </w:rPr>
        <w:t>β)</w:t>
      </w:r>
      <w:r>
        <w:rPr>
          <w:b/>
          <w:bCs/>
          <w:lang w:val="en" w:eastAsia="en"/>
        </w:rPr>
        <w:tab/>
      </w:r>
      <w:r>
        <w:rPr>
          <w:b/>
          <w:bCs/>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b/>
          <w:bCs/>
          <w:lang w:val="el" w:eastAsia="el"/>
        </w:rPr>
        <w:t>γ)</w:t>
      </w:r>
      <w:r>
        <w:rPr>
          <w:b/>
          <w:bCs/>
          <w:lang w:val="en" w:eastAsia="en"/>
        </w:rPr>
        <w:tab/>
      </w:r>
      <w:r>
        <w:rPr>
          <w:b/>
          <w:bCs/>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b/>
          <w:bCs/>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b/>
          <w:bCs/>
          <w:lang w:val="el" w:eastAsia="el"/>
        </w:rPr>
        <w:t>α)</w:t>
      </w:r>
      <w:r>
        <w:rPr>
          <w:b/>
          <w:bCs/>
          <w:lang w:val="en" w:eastAsia="en"/>
        </w:rPr>
        <w:tab/>
      </w:r>
      <w:r>
        <w:rPr>
          <w:b/>
          <w:bCs/>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b/>
          <w:bCs/>
          <w:lang w:val="el" w:eastAsia="el"/>
        </w:rPr>
        <w:t>β)</w:t>
      </w:r>
      <w:r>
        <w:rPr>
          <w:b/>
          <w:bCs/>
          <w:lang w:val="en" w:eastAsia="en"/>
        </w:rPr>
        <w:tab/>
      </w:r>
      <w:r>
        <w:rPr>
          <w:b/>
          <w:bCs/>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b/>
          <w:bCs/>
          <w:lang w:val="el" w:eastAsia="el"/>
        </w:rPr>
        <w:t>γ)</w:t>
      </w:r>
      <w:r>
        <w:rPr>
          <w:b/>
          <w:bCs/>
          <w:lang w:val="en" w:eastAsia="en"/>
        </w:rPr>
        <w:tab/>
      </w:r>
      <w:r>
        <w:rPr>
          <w:b/>
          <w:bCs/>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b/>
          <w:bCs/>
          <w:lang w:val="el" w:eastAsia="el"/>
        </w:rPr>
        <w:t>ε)</w:t>
      </w:r>
      <w:r>
        <w:rPr>
          <w:b/>
          <w:bCs/>
          <w:lang w:val="en" w:eastAsia="en"/>
        </w:rPr>
        <w:tab/>
      </w:r>
      <w:r>
        <w:rPr>
          <w:b/>
          <w:bCs/>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b/>
          <w:bCs/>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b/>
          <w:bCs/>
          <w:lang w:val="el" w:eastAsia="el"/>
        </w:rPr>
        <w:t>α)</w:t>
      </w:r>
      <w:r>
        <w:rPr>
          <w:b/>
          <w:bCs/>
          <w:lang w:val="en" w:eastAsia="en"/>
        </w:rPr>
        <w:tab/>
      </w:r>
      <w:r>
        <w:rPr>
          <w:b/>
          <w:bCs/>
          <w:lang w:val="el" w:eastAsia="el"/>
        </w:rPr>
        <w:t>κράτη μέλη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b/>
          <w:bCs/>
          <w:lang w:val="el" w:eastAsia="el"/>
        </w:rPr>
        <w:t>(Παράρτημα III της Οδηγίας 2015/849, όπως τροποποιήθηκε με την Οδηγία 2018/843)</w:t>
      </w:r>
    </w:p>
    <w:p>
      <w:pPr>
        <w:spacing w:before="240" w:after="240"/>
        <w:rPr>
          <w:lang w:val="el" w:eastAsia="el"/>
        </w:rPr>
      </w:pPr>
      <w:r>
        <w:rPr>
          <w:b/>
          <w:bCs/>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b/>
          <w:bCs/>
          <w:lang w:val="el" w:eastAsia="el"/>
        </w:rPr>
        <w:t xml:space="preserve"> Παράγοντες κινδύνου ως προς τον πελάτη:</w:t>
      </w:r>
    </w:p>
    <w:p>
      <w:pPr>
        <w:pStyle w:val="StructureList1"/>
        <w:spacing w:before="120" w:after="0"/>
        <w:rPr>
          <w:lang w:val="el" w:eastAsia="el"/>
        </w:rPr>
      </w:pPr>
      <w:r>
        <w:rPr>
          <w:b/>
          <w:bCs/>
          <w:lang w:val="el" w:eastAsia="el"/>
        </w:rPr>
        <w:t>α)</w:t>
      </w:r>
      <w:r>
        <w:rPr>
          <w:b/>
          <w:bCs/>
          <w:lang w:val="en" w:eastAsia="en"/>
        </w:rPr>
        <w:tab/>
      </w:r>
      <w:r>
        <w:rPr>
          <w:b/>
          <w:bCs/>
          <w:lang w:val="el" w:eastAsia="el"/>
        </w:rPr>
        <w:t>επιχειρηματική σχέση που αναπτύσσεται σε ασυνήθιστες περιστάσεις,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b/>
          <w:bCs/>
          <w:lang w:val="el" w:eastAsia="el"/>
        </w:rPr>
        <w:t>γ)</w:t>
      </w:r>
      <w:r>
        <w:rPr>
          <w:b/>
          <w:bCs/>
          <w:lang w:val="en" w:eastAsia="en"/>
        </w:rPr>
        <w:tab/>
      </w:r>
      <w:r>
        <w:rPr>
          <w:b/>
          <w:bCs/>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b/>
          <w:bCs/>
          <w:lang w:val="el" w:eastAsia="el"/>
        </w:rPr>
        <w:t>δ)</w:t>
      </w:r>
      <w:r>
        <w:rPr>
          <w:b/>
          <w:bCs/>
          <w:lang w:val="en" w:eastAsia="en"/>
        </w:rPr>
        <w:tab/>
      </w:r>
      <w:r>
        <w:rPr>
          <w:b/>
          <w:bCs/>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b/>
          <w:bCs/>
          <w:lang w:val="el" w:eastAsia="el"/>
        </w:rPr>
        <w:t>ε)</w:t>
      </w:r>
      <w:r>
        <w:rPr>
          <w:b/>
          <w:bCs/>
          <w:lang w:val="en" w:eastAsia="en"/>
        </w:rPr>
        <w:tab/>
      </w:r>
      <w:r>
        <w:rPr>
          <w:b/>
          <w:bCs/>
          <w:lang w:val="el" w:eastAsia="el"/>
        </w:rPr>
        <w:t>επιχειρήσεις έντασης μετρητών,</w:t>
      </w:r>
    </w:p>
    <w:p>
      <w:pPr>
        <w:pStyle w:val="StructureList1"/>
        <w:spacing w:before="120" w:after="0"/>
        <w:rPr>
          <w:lang w:val="el" w:eastAsia="el"/>
        </w:rPr>
      </w:pPr>
      <w:r>
        <w:rPr>
          <w:b/>
          <w:bCs/>
          <w:lang w:val="el" w:eastAsia="el"/>
        </w:rPr>
        <w:t>στ)</w:t>
      </w:r>
      <w:r>
        <w:rPr>
          <w:b/>
          <w:bCs/>
          <w:lang w:val="en" w:eastAsia="en"/>
        </w:rPr>
        <w:tab/>
      </w:r>
      <w:r>
        <w:rPr>
          <w:b/>
          <w:bCs/>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b/>
          <w:bCs/>
          <w:lang w:val="el" w:eastAsia="el"/>
        </w:rPr>
        <w:t>ζ)</w:t>
      </w:r>
      <w:r>
        <w:rPr>
          <w:b/>
          <w:bCs/>
          <w:lang w:val="en" w:eastAsia="en"/>
        </w:rPr>
        <w:tab/>
      </w:r>
      <w:r>
        <w:rPr>
          <w:b/>
          <w:bCs/>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b/>
          <w:bCs/>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b/>
          <w:bCs/>
          <w:lang w:val="el" w:eastAsia="el"/>
        </w:rPr>
        <w:t>α)</w:t>
      </w:r>
      <w:r>
        <w:rPr>
          <w:b/>
          <w:bCs/>
          <w:lang w:val="en" w:eastAsia="en"/>
        </w:rPr>
        <w:tab/>
      </w:r>
      <w:r>
        <w:rPr>
          <w:b/>
          <w:bCs/>
          <w:lang w:val="el" w:eastAsia="el"/>
        </w:rPr>
        <w:t>ιδιωτική τραπεζική,</w:t>
      </w:r>
    </w:p>
    <w:p>
      <w:pPr>
        <w:pStyle w:val="StructureList1"/>
        <w:spacing w:before="120" w:after="0"/>
        <w:rPr>
          <w:lang w:val="el" w:eastAsia="el"/>
        </w:rPr>
      </w:pPr>
      <w:r>
        <w:rPr>
          <w:b/>
          <w:bCs/>
          <w:lang w:val="el" w:eastAsia="el"/>
        </w:rPr>
        <w:t>β)</w:t>
      </w:r>
      <w:r>
        <w:rPr>
          <w:b/>
          <w:bCs/>
          <w:lang w:val="en" w:eastAsia="en"/>
        </w:rPr>
        <w:tab/>
      </w:r>
      <w:r>
        <w:rPr>
          <w:b/>
          <w:bCs/>
          <w:lang w:val="el" w:eastAsia="el"/>
        </w:rPr>
        <w:t>προϊόντα ή συναλλαγές που ευνοούν την ανωνυμία,</w:t>
      </w:r>
    </w:p>
    <w:p>
      <w:pPr>
        <w:pStyle w:val="StructureList1"/>
        <w:spacing w:before="120" w:after="0"/>
        <w:rPr>
          <w:lang w:val="el" w:eastAsia="el"/>
        </w:rPr>
      </w:pPr>
      <w:r>
        <w:rPr>
          <w:b/>
          <w:bCs/>
          <w:lang w:val="el" w:eastAsia="el"/>
        </w:rPr>
        <w:t>γ)</w:t>
      </w:r>
      <w:r>
        <w:rPr>
          <w:b/>
          <w:bCs/>
          <w:lang w:val="en" w:eastAsia="en"/>
        </w:rPr>
        <w:tab/>
      </w:r>
      <w:r>
        <w:rPr>
          <w:b/>
          <w:bCs/>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b/>
          <w:bCs/>
          <w:lang w:val="el" w:eastAsia="el"/>
        </w:rPr>
        <w:t>δ)</w:t>
      </w:r>
      <w:r>
        <w:rPr>
          <w:b/>
          <w:bCs/>
          <w:lang w:val="en" w:eastAsia="en"/>
        </w:rPr>
        <w:tab/>
      </w:r>
      <w:r>
        <w:rPr>
          <w:b/>
          <w:bCs/>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b/>
          <w:bCs/>
          <w:lang w:val="el" w:eastAsia="el"/>
        </w:rPr>
        <w:t>ε)</w:t>
      </w:r>
      <w:r>
        <w:rPr>
          <w:b/>
          <w:bCs/>
          <w:lang w:val="en" w:eastAsia="en"/>
        </w:rPr>
        <w:tab/>
      </w:r>
      <w:r>
        <w:rPr>
          <w:b/>
          <w:bCs/>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b/>
          <w:bCs/>
          <w:lang w:val="el" w:eastAsia="el"/>
        </w:rPr>
        <w:t>στ)</w:t>
      </w:r>
      <w:r>
        <w:rPr>
          <w:b/>
          <w:bCs/>
          <w:lang w:val="en" w:eastAsia="en"/>
        </w:rPr>
        <w:tab/>
      </w:r>
      <w:r>
        <w:rPr>
          <w:b/>
          <w:bCs/>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b/>
          <w:bCs/>
          <w:lang w:val="el" w:eastAsia="el"/>
        </w:rPr>
        <w:t xml:space="preserve"> Γεωγραφικοί παράγοντες κινδύνου:</w:t>
      </w:r>
    </w:p>
    <w:p>
      <w:pPr>
        <w:pStyle w:val="StructureList1"/>
        <w:spacing w:before="120" w:after="0"/>
        <w:rPr>
          <w:lang w:val="el" w:eastAsia="el"/>
        </w:rPr>
      </w:pPr>
      <w:r>
        <w:rPr>
          <w:b/>
          <w:bCs/>
          <w:lang w:val="el" w:eastAsia="el"/>
        </w:rPr>
        <w:t>α)</w:t>
      </w:r>
      <w:r>
        <w:rPr>
          <w:b/>
          <w:bCs/>
          <w:lang w:val="en" w:eastAsia="en"/>
        </w:rPr>
        <w:tab/>
      </w:r>
      <w:r>
        <w:rPr>
          <w:b/>
          <w:bCs/>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b/>
          <w:bCs/>
          <w:lang w:val="el" w:eastAsia="el"/>
        </w:rPr>
        <w:t>γ)</w:t>
      </w:r>
      <w:r>
        <w:rPr>
          <w:b/>
          <w:bCs/>
          <w:lang w:val="en" w:eastAsia="en"/>
        </w:rPr>
        <w:tab/>
      </w:r>
      <w:r>
        <w:rPr>
          <w:b/>
          <w:bCs/>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b/>
          <w:bCs/>
          <w:lang w:val="el" w:eastAsia="el"/>
        </w:rPr>
        <w:t>δ)</w:t>
      </w:r>
      <w:r>
        <w:rPr>
          <w:b/>
          <w:bCs/>
          <w:lang w:val="en" w:eastAsia="en"/>
        </w:rPr>
        <w:tab/>
      </w:r>
      <w:r>
        <w:rPr>
          <w:b/>
          <w:bCs/>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 </w:t>
      </w:r>
    </w:p>
    <w:p>
      <w:pPr>
        <w:spacing w:before="240" w:after="240"/>
        <w:rPr>
          <w:lang w:val="el" w:eastAsia="el"/>
        </w:rPr>
      </w:pPr>
      <w:r>
        <w:rPr>
          <w:b/>
          <w:bCs/>
          <w:lang w:val="el" w:eastAsia="el"/>
        </w:rPr>
        <w:t>Αθήνα, 30 Ιουλίου 2018</w:t>
      </w:r>
    </w:p>
    <w:p>
      <w:pPr>
        <w:spacing w:before="240" w:after="240"/>
        <w:rPr>
          <w:lang w:val="el" w:eastAsia="el"/>
        </w:rPr>
      </w:pPr>
      <w:r>
        <w:rPr>
          <w:b/>
          <w:bCs/>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Ο Αντιπρόεδρος της Κυβέρνησης και Υπουργός Οικονομίας και Ανάπτυξης</w:t>
      </w:r>
    </w:p>
    <w:p>
      <w:pPr>
        <w:spacing w:before="240" w:after="240"/>
        <w:rPr>
          <w:lang w:val="el" w:eastAsia="el"/>
        </w:rPr>
      </w:pPr>
      <w:r>
        <w:rPr>
          <w:b/>
          <w:bCs/>
          <w:lang w:val="el" w:eastAsia="el"/>
        </w:rPr>
        <w:t>ΙΩΑΝΝΗΣ ΔΡΑΓΑΣΑΚΗΣ</w:t>
      </w:r>
    </w:p>
    <w:p>
      <w:pPr>
        <w:spacing w:before="240" w:after="240"/>
        <w:rPr>
          <w:lang w:val="el" w:eastAsia="el"/>
        </w:rPr>
      </w:pPr>
      <w:r>
        <w:rPr>
          <w:b/>
          <w:bCs/>
          <w:lang w:val="el" w:eastAsia="el"/>
        </w:rPr>
        <w:t>Αναπληρωτής  Υπουργός Οικονομίας και Ανάπτυξης</w:t>
      </w:r>
    </w:p>
    <w:p>
      <w:pPr>
        <w:spacing w:before="240" w:after="240"/>
        <w:rPr>
          <w:lang w:val="el" w:eastAsia="el"/>
        </w:rPr>
      </w:pPr>
      <w:r>
        <w:rPr>
          <w:b/>
          <w:bCs/>
          <w:lang w:val="el" w:eastAsia="el"/>
        </w:rPr>
        <w:t>ΑΛΕΞΑΝΔΡΟΣ ΧΑΡΙΤΣΗΣ</w:t>
      </w:r>
    </w:p>
    <w:p>
      <w:pPr>
        <w:spacing w:before="240" w:after="240"/>
        <w:rPr>
          <w:lang w:val="el" w:eastAsia="el"/>
        </w:rPr>
      </w:pPr>
      <w:r>
        <w:rPr>
          <w:b/>
          <w:bCs/>
          <w:lang w:val="el" w:eastAsia="el"/>
        </w:rPr>
        <w:t>Αναπληρωτής  Υπουργός Εθνικής Άμυνας</w:t>
      </w:r>
    </w:p>
    <w:p>
      <w:pPr>
        <w:spacing w:before="240" w:after="240"/>
        <w:rPr>
          <w:lang w:val="el" w:eastAsia="el"/>
        </w:rPr>
      </w:pPr>
      <w:r>
        <w:rPr>
          <w:b/>
          <w:bCs/>
          <w:lang w:val="el" w:eastAsia="el"/>
        </w:rPr>
        <w:t>ΦΩΤΙΟΣ-ΦΑΝΟΥΡΙΟΣ ΚΟΥΒΕΛΗΣ</w:t>
      </w:r>
    </w:p>
    <w:p>
      <w:pPr>
        <w:spacing w:before="240" w:after="240"/>
        <w:rPr>
          <w:lang w:val="el" w:eastAsia="el"/>
        </w:rPr>
      </w:pPr>
      <w:r>
        <w:rPr>
          <w:b/>
          <w:bCs/>
          <w:lang w:val="el" w:eastAsia="el"/>
        </w:rPr>
        <w:t>Υφυπουργός Εργασίας, Κοινωνικής Ασφάλισης και Κοινωνικής Αλληλεγγύης</w:t>
      </w:r>
    </w:p>
    <w:p>
      <w:pPr>
        <w:spacing w:before="240" w:after="240"/>
        <w:rPr>
          <w:lang w:val="el" w:eastAsia="el"/>
        </w:rPr>
      </w:pPr>
      <w:r>
        <w:rPr>
          <w:b/>
          <w:bCs/>
          <w:lang w:val="el" w:eastAsia="el"/>
        </w:rPr>
        <w:t>ΑΝΑΣΤΑΣΙΟΣ ΠΕΤΡΟΠΟΥΛΟΣ</w:t>
      </w:r>
    </w:p>
    <w:p>
      <w:pPr>
        <w:spacing w:before="240" w:after="240"/>
        <w:rPr>
          <w:lang w:val="el" w:eastAsia="el"/>
        </w:rPr>
      </w:pPr>
      <w:r>
        <w:rPr>
          <w:b/>
          <w:bCs/>
          <w:lang w:val="el" w:eastAsia="el"/>
        </w:rPr>
        <w:t>Οικονομικών</w:t>
      </w:r>
    </w:p>
    <w:p>
      <w:pPr>
        <w:spacing w:before="240" w:after="240"/>
        <w:rPr>
          <w:lang w:val="el" w:eastAsia="el"/>
        </w:rPr>
      </w:pPr>
      <w:r>
        <w:rPr>
          <w:b/>
          <w:bCs/>
          <w:lang w:val="el" w:eastAsia="el"/>
        </w:rPr>
        <w:t>ΕΥΚΛΕΙΔΗΣ ΤΣΑΚΑΛΩΤΟΣ</w:t>
      </w:r>
    </w:p>
    <w:p>
      <w:pPr>
        <w:spacing w:before="240" w:after="240"/>
        <w:rPr>
          <w:lang w:val="el" w:eastAsia="el"/>
        </w:rPr>
      </w:pPr>
      <w:r>
        <w:rPr>
          <w:b/>
          <w:bCs/>
          <w:lang w:val="el" w:eastAsia="el"/>
        </w:rPr>
        <w:t>Υγείας</w:t>
      </w:r>
    </w:p>
    <w:p>
      <w:pPr>
        <w:spacing w:before="240" w:after="240"/>
        <w:rPr>
          <w:lang w:val="el" w:eastAsia="el"/>
        </w:rPr>
      </w:pPr>
      <w:r>
        <w:rPr>
          <w:b/>
          <w:bCs/>
          <w:lang w:val="el" w:eastAsia="el"/>
        </w:rPr>
        <w:t>ΑΝΔΡΕΑΣ ΞΑΝΘΟΣ</w:t>
      </w:r>
    </w:p>
    <w:p>
      <w:pPr>
        <w:spacing w:before="240" w:after="240"/>
        <w:rPr>
          <w:lang w:val="el" w:eastAsia="el"/>
        </w:rPr>
      </w:pPr>
      <w:r>
        <w:rPr>
          <w:b/>
          <w:bCs/>
          <w:lang w:val="el" w:eastAsia="el"/>
        </w:rPr>
        <w:t>Υποδομών και Μεταφορών</w:t>
      </w:r>
    </w:p>
    <w:p>
      <w:pPr>
        <w:spacing w:before="240" w:after="240"/>
        <w:rPr>
          <w:lang w:val="el" w:eastAsia="el"/>
        </w:rPr>
      </w:pPr>
      <w:r>
        <w:rPr>
          <w:b/>
          <w:bCs/>
          <w:lang w:val="el" w:eastAsia="el"/>
        </w:rPr>
        <w:t>ΧΡΗΣΤΟΣ ΣΠΙΡΤΖΗΣ</w:t>
      </w:r>
    </w:p>
    <w:p>
      <w:pPr>
        <w:spacing w:before="240" w:after="240"/>
        <w:rPr>
          <w:lang w:val="el" w:eastAsia="el"/>
        </w:rPr>
      </w:pPr>
      <w:r>
        <w:rPr>
          <w:b/>
          <w:bCs/>
          <w:lang w:val="el" w:eastAsia="el"/>
        </w:rPr>
        <w:t>Αγροτικής  Ανάπτυξης και Τροφίμων</w:t>
      </w:r>
    </w:p>
    <w:p>
      <w:pPr>
        <w:spacing w:before="240" w:after="240"/>
        <w:rPr>
          <w:lang w:val="el" w:eastAsia="el"/>
        </w:rPr>
      </w:pPr>
      <w:r>
        <w:rPr>
          <w:b/>
          <w:bCs/>
          <w:lang w:val="el" w:eastAsia="el"/>
        </w:rPr>
        <w:t>ΕΥΑΓΓΕΛΟΣ ΑΠΟΣΤΟΛΟΥ</w:t>
      </w:r>
    </w:p>
    <w:p>
      <w:pPr>
        <w:spacing w:before="240" w:after="240"/>
        <w:rPr>
          <w:lang w:val="el" w:eastAsia="el"/>
        </w:rPr>
      </w:pPr>
      <w:r>
        <w:rPr>
          <w:b/>
          <w:bCs/>
          <w:lang w:val="el" w:eastAsia="el"/>
        </w:rPr>
        <w:t>Εσωτερικών</w:t>
      </w:r>
    </w:p>
    <w:p>
      <w:pPr>
        <w:spacing w:before="240" w:after="240"/>
        <w:rPr>
          <w:lang w:val="el" w:eastAsia="el"/>
        </w:rPr>
      </w:pPr>
      <w:r>
        <w:rPr>
          <w:b/>
          <w:bCs/>
          <w:lang w:val="el" w:eastAsia="el"/>
        </w:rPr>
        <w:t>ΠΑΝΑΓΙΩΤΗΣ ΣΚΟΥΡΛΕΤΗΣ</w:t>
      </w:r>
    </w:p>
    <w:p>
      <w:pPr>
        <w:spacing w:before="240" w:after="240"/>
        <w:rPr>
          <w:lang w:val="el" w:eastAsia="el"/>
        </w:rPr>
      </w:pPr>
      <w:r>
        <w:rPr>
          <w:b/>
          <w:bCs/>
          <w:lang w:val="el" w:eastAsia="el"/>
        </w:rPr>
        <w:t>Ψηφιακής Πολιτικής, Τηλεπικοινωνιών και Ενημέρωσης</w:t>
      </w:r>
    </w:p>
    <w:p>
      <w:pPr>
        <w:spacing w:before="240" w:after="240"/>
        <w:rPr>
          <w:lang w:val="el" w:eastAsia="el"/>
        </w:rPr>
      </w:pPr>
      <w:r>
        <w:rPr>
          <w:b/>
          <w:bCs/>
          <w:lang w:val="el" w:eastAsia="el"/>
        </w:rPr>
        <w:t>ΝΙΚΟΛΑΟΣ ΠΑΠΠΑΣ</w:t>
      </w:r>
    </w:p>
    <w:p>
      <w:pPr>
        <w:spacing w:before="240" w:after="240"/>
        <w:rPr>
          <w:lang w:val="el" w:eastAsia="el"/>
        </w:rPr>
      </w:pPr>
      <w:r>
        <w:rPr>
          <w:b/>
          <w:bCs/>
          <w:lang w:val="el" w:eastAsia="el"/>
        </w:rPr>
        <w:t>Παιδείας, Έρευνας και Θρησκευμάτων</w:t>
      </w:r>
    </w:p>
    <w:p>
      <w:pPr>
        <w:spacing w:before="240" w:after="240"/>
        <w:rPr>
          <w:lang w:val="el" w:eastAsia="el"/>
        </w:rPr>
      </w:pPr>
      <w:r>
        <w:rPr>
          <w:b/>
          <w:bCs/>
          <w:lang w:val="el" w:eastAsia="el"/>
        </w:rPr>
        <w:t>ΚΩΝΣΤΑΝΤΙΝΟΣ ΓΑΒΡΟΓΛΟΥ</w:t>
      </w:r>
    </w:p>
    <w:p>
      <w:pPr>
        <w:spacing w:before="240" w:after="240"/>
        <w:rPr>
          <w:lang w:val="el" w:eastAsia="el"/>
        </w:rPr>
      </w:pPr>
      <w:r>
        <w:rPr>
          <w:b/>
          <w:bCs/>
          <w:lang w:val="el" w:eastAsia="el"/>
        </w:rPr>
        <w:t>Εξωτερικών</w:t>
      </w:r>
    </w:p>
    <w:p>
      <w:pPr>
        <w:spacing w:before="240" w:after="240"/>
        <w:rPr>
          <w:lang w:val="el" w:eastAsia="el"/>
        </w:rPr>
      </w:pPr>
      <w:r>
        <w:rPr>
          <w:b/>
          <w:bCs/>
          <w:lang w:val="el" w:eastAsia="el"/>
        </w:rPr>
        <w:t>ΝΙΚΟΛΑΟΣ ΚΟΤΖΙΑΣ</w:t>
      </w:r>
    </w:p>
    <w:p>
      <w:pPr>
        <w:spacing w:before="240" w:after="240"/>
        <w:rPr>
          <w:lang w:val="el" w:eastAsia="el"/>
        </w:rPr>
      </w:pPr>
      <w:r>
        <w:rPr>
          <w:b/>
          <w:bCs/>
          <w:lang w:val="el" w:eastAsia="el"/>
        </w:rPr>
        <w:t>Αναπληρωτής Υπουργός 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b/>
          <w:bCs/>
          <w:lang w:val="el" w:eastAsia="el"/>
        </w:rPr>
        <w:t>Διοικητικής Ανασυγκρότησης</w:t>
      </w:r>
    </w:p>
    <w:p>
      <w:pPr>
        <w:spacing w:before="240" w:after="240"/>
        <w:rPr>
          <w:lang w:val="el" w:eastAsia="el"/>
        </w:rPr>
      </w:pPr>
      <w:r>
        <w:rPr>
          <w:b/>
          <w:bCs/>
          <w:lang w:val="el" w:eastAsia="el"/>
        </w:rPr>
        <w:t>ΟΛΓΑ ΓΕΡΟΒΑΣΙΛΗ</w:t>
      </w:r>
    </w:p>
    <w:p>
      <w:pPr>
        <w:spacing w:before="240" w:after="240"/>
        <w:rPr>
          <w:lang w:val="el" w:eastAsia="el"/>
        </w:rPr>
      </w:pPr>
      <w:r>
        <w:rPr>
          <w:b/>
          <w:bCs/>
          <w:lang w:val="el" w:eastAsia="el"/>
        </w:rPr>
        <w:t>Μεταναστευτικής Πολιτικής</w:t>
      </w:r>
    </w:p>
    <w:p>
      <w:pPr>
        <w:spacing w:before="240" w:after="240"/>
        <w:rPr>
          <w:lang w:val="el" w:eastAsia="el"/>
        </w:rPr>
      </w:pPr>
      <w:r>
        <w:rPr>
          <w:b/>
          <w:bCs/>
          <w:lang w:val="el" w:eastAsia="el"/>
        </w:rPr>
        <w:t>ΔΗΜΗΤΡΙΟΣ ΒΙΤΣΑΣ</w:t>
      </w:r>
    </w:p>
    <w:p>
      <w:pPr>
        <w:spacing w:before="240" w:after="240"/>
        <w:rPr>
          <w:lang w:val="el" w:eastAsia="el"/>
        </w:rPr>
      </w:pPr>
      <w:r>
        <w:rPr>
          <w:b/>
          <w:bCs/>
          <w:lang w:val="el" w:eastAsia="el"/>
        </w:rPr>
        <w:t>Τουρισμού</w:t>
      </w:r>
    </w:p>
    <w:p>
      <w:pPr>
        <w:spacing w:before="240" w:after="240"/>
        <w:rPr>
          <w:lang w:val="el" w:eastAsia="el"/>
        </w:rPr>
      </w:pPr>
      <w:r>
        <w:rPr>
          <w:b/>
          <w:bCs/>
          <w:lang w:val="el" w:eastAsia="el"/>
        </w:rPr>
        <w:t>ΕΛΕΝΑ ΚΟΥΝΤΟΥΡΑ</w:t>
      </w:r>
    </w:p>
    <w:p>
      <w:pPr>
        <w:spacing w:before="240" w:after="240"/>
        <w:rPr>
          <w:lang w:val="el" w:eastAsia="el"/>
        </w:rPr>
      </w:pPr>
      <w:r>
        <w:rPr>
          <w:b/>
          <w:bCs/>
          <w:lang w:val="el" w:eastAsia="el"/>
        </w:rPr>
        <w:t>Αναπληρωτής Υπουργός Εσωτερικών</w:t>
      </w:r>
    </w:p>
    <w:p>
      <w:pPr>
        <w:spacing w:before="240" w:after="240"/>
        <w:rPr>
          <w:lang w:val="el" w:eastAsia="el"/>
        </w:rPr>
      </w:pPr>
      <w:r>
        <w:rPr>
          <w:b/>
          <w:bCs/>
          <w:lang w:val="el" w:eastAsia="el"/>
        </w:rPr>
        <w:t>ΝΙΚΟΛΑΟΣ ΤΟΣΚΑΣ</w:t>
      </w:r>
    </w:p>
    <w:p>
      <w:pPr>
        <w:spacing w:before="240" w:after="240"/>
        <w:rPr>
          <w:lang w:val="el" w:eastAsia="el"/>
        </w:rPr>
      </w:pPr>
      <w:r>
        <w:rPr>
          <w:b/>
          <w:bCs/>
          <w:lang w:val="el" w:eastAsia="el"/>
        </w:rPr>
        <w:t>Εθνικής Άμυνας</w:t>
      </w:r>
    </w:p>
    <w:p>
      <w:pPr>
        <w:spacing w:before="240" w:after="240"/>
        <w:rPr>
          <w:lang w:val="el" w:eastAsia="el"/>
        </w:rPr>
      </w:pPr>
      <w:r>
        <w:rPr>
          <w:b/>
          <w:bCs/>
          <w:lang w:val="el" w:eastAsia="el"/>
        </w:rPr>
        <w:t>ΠΑΝΑΓΙΩΤΗΣ ΚΑΜΜΕΝΟΣ</w:t>
      </w:r>
    </w:p>
    <w:p>
      <w:pPr>
        <w:spacing w:before="240" w:after="240"/>
        <w:rPr>
          <w:lang w:val="el" w:eastAsia="el"/>
        </w:rPr>
      </w:pPr>
      <w:r>
        <w:rPr>
          <w:b/>
          <w:bCs/>
          <w:lang w:val="el" w:eastAsia="el"/>
        </w:rPr>
        <w:t>Εργασίας, Κοινωνικής Ασφάλισης και Κοινωνικής Αλληλεγγύης</w:t>
      </w:r>
    </w:p>
    <w:p>
      <w:pPr>
        <w:spacing w:before="240" w:after="240"/>
        <w:rPr>
          <w:lang w:val="el" w:eastAsia="el"/>
        </w:rPr>
      </w:pPr>
      <w:r>
        <w:rPr>
          <w:b/>
          <w:bCs/>
          <w:lang w:val="el" w:eastAsia="el"/>
        </w:rPr>
        <w:t>ΕΥΤΥΧΙΑ ΑΧΤΣΙΟΓΛΟΥ</w:t>
      </w:r>
    </w:p>
    <w:p>
      <w:pPr>
        <w:spacing w:before="240" w:after="240"/>
        <w:rPr>
          <w:lang w:val="el" w:eastAsia="el"/>
        </w:rPr>
      </w:pPr>
      <w:r>
        <w:rPr>
          <w:b/>
          <w:bCs/>
          <w:lang w:val="el" w:eastAsia="el"/>
        </w:rPr>
        <w:t>Δικαιοσύνης, Διαφάνειας και Ανθρωπίνων Δικαιωμάτων</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Υφυπουργός Οικονομικών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Πολιτισμού και Αθλητισμού</w:t>
      </w:r>
    </w:p>
    <w:p>
      <w:pPr>
        <w:spacing w:before="240" w:after="240"/>
        <w:rPr>
          <w:lang w:val="el" w:eastAsia="el"/>
        </w:rPr>
      </w:pPr>
      <w:r>
        <w:rPr>
          <w:b/>
          <w:bCs/>
          <w:lang w:val="el" w:eastAsia="el"/>
        </w:rPr>
        <w:t>ΛΥΔΙΑ ΚΟΝΙΟΡΔΟΥ</w:t>
      </w:r>
    </w:p>
    <w:p>
      <w:pPr>
        <w:spacing w:before="240" w:after="240"/>
        <w:rPr>
          <w:lang w:val="el" w:eastAsia="el"/>
        </w:rPr>
      </w:pPr>
      <w:r>
        <w:rPr>
          <w:b/>
          <w:bCs/>
          <w:lang w:val="el" w:eastAsia="el"/>
        </w:rPr>
        <w:t>Ναυτιλίας και Νησιωτικής Πολιτικής</w:t>
      </w:r>
    </w:p>
    <w:p>
      <w:pPr>
        <w:spacing w:before="240" w:after="240"/>
        <w:rPr>
          <w:lang w:val="el" w:eastAsia="el"/>
        </w:rPr>
      </w:pPr>
      <w:r>
        <w:rPr>
          <w:b/>
          <w:bCs/>
          <w:lang w:val="el" w:eastAsia="el"/>
        </w:rPr>
        <w:t>ΠΑΝΑΓΙΩΤΗΣ ΚΟΥΡΟΥΜΠΛΗΣ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30 Ιουλίου 2018</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4816/2021,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 w:history="1">
        <w:r>
          <w:rPr>
            <w:rStyle w:val="Hyperlink"/>
            <w:color w:val="0000EE"/>
            <w:u w:color="0000EE"/>
            <w:lang w:val="el" w:eastAsia="el"/>
          </w:rPr>
          <w:t>Τροποποίηση 4816/2021,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 w:history="1">
        <w:r>
          <w:rPr>
            <w:rStyle w:val="Hyperlink"/>
            <w:color w:val="0000EE"/>
            <w:u w:color="0000EE"/>
            <w:lang w:val="el" w:eastAsia="el"/>
          </w:rPr>
          <w:t>Τροποποίηση 4816/2021, Άρθρο 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 w:history="1">
        <w:r>
          <w:rPr>
            <w:rStyle w:val="Hyperlink"/>
            <w:color w:val="0000EE"/>
            <w:u w:color="0000EE"/>
            <w:lang w:val="el" w:eastAsia="el"/>
          </w:rPr>
          <w:t>Τροποποίηση 4816/2021, Άρθρο 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Τροποποίηση 4816/2021,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4" w:history="1">
        <w:r>
          <w:rPr>
            <w:rStyle w:val="Hyperlink"/>
            <w:color w:val="0000EE"/>
            <w:u w:color="0000EE"/>
            <w:lang w:val="el" w:eastAsia="el"/>
          </w:rPr>
          <w:t>Τροποποίηση 4816/2021,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 w:history="1">
        <w:r>
          <w:rPr>
            <w:rStyle w:val="Hyperlink"/>
            <w:color w:val="0000EE"/>
            <w:u w:color="0000EE"/>
            <w:lang w:val="el" w:eastAsia="el"/>
          </w:rPr>
          <w:t>Τροποποίηση 4816/2021, Άρθρο 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 w:history="1">
        <w:r>
          <w:rPr>
            <w:rStyle w:val="Hyperlink"/>
            <w:color w:val="0000EE"/>
            <w:u w:color="0000EE"/>
            <w:lang w:val="el" w:eastAsia="el"/>
          </w:rPr>
          <w:t>Τροποποίηση 4816/2021, Άρθρο 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 w:history="1">
        <w:r>
          <w:rPr>
            <w:rStyle w:val="Hyperlink"/>
            <w:color w:val="0000EE"/>
            <w:u w:color="0000EE"/>
            <w:lang w:val="el" w:eastAsia="el"/>
          </w:rPr>
          <w:t>Τροποποίηση 4816/2021, Άρθρο 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38</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59" w:history="1">
        <w:r>
          <w:rPr>
            <w:rStyle w:val="Hyperlink"/>
            <w:color w:val="0000EE"/>
            <w:u w:color="0000EE"/>
            <w:lang w:val="el" w:eastAsia="el"/>
          </w:rPr>
          <w:t>Τροποποίηση 4701/2020, Άρθρο 59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9" w:history="1">
        <w:r>
          <w:rPr>
            <w:rStyle w:val="Hyperlink"/>
            <w:color w:val="0000EE"/>
            <w:u w:color="0000EE"/>
            <w:lang w:val="el" w:eastAsia="el"/>
          </w:rPr>
          <w:t>Τροποποίηση 4701/2020, Άρθρο 59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4734/2020, Άρθρο 2; </w:t>
      </w:r>
      <w:hyperlink r:id="rId12" w:anchor="art_62" w:history="1">
        <w:r>
          <w:rPr>
            <w:rStyle w:val="Hyperlink"/>
            <w:color w:val="0000EE"/>
            <w:u w:color="0000EE"/>
            <w:lang w:val="el" w:eastAsia="el"/>
          </w:rPr>
          <w:t>Τροποποίηση 4607/2019, Άρθρο 62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4920/2022, Άρθρο 55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 w:history="1">
        <w:r>
          <w:rPr>
            <w:rStyle w:val="Hyperlink"/>
            <w:color w:val="0000EE"/>
            <w:u w:color="0000EE"/>
            <w:lang w:val="el" w:eastAsia="el"/>
          </w:rPr>
          <w:t>Τροποποίηση 4816/2021, Άρθρο 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 w:history="1">
        <w:r>
          <w:rPr>
            <w:rStyle w:val="Hyperlink"/>
            <w:color w:val="0000EE"/>
            <w:u w:color="0000EE"/>
            <w:lang w:val="el" w:eastAsia="el"/>
          </w:rPr>
          <w:t>Τροποποίηση 4816/2021, Άρθρο 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 w:history="1">
        <w:r>
          <w:rPr>
            <w:rStyle w:val="Hyperlink"/>
            <w:color w:val="0000EE"/>
            <w:u w:color="0000EE"/>
            <w:lang w:val="el" w:eastAsia="el"/>
          </w:rPr>
          <w:t>Τροποποίηση 4816/2021, Άρθρο 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5" w:history="1">
        <w:r>
          <w:rPr>
            <w:rStyle w:val="Hyperlink"/>
            <w:color w:val="0000EE"/>
            <w:u w:color="0000EE"/>
            <w:lang w:val="el" w:eastAsia="el"/>
          </w:rPr>
          <w:t>Τροποποίηση 4816/2021, Άρθρο 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 w:history="1">
        <w:r>
          <w:rPr>
            <w:rStyle w:val="Hyperlink"/>
            <w:color w:val="0000EE"/>
            <w:u w:color="0000EE"/>
            <w:lang w:val="el" w:eastAsia="el"/>
          </w:rPr>
          <w:t>Τροποποίηση 4816/2021, Άρθρο 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 w:history="1">
        <w:r>
          <w:rPr>
            <w:rStyle w:val="Hyperlink"/>
            <w:color w:val="0000EE"/>
            <w:u w:color="0000EE"/>
            <w:lang w:val="el" w:eastAsia="el"/>
          </w:rPr>
          <w:t>Τροποποίηση 4816/2021, Άρθρο 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 w:history="1">
        <w:r>
          <w:rPr>
            <w:rStyle w:val="Hyperlink"/>
            <w:color w:val="0000EE"/>
            <w:u w:color="0000EE"/>
            <w:lang w:val="el" w:eastAsia="el"/>
          </w:rPr>
          <w:t>Τροποποίηση 4816/2021, Άρθρο 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 w:history="1">
        <w:r>
          <w:rPr>
            <w:rStyle w:val="Hyperlink"/>
            <w:color w:val="0000EE"/>
            <w:u w:color="0000EE"/>
            <w:lang w:val="el" w:eastAsia="el"/>
          </w:rPr>
          <w:t>Τροποποίηση 4816/2021, Άρθρο 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0" w:history="1">
        <w:r>
          <w:rPr>
            <w:rStyle w:val="Hyperlink"/>
            <w:color w:val="0000EE"/>
            <w:u w:color="0000EE"/>
            <w:lang w:val="el" w:eastAsia="el"/>
          </w:rPr>
          <w:t>Τροποποίηση 5039/2023, Άρθρο 70</w:t>
        </w:r>
      </w:hyperlink>
      <w:r>
        <w:rPr>
          <w:lang w:val="el" w:eastAsia="el"/>
        </w:rPr>
        <w:t xml:space="preserve">; </w:t>
      </w:r>
      <w:hyperlink r:id="rId22" w:anchor="art_5" w:history="1">
        <w:r>
          <w:rPr>
            <w:rStyle w:val="Hyperlink"/>
            <w:color w:val="0000EE"/>
            <w:u w:color="0000EE"/>
            <w:lang w:val="el" w:eastAsia="el"/>
          </w:rPr>
          <w:t>Τροποποίηση 4816/2021, Άρθρο 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 w:history="1">
        <w:r>
          <w:rPr>
            <w:rStyle w:val="Hyperlink"/>
            <w:color w:val="0000EE"/>
            <w:u w:color="0000EE"/>
            <w:lang w:val="el" w:eastAsia="el"/>
          </w:rPr>
          <w:t>Τροποποίηση 4816/2021, Άρθρο 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 w:history="1">
        <w:r>
          <w:rPr>
            <w:rStyle w:val="Hyperlink"/>
            <w:color w:val="0000EE"/>
            <w:u w:color="0000EE"/>
            <w:lang w:val="el" w:eastAsia="el"/>
          </w:rPr>
          <w:t>Τροποποίηση 4816/2021, Άρθρο 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 w:history="1">
        <w:r>
          <w:rPr>
            <w:rStyle w:val="Hyperlink"/>
            <w:color w:val="0000EE"/>
            <w:u w:color="0000EE"/>
            <w:lang w:val="el" w:eastAsia="el"/>
          </w:rPr>
          <w:t>Τροποποίηση 4816/2021, Άρθρο 5</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 w:history="1">
        <w:r>
          <w:rPr>
            <w:rStyle w:val="Hyperlink"/>
            <w:color w:val="0000EE"/>
            <w:u w:color="0000EE"/>
            <w:lang w:val="el" w:eastAsia="el"/>
          </w:rPr>
          <w:t>Τροποποίηση 4816/2021, Άρθρο 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 w:history="1">
        <w:r>
          <w:rPr>
            <w:rStyle w:val="Hyperlink"/>
            <w:color w:val="0000EE"/>
            <w:u w:color="0000EE"/>
            <w:lang w:val="el" w:eastAsia="el"/>
          </w:rPr>
          <w:t>Τροποποίηση 4816/2021, Άρθρο 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 w:history="1">
        <w:r>
          <w:rPr>
            <w:rStyle w:val="Hyperlink"/>
            <w:color w:val="0000EE"/>
            <w:u w:color="0000EE"/>
            <w:lang w:val="el" w:eastAsia="el"/>
          </w:rPr>
          <w:t>Τροποποίηση 4816/2021, Άρθρο 5</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 w:history="1">
        <w:r>
          <w:rPr>
            <w:rStyle w:val="Hyperlink"/>
            <w:color w:val="0000EE"/>
            <w:u w:color="0000EE"/>
            <w:lang w:val="el" w:eastAsia="el"/>
          </w:rPr>
          <w:t>Τροποποίηση 4816/2021, Άρθρο 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 w:history="1">
        <w:r>
          <w:rPr>
            <w:rStyle w:val="Hyperlink"/>
            <w:color w:val="0000EE"/>
            <w:u w:color="0000EE"/>
            <w:lang w:val="el" w:eastAsia="el"/>
          </w:rPr>
          <w:t>Τροποποίηση 4816/2021, Άρθρο 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4816/2021,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4816/2021, Άρθρο 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 w:history="1">
        <w:r>
          <w:rPr>
            <w:rStyle w:val="Hyperlink"/>
            <w:color w:val="0000EE"/>
            <w:u w:color="0000EE"/>
            <w:lang w:val="el" w:eastAsia="el"/>
          </w:rPr>
          <w:t>Τροποποίηση 4816/2021, Άρθρο 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4816/2021, Άρθρο 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4816/2021, Άρθρο 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 w:history="1">
        <w:r>
          <w:rPr>
            <w:rStyle w:val="Hyperlink"/>
            <w:color w:val="0000EE"/>
            <w:u w:color="0000EE"/>
            <w:lang w:val="el" w:eastAsia="el"/>
          </w:rPr>
          <w:t>Τροποποίηση 4816/2021, Άρθρο 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 w:history="1">
        <w:r>
          <w:rPr>
            <w:rStyle w:val="Hyperlink"/>
            <w:color w:val="0000EE"/>
            <w:u w:color="0000EE"/>
            <w:lang w:val="el" w:eastAsia="el"/>
          </w:rPr>
          <w:t>Τροποποίηση 4816/2021, Άρθρο 5</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 w:history="1">
        <w:r>
          <w:rPr>
            <w:rStyle w:val="Hyperlink"/>
            <w:color w:val="0000EE"/>
            <w:u w:color="0000EE"/>
            <w:lang w:val="el" w:eastAsia="el"/>
          </w:rPr>
          <w:t>Τροποποίηση 4816/2021, Άρθρο 5</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8" w:history="1">
        <w:r>
          <w:rPr>
            <w:rStyle w:val="Hyperlink"/>
            <w:color w:val="0000EE"/>
            <w:u w:color="0000EE"/>
            <w:lang w:val="el" w:eastAsia="el"/>
          </w:rPr>
          <w:t>Τροποποίηση 5042/2023, Άρθρο 58</w:t>
        </w:r>
      </w:hyperlink>
      <w:r>
        <w:rPr>
          <w:lang w:val="el" w:eastAsia="el"/>
        </w:rPr>
        <w:t>; Τροποποίηση 4734/2020, Άρθρο 5</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4734/2020, Άρθρο 5; </w:t>
      </w:r>
      <w:hyperlink r:id="rId40" w:anchor="art_59" w:history="1">
        <w:r>
          <w:rPr>
            <w:rStyle w:val="Hyperlink"/>
            <w:color w:val="0000EE"/>
            <w:u w:color="0000EE"/>
            <w:lang w:val="el" w:eastAsia="el"/>
          </w:rPr>
          <w:t>Τροποποίηση 4701/2020, Άρθρο 59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4734/2020, Άρθρο 6</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6</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6</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8" w:history="1">
        <w:r>
          <w:rPr>
            <w:rStyle w:val="Hyperlink"/>
            <w:color w:val="0000EE"/>
            <w:u w:color="0000EE"/>
            <w:lang w:val="el" w:eastAsia="el"/>
          </w:rPr>
          <w:t>Τροποποίηση 4583/2018, Άρθρο 78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Τροποποίηση 4704/2020, Άρθρο 18</w:t>
        </w:r>
      </w:hyperlink>
      <w:r>
        <w:rPr>
          <w:lang w:val="el" w:eastAsia="el"/>
        </w:rPr>
        <w:t xml:space="preserve">; </w:t>
      </w:r>
      <w:hyperlink r:id="rId43" w:anchor="art_62" w:history="1">
        <w:r>
          <w:rPr>
            <w:rStyle w:val="Hyperlink"/>
            <w:color w:val="0000EE"/>
            <w:u w:color="0000EE"/>
            <w:lang w:val="el" w:eastAsia="el"/>
          </w:rPr>
          <w:t>Τροποποίηση 4607/2019,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9</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5072/2023, Άρθρο 63</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10</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44</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13</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2" w:history="1">
        <w:r>
          <w:rPr>
            <w:rStyle w:val="Hyperlink"/>
            <w:color w:val="0000EE"/>
            <w:u w:color="0000EE"/>
            <w:lang w:val="el" w:eastAsia="el"/>
          </w:rPr>
          <w:t>Τροποποίηση 5000/2022, Άρθρο 52</w:t>
        </w:r>
      </w:hyperlink>
      <w:r>
        <w:rPr>
          <w:lang w:val="el" w:eastAsia="el"/>
        </w:rPr>
        <w:t xml:space="preserve">; </w:t>
      </w:r>
      <w:hyperlink r:id="rId69"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2" w:history="1">
        <w:r>
          <w:rPr>
            <w:rStyle w:val="Hyperlink"/>
            <w:color w:val="0000EE"/>
            <w:u w:color="0000EE"/>
            <w:lang w:val="el" w:eastAsia="el"/>
          </w:rPr>
          <w:t>Τροποποίηση 5000/2022, Άρθρο 52</w:t>
        </w:r>
      </w:hyperlink>
      <w:r>
        <w:rPr>
          <w:lang w:val="el" w:eastAsia="el"/>
        </w:rPr>
        <w:t xml:space="preserve">; </w:t>
      </w:r>
      <w:hyperlink r:id="rId71"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2" w:history="1">
        <w:r>
          <w:rPr>
            <w:rStyle w:val="Hyperlink"/>
            <w:color w:val="0000EE"/>
            <w:u w:color="0000EE"/>
            <w:lang w:val="el" w:eastAsia="el"/>
          </w:rPr>
          <w:t>Τροποποίηση 5000/2022, Άρθρο 52</w:t>
        </w:r>
      </w:hyperlink>
      <w:r>
        <w:rPr>
          <w:lang w:val="el" w:eastAsia="el"/>
        </w:rPr>
        <w:t xml:space="preserve">; </w:t>
      </w:r>
      <w:hyperlink r:id="rId73"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2" w:history="1">
        <w:r>
          <w:rPr>
            <w:rStyle w:val="Hyperlink"/>
            <w:color w:val="0000EE"/>
            <w:u w:color="0000EE"/>
            <w:lang w:val="el" w:eastAsia="el"/>
          </w:rPr>
          <w:t>Τροποποίηση 5000/2022, Άρθρο 52</w:t>
        </w:r>
      </w:hyperlink>
      <w:r>
        <w:rPr>
          <w:lang w:val="el" w:eastAsia="el"/>
        </w:rPr>
        <w:t xml:space="preserve">; </w:t>
      </w:r>
      <w:hyperlink r:id="rId75"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2" w:history="1">
        <w:r>
          <w:rPr>
            <w:rStyle w:val="Hyperlink"/>
            <w:color w:val="0000EE"/>
            <w:u w:color="0000EE"/>
            <w:lang w:val="el" w:eastAsia="el"/>
          </w:rPr>
          <w:t>Τροποποίηση 5000/2022, Άρθρο 52</w:t>
        </w:r>
      </w:hyperlink>
      <w:r>
        <w:rPr>
          <w:lang w:val="el" w:eastAsia="el"/>
        </w:rPr>
        <w:t xml:space="preserve">; </w:t>
      </w:r>
      <w:hyperlink r:id="rId77"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80" w:history="1">
        <w:r>
          <w:rPr>
            <w:rStyle w:val="Hyperlink"/>
            <w:color w:val="0000EE"/>
            <w:u w:color="0000EE"/>
            <w:lang w:val="el" w:eastAsia="el"/>
          </w:rPr>
          <w:t>Τροποποίηση 4941/2022, Άρθρο 80</w:t>
        </w:r>
      </w:hyperlink>
      <w:r>
        <w:rPr>
          <w:lang w:val="el" w:eastAsia="el"/>
        </w:rPr>
        <w:t>; Τροποποίηση 4734/2020, Άρθρο 16</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16</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27</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19</w:t>
      </w:r>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32</w:t>
      </w:r>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24</w:t>
      </w:r>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28</w:t>
      </w:r>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7" w:history="1">
        <w:r>
          <w:rPr>
            <w:rStyle w:val="Hyperlink"/>
            <w:color w:val="0000EE"/>
            <w:u w:color="0000EE"/>
            <w:lang w:val="el" w:eastAsia="el"/>
          </w:rPr>
          <w:t>Προσθήκη 5042/2023, Άρθρο 57</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 w:history="1">
        <w:r>
          <w:rPr>
            <w:rStyle w:val="Hyperlink"/>
            <w:color w:val="0000EE"/>
            <w:u w:color="0000EE"/>
            <w:lang w:val="el" w:eastAsia="el"/>
          </w:rPr>
          <w:t>Τροποποίηση 4816/2021, Άρθρο 6</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 w:history="1">
        <w:r>
          <w:rPr>
            <w:rStyle w:val="Hyperlink"/>
            <w:color w:val="0000EE"/>
            <w:u w:color="0000EE"/>
            <w:lang w:val="el" w:eastAsia="el"/>
          </w:rPr>
          <w:t>Τροποποίηση 4816/2021, Άρθρο 6</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6" w:history="1">
        <w:r>
          <w:rPr>
            <w:rStyle w:val="Hyperlink"/>
            <w:color w:val="0000EE"/>
            <w:u w:color="0000EE"/>
            <w:lang w:val="el" w:eastAsia="el"/>
          </w:rPr>
          <w:t>Τροποποίηση 4816/2021, Άρθρο 6</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6" w:history="1">
        <w:r>
          <w:rPr>
            <w:rStyle w:val="Hyperlink"/>
            <w:color w:val="0000EE"/>
            <w:u w:color="0000EE"/>
            <w:lang w:val="el" w:eastAsia="el"/>
          </w:rPr>
          <w:t>Τροποποίηση 4816/2021, Άρθρο 6</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 w:history="1">
        <w:r>
          <w:rPr>
            <w:rStyle w:val="Hyperlink"/>
            <w:color w:val="0000EE"/>
            <w:u w:color="0000EE"/>
            <w:lang w:val="el" w:eastAsia="el"/>
          </w:rPr>
          <w:t>Τροποποίηση 4816/2021, Άρθρο 6</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70" w:history="1">
        <w:r>
          <w:rPr>
            <w:rStyle w:val="Hyperlink"/>
            <w:color w:val="0000EE"/>
            <w:u w:color="0000EE"/>
            <w:lang w:val="el" w:eastAsia="el"/>
          </w:rPr>
          <w:t>Τροποποίηση 5039/2023, Άρθρο 70</w:t>
        </w:r>
      </w:hyperlink>
      <w:r>
        <w:rPr>
          <w:lang w:val="el" w:eastAsia="el"/>
        </w:rPr>
        <w:t xml:space="preserve">; </w:t>
      </w:r>
      <w:hyperlink r:id="rId86" w:anchor="art_6" w:history="1">
        <w:r>
          <w:rPr>
            <w:rStyle w:val="Hyperlink"/>
            <w:color w:val="0000EE"/>
            <w:u w:color="0000EE"/>
            <w:lang w:val="el" w:eastAsia="el"/>
          </w:rPr>
          <w:t>Τροποποίηση 4816/2021, Άρθρο 6</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6" w:history="1">
        <w:r>
          <w:rPr>
            <w:rStyle w:val="Hyperlink"/>
            <w:color w:val="0000EE"/>
            <w:u w:color="0000EE"/>
            <w:lang w:val="el" w:eastAsia="el"/>
          </w:rPr>
          <w:t>Τροποποίηση 4816/2021, Άρθρο 6</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6" w:history="1">
        <w:r>
          <w:rPr>
            <w:rStyle w:val="Hyperlink"/>
            <w:color w:val="0000EE"/>
            <w:u w:color="0000EE"/>
            <w:lang w:val="el" w:eastAsia="el"/>
          </w:rPr>
          <w:t>Τροποποίηση 4816/2021, Άρθρο 6</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6" w:history="1">
        <w:r>
          <w:rPr>
            <w:rStyle w:val="Hyperlink"/>
            <w:color w:val="0000EE"/>
            <w:u w:color="0000EE"/>
            <w:lang w:val="el" w:eastAsia="el"/>
          </w:rPr>
          <w:t>Τροποποίηση 4816/2021, Άρθρο 6</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6" w:history="1">
        <w:r>
          <w:rPr>
            <w:rStyle w:val="Hyperlink"/>
            <w:color w:val="0000EE"/>
            <w:u w:color="0000EE"/>
            <w:lang w:val="el" w:eastAsia="el"/>
          </w:rPr>
          <w:t>Τροποποίηση 4816/2021, Άρθρο 6</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6" w:history="1">
        <w:r>
          <w:rPr>
            <w:rStyle w:val="Hyperlink"/>
            <w:color w:val="0000EE"/>
            <w:u w:color="0000EE"/>
            <w:lang w:val="el" w:eastAsia="el"/>
          </w:rPr>
          <w:t>Τροποποίηση 4816/2021, Άρθρο 6</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 w:history="1">
        <w:r>
          <w:rPr>
            <w:rStyle w:val="Hyperlink"/>
            <w:color w:val="0000EE"/>
            <w:u w:color="0000EE"/>
            <w:lang w:val="el" w:eastAsia="el"/>
          </w:rPr>
          <w:t>Τροποποίηση 4816/2021, Άρθρο 6</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 w:history="1">
        <w:r>
          <w:rPr>
            <w:rStyle w:val="Hyperlink"/>
            <w:color w:val="0000EE"/>
            <w:u w:color="0000EE"/>
            <w:lang w:val="el" w:eastAsia="el"/>
          </w:rPr>
          <w:t>Τροποποίηση 4816/2021, Άρθρο 6</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6" w:history="1">
        <w:r>
          <w:rPr>
            <w:rStyle w:val="Hyperlink"/>
            <w:color w:val="0000EE"/>
            <w:u w:color="0000EE"/>
            <w:lang w:val="el" w:eastAsia="el"/>
          </w:rPr>
          <w:t>Τροποποίηση 4816/2021, Άρθρο 6</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6" w:history="1">
        <w:r>
          <w:rPr>
            <w:rStyle w:val="Hyperlink"/>
            <w:color w:val="0000EE"/>
            <w:u w:color="0000EE"/>
            <w:lang w:val="el" w:eastAsia="el"/>
          </w:rPr>
          <w:t>Τροποποίηση 4816/2021, Άρθρο 6</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 w:history="1">
        <w:r>
          <w:rPr>
            <w:rStyle w:val="Hyperlink"/>
            <w:color w:val="0000EE"/>
            <w:u w:color="0000EE"/>
            <w:lang w:val="el" w:eastAsia="el"/>
          </w:rPr>
          <w:t>Τροποποίηση 4816/2021, Άρθρο 6</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 w:history="1">
        <w:r>
          <w:rPr>
            <w:rStyle w:val="Hyperlink"/>
            <w:color w:val="0000EE"/>
            <w:u w:color="0000EE"/>
            <w:lang w:val="el" w:eastAsia="el"/>
          </w:rPr>
          <w:t>Τροποποίηση 4816/2021, Άρθρο 6</w:t>
        </w:r>
      </w:hyperlink>
      <w:r>
        <w:rPr>
          <w:lang w:val="el" w:eastAsia="el"/>
        </w:rPr>
        <w:t>; Προσθήκη 4734/2020, Άρθρο 30</w:t>
      </w:r>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6" w:history="1">
        <w:r>
          <w:rPr>
            <w:rStyle w:val="Hyperlink"/>
            <w:color w:val="0000EE"/>
            <w:u w:color="0000EE"/>
            <w:lang w:val="el" w:eastAsia="el"/>
          </w:rPr>
          <w:t>Τροποποίηση 4816/2021, Άρθρο 6</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7" w:history="1">
        <w:r>
          <w:rPr>
            <w:rStyle w:val="Hyperlink"/>
            <w:color w:val="0000EE"/>
            <w:u w:color="0000EE"/>
            <w:lang w:val="el" w:eastAsia="el"/>
          </w:rPr>
          <w:t>Τροποποίηση 4816/2021, Άρθρο 7</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7" w:history="1">
        <w:r>
          <w:rPr>
            <w:rStyle w:val="Hyperlink"/>
            <w:color w:val="0000EE"/>
            <w:u w:color="0000EE"/>
            <w:lang w:val="el" w:eastAsia="el"/>
          </w:rPr>
          <w:t>Τροποποίηση 4816/2021, Άρθρο 7</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7" w:history="1">
        <w:r>
          <w:rPr>
            <w:rStyle w:val="Hyperlink"/>
            <w:color w:val="0000EE"/>
            <w:u w:color="0000EE"/>
            <w:lang w:val="el" w:eastAsia="el"/>
          </w:rPr>
          <w:t>Τροποποίηση 4816/2021, Άρθρο 7</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7" w:history="1">
        <w:r>
          <w:rPr>
            <w:rStyle w:val="Hyperlink"/>
            <w:color w:val="0000EE"/>
            <w:u w:color="0000EE"/>
            <w:lang w:val="el" w:eastAsia="el"/>
          </w:rPr>
          <w:t>Τροποποίηση 4816/2021, Άρθρο 7</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7" w:history="1">
        <w:r>
          <w:rPr>
            <w:rStyle w:val="Hyperlink"/>
            <w:color w:val="0000EE"/>
            <w:u w:color="0000EE"/>
            <w:lang w:val="el" w:eastAsia="el"/>
          </w:rPr>
          <w:t>Τροποποίηση 4816/2021, Άρθρο 7</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7" w:history="1">
        <w:r>
          <w:rPr>
            <w:rStyle w:val="Hyperlink"/>
            <w:color w:val="0000EE"/>
            <w:u w:color="0000EE"/>
            <w:lang w:val="el" w:eastAsia="el"/>
          </w:rPr>
          <w:t>Προσθήκη 4816/2021, Άρθρο 7</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8" w:history="1">
        <w:r>
          <w:rPr>
            <w:rStyle w:val="Hyperlink"/>
            <w:color w:val="0000EE"/>
            <w:u w:color="0000EE"/>
            <w:lang w:val="el" w:eastAsia="el"/>
          </w:rPr>
          <w:t>Τροποποίηση 4816/2021, Άρθρο 8</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8" w:history="1">
        <w:r>
          <w:rPr>
            <w:rStyle w:val="Hyperlink"/>
            <w:color w:val="0000EE"/>
            <w:u w:color="0000EE"/>
            <w:lang w:val="el" w:eastAsia="el"/>
          </w:rPr>
          <w:t>Τροποποίηση 4816/2021, Άρθρο 8</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8" w:history="1">
        <w:r>
          <w:rPr>
            <w:rStyle w:val="Hyperlink"/>
            <w:color w:val="0000EE"/>
            <w:u w:color="0000EE"/>
            <w:lang w:val="el" w:eastAsia="el"/>
          </w:rPr>
          <w:t>Τροποποίηση 4816/2021, Άρθρο 8</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8" w:history="1">
        <w:r>
          <w:rPr>
            <w:rStyle w:val="Hyperlink"/>
            <w:color w:val="0000EE"/>
            <w:u w:color="0000EE"/>
            <w:lang w:val="el" w:eastAsia="el"/>
          </w:rPr>
          <w:t>Τροποποίηση 4816/2021, Άρθρο 8</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8" w:history="1">
        <w:r>
          <w:rPr>
            <w:rStyle w:val="Hyperlink"/>
            <w:color w:val="0000EE"/>
            <w:u w:color="0000EE"/>
            <w:lang w:val="el" w:eastAsia="el"/>
          </w:rPr>
          <w:t>Τροποποίηση 4816/2021, Άρθρο 8</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8" w:history="1">
        <w:r>
          <w:rPr>
            <w:rStyle w:val="Hyperlink"/>
            <w:color w:val="0000EE"/>
            <w:u w:color="0000EE"/>
            <w:lang w:val="el" w:eastAsia="el"/>
          </w:rPr>
          <w:t>Τροποποίηση 4816/2021, Άρθρο 8</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9" w:history="1">
        <w:r>
          <w:rPr>
            <w:rStyle w:val="Hyperlink"/>
            <w:color w:val="0000EE"/>
            <w:u w:color="0000EE"/>
            <w:lang w:val="el" w:eastAsia="el"/>
          </w:rPr>
          <w:t>Τροποποίηση 4816/2021, Άρθρο 9</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9" w:history="1">
        <w:r>
          <w:rPr>
            <w:rStyle w:val="Hyperlink"/>
            <w:color w:val="0000EE"/>
            <w:u w:color="0000EE"/>
            <w:lang w:val="el" w:eastAsia="el"/>
          </w:rPr>
          <w:t>Τροποποίηση 4816/2021, Άρθρο 9</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9" w:history="1">
        <w:r>
          <w:rPr>
            <w:rStyle w:val="Hyperlink"/>
            <w:color w:val="0000EE"/>
            <w:u w:color="0000EE"/>
            <w:lang w:val="el" w:eastAsia="el"/>
          </w:rPr>
          <w:t>Τροποποίηση 4816/2021, Άρθρο 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9" w:history="1">
        <w:r>
          <w:rPr>
            <w:rStyle w:val="Hyperlink"/>
            <w:color w:val="0000EE"/>
            <w:u w:color="0000EE"/>
            <w:lang w:val="el" w:eastAsia="el"/>
          </w:rPr>
          <w:t>Τροποποίηση 4816/2021, Άρθρο 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9" w:history="1">
        <w:r>
          <w:rPr>
            <w:rStyle w:val="Hyperlink"/>
            <w:color w:val="0000EE"/>
            <w:u w:color="0000EE"/>
            <w:lang w:val="el" w:eastAsia="el"/>
          </w:rPr>
          <w:t>Τροποποίηση 4816/2021, Άρθρο 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9" w:history="1">
        <w:r>
          <w:rPr>
            <w:rStyle w:val="Hyperlink"/>
            <w:color w:val="0000EE"/>
            <w:u w:color="0000EE"/>
            <w:lang w:val="el" w:eastAsia="el"/>
          </w:rPr>
          <w:t>Τροποποίηση 4816/2021, Άρθρο 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9" w:history="1">
        <w:r>
          <w:rPr>
            <w:rStyle w:val="Hyperlink"/>
            <w:color w:val="0000EE"/>
            <w:u w:color="0000EE"/>
            <w:lang w:val="el" w:eastAsia="el"/>
          </w:rPr>
          <w:t>Τροποποίηση 4816/2021, Άρθρο 9</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71" w:history="1">
        <w:r>
          <w:rPr>
            <w:rStyle w:val="Hyperlink"/>
            <w:color w:val="0000EE"/>
            <w:u w:color="0000EE"/>
            <w:lang w:val="el" w:eastAsia="el"/>
          </w:rPr>
          <w:t>Τροποποίηση 4855/2021, Άρθρο 171</w:t>
        </w:r>
      </w:hyperlink>
      <w:r>
        <w:rPr>
          <w:lang w:val="el" w:eastAsia="el"/>
        </w:rPr>
        <w:t xml:space="preserve">; </w:t>
      </w:r>
      <w:hyperlink r:id="rId119" w:anchor="art_9" w:history="1">
        <w:r>
          <w:rPr>
            <w:rStyle w:val="Hyperlink"/>
            <w:color w:val="0000EE"/>
            <w:u w:color="0000EE"/>
            <w:lang w:val="el" w:eastAsia="el"/>
          </w:rPr>
          <w:t>Τροποποίηση 4816/2021, Άρθρο 9</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71" w:history="1">
        <w:r>
          <w:rPr>
            <w:rStyle w:val="Hyperlink"/>
            <w:color w:val="0000EE"/>
            <w:u w:color="0000EE"/>
            <w:lang w:val="el" w:eastAsia="el"/>
          </w:rPr>
          <w:t>Τροποποίηση 4855/2021, Άρθρο 171</w:t>
        </w:r>
      </w:hyperlink>
      <w:r>
        <w:rPr>
          <w:lang w:val="el" w:eastAsia="el"/>
        </w:rPr>
        <w:t xml:space="preserve">; </w:t>
      </w:r>
      <w:hyperlink r:id="rId121" w:anchor="art_9" w:history="1">
        <w:r>
          <w:rPr>
            <w:rStyle w:val="Hyperlink"/>
            <w:color w:val="0000EE"/>
            <w:u w:color="0000EE"/>
            <w:lang w:val="el" w:eastAsia="el"/>
          </w:rPr>
          <w:t>Προσθήκη 4816/2021, Άρθρο 9</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9" w:history="1">
        <w:r>
          <w:rPr>
            <w:rStyle w:val="Hyperlink"/>
            <w:color w:val="0000EE"/>
            <w:u w:color="0000EE"/>
            <w:lang w:val="el" w:eastAsia="el"/>
          </w:rPr>
          <w:t>Προσθήκη 4816/2021, Άρθρο 9</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71" w:history="1">
        <w:r>
          <w:rPr>
            <w:rStyle w:val="Hyperlink"/>
            <w:color w:val="0000EE"/>
            <w:u w:color="0000EE"/>
            <w:lang w:val="el" w:eastAsia="el"/>
          </w:rPr>
          <w:t>Τροποποίηση 4855/2021, Άρθρο 171</w:t>
        </w:r>
      </w:hyperlink>
      <w:r>
        <w:rPr>
          <w:lang w:val="el" w:eastAsia="el"/>
        </w:rPr>
        <w:t xml:space="preserve">; </w:t>
      </w:r>
      <w:hyperlink r:id="rId124" w:anchor="art_9" w:history="1">
        <w:r>
          <w:rPr>
            <w:rStyle w:val="Hyperlink"/>
            <w:color w:val="0000EE"/>
            <w:u w:color="0000EE"/>
            <w:lang w:val="el" w:eastAsia="el"/>
          </w:rPr>
          <w:t>Προσθήκη 4816/2021, Άρθρο 9</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9" w:history="1">
        <w:r>
          <w:rPr>
            <w:rStyle w:val="Hyperlink"/>
            <w:color w:val="0000EE"/>
            <w:u w:color="0000EE"/>
            <w:lang w:val="el" w:eastAsia="el"/>
          </w:rPr>
          <w:t>Προσθήκη 4816/2021, Άρθρο 9</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9" w:history="1">
        <w:r>
          <w:rPr>
            <w:rStyle w:val="Hyperlink"/>
            <w:color w:val="0000EE"/>
            <w:u w:color="0000EE"/>
            <w:lang w:val="el" w:eastAsia="el"/>
          </w:rPr>
          <w:t>Προσθήκη 4816/2021, Άρθρο 9</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9" w:history="1">
        <w:r>
          <w:rPr>
            <w:rStyle w:val="Hyperlink"/>
            <w:color w:val="0000EE"/>
            <w:u w:color="0000EE"/>
            <w:lang w:val="el" w:eastAsia="el"/>
          </w:rPr>
          <w:t>Προσθήκη 4816/2021, Άρθρο 9</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Τροποποίηση 4816/2021,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33" w:history="1">
        <w:r>
          <w:rPr>
            <w:rStyle w:val="Hyperlink"/>
            <w:color w:val="0000EE"/>
            <w:u w:color="0000EE"/>
            <w:lang w:val="el" w:eastAsia="el"/>
          </w:rPr>
          <w:t>Τροποποίηση 5090/2024, Άρθρο 133</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Τροποποίηση 4816/2021,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33" w:history="1">
        <w:r>
          <w:rPr>
            <w:rStyle w:val="Hyperlink"/>
            <w:color w:val="0000EE"/>
            <w:u w:color="0000EE"/>
            <w:lang w:val="el" w:eastAsia="el"/>
          </w:rPr>
          <w:t>Τροποποίηση 5090/2024, Άρθρο 133</w:t>
        </w:r>
      </w:hyperlink>
      <w:r>
        <w:rPr>
          <w:lang w:val="el" w:eastAsia="el"/>
        </w:rPr>
        <w:t xml:space="preserve">; </w:t>
      </w:r>
      <w:hyperlink r:id="rId132" w:anchor="art_10" w:history="1">
        <w:r>
          <w:rPr>
            <w:rStyle w:val="Hyperlink"/>
            <w:color w:val="0000EE"/>
            <w:u w:color="0000EE"/>
            <w:lang w:val="el" w:eastAsia="el"/>
          </w:rPr>
          <w:t>Τροποποίηση 4816/2021,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33" w:history="1">
        <w:r>
          <w:rPr>
            <w:rStyle w:val="Hyperlink"/>
            <w:color w:val="0000EE"/>
            <w:u w:color="0000EE"/>
            <w:lang w:val="el" w:eastAsia="el"/>
          </w:rPr>
          <w:t>Τροποποίηση 5090/2024, Άρθρο 133</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4816/2021,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48</w:t>
      </w:r>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36" w:history="1">
        <w:r>
          <w:rPr>
            <w:rStyle w:val="Hyperlink"/>
            <w:color w:val="0000EE"/>
            <w:u w:color="0000EE"/>
            <w:lang w:val="el" w:eastAsia="el"/>
          </w:rPr>
          <w:t>Τροποποίηση 4798/2021, Άρθρο 236</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1" w:history="1">
        <w:r>
          <w:rPr>
            <w:rStyle w:val="Hyperlink"/>
            <w:color w:val="0000EE"/>
            <w:u w:color="0000EE"/>
            <w:lang w:val="el" w:eastAsia="el"/>
          </w:rPr>
          <w:t>Τροποποίηση 5079/2023, Άρθρο 51</w:t>
        </w:r>
      </w:hyperlink>
      <w:r>
        <w:rPr>
          <w:lang w:val="el" w:eastAsia="el"/>
        </w:rPr>
        <w:t xml:space="preserve">; </w:t>
      </w:r>
      <w:hyperlink r:id="rId137" w:anchor="art_63" w:history="1">
        <w:r>
          <w:rPr>
            <w:rStyle w:val="Hyperlink"/>
            <w:color w:val="0000EE"/>
            <w:u w:color="0000EE"/>
            <w:lang w:val="el" w:eastAsia="el"/>
          </w:rPr>
          <w:t>Τροποποίηση 4646/2019, Άρθρο 63</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3" w:history="1">
        <w:r>
          <w:rPr>
            <w:rStyle w:val="Hyperlink"/>
            <w:color w:val="0000EE"/>
            <w:u w:color="0000EE"/>
            <w:lang w:val="el" w:eastAsia="el"/>
          </w:rPr>
          <w:t>Αφαίρεση 5162/2024, Άρθρο 103</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1" w:history="1">
        <w:r>
          <w:rPr>
            <w:rStyle w:val="Hyperlink"/>
            <w:color w:val="0000EE"/>
            <w:u w:color="0000EE"/>
            <w:lang w:val="el" w:eastAsia="el"/>
          </w:rPr>
          <w:t>Τροποποίηση 4816/2021, Άρθρο 11</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03" w:history="1">
        <w:r>
          <w:rPr>
            <w:rStyle w:val="Hyperlink"/>
            <w:color w:val="0000EE"/>
            <w:u w:color="0000EE"/>
            <w:lang w:val="el" w:eastAsia="el"/>
          </w:rPr>
          <w:t>Αφαίρεση 5162/2024, Άρθρο 103</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3" w:history="1">
        <w:r>
          <w:rPr>
            <w:rStyle w:val="Hyperlink"/>
            <w:color w:val="0000EE"/>
            <w:u w:color="0000EE"/>
            <w:lang w:val="el" w:eastAsia="el"/>
          </w:rPr>
          <w:t>Αφαίρεση 5162/2024, Άρθρο 103</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3" w:history="1">
        <w:r>
          <w:rPr>
            <w:rStyle w:val="Hyperlink"/>
            <w:color w:val="0000EE"/>
            <w:u w:color="0000EE"/>
            <w:lang w:val="el" w:eastAsia="el"/>
          </w:rPr>
          <w:t>Τροποποίηση 5162/2024, Άρθρο 103</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3" w:history="1">
        <w:r>
          <w:rPr>
            <w:rStyle w:val="Hyperlink"/>
            <w:color w:val="0000EE"/>
            <w:u w:color="0000EE"/>
            <w:lang w:val="el" w:eastAsia="el"/>
          </w:rPr>
          <w:t>Προσθήκη 5162/2024, Άρθρο 103</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63" w:history="1">
        <w:r>
          <w:rPr>
            <w:rStyle w:val="Hyperlink"/>
            <w:color w:val="0000EE"/>
            <w:u w:color="0000EE"/>
            <w:lang w:val="el" w:eastAsia="el"/>
          </w:rPr>
          <w:t>Τροποποίηση 4646/2019, Άρθρο 63</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3" w:history="1">
        <w:r>
          <w:rPr>
            <w:rStyle w:val="Hyperlink"/>
            <w:color w:val="0000EE"/>
            <w:u w:color="0000EE"/>
            <w:lang w:val="el" w:eastAsia="el"/>
          </w:rPr>
          <w:t>Αφαίρεση 5162/2024, Άρθρο 103</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3" w:history="1">
        <w:r>
          <w:rPr>
            <w:rStyle w:val="Hyperlink"/>
            <w:color w:val="0000EE"/>
            <w:u w:color="0000EE"/>
            <w:lang w:val="el" w:eastAsia="el"/>
          </w:rPr>
          <w:t>Αφαίρεση 5162/2024, Άρθρο 103</w:t>
        </w:r>
      </w:hyperlink>
      <w:r>
        <w:rPr>
          <w:lang w:val="el" w:eastAsia="el"/>
        </w:rPr>
        <w:t xml:space="preserve">; </w:t>
      </w:r>
      <w:hyperlink r:id="rId147" w:anchor="art_63" w:history="1">
        <w:r>
          <w:rPr>
            <w:rStyle w:val="Hyperlink"/>
            <w:color w:val="0000EE"/>
            <w:u w:color="0000EE"/>
            <w:lang w:val="el" w:eastAsia="el"/>
          </w:rPr>
          <w:t>Προσθήκη 4646/2019, Άρθρο 63</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3" w:history="1">
        <w:r>
          <w:rPr>
            <w:rStyle w:val="Hyperlink"/>
            <w:color w:val="0000EE"/>
            <w:u w:color="0000EE"/>
            <w:lang w:val="el" w:eastAsia="el"/>
          </w:rPr>
          <w:t>Προσθήκη 5162/2024, Άρθρο 103</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3" w:history="1">
        <w:r>
          <w:rPr>
            <w:rStyle w:val="Hyperlink"/>
            <w:color w:val="0000EE"/>
            <w:u w:color="0000EE"/>
            <w:lang w:val="el" w:eastAsia="el"/>
          </w:rPr>
          <w:t>Προσθήκη 5162/2024, Άρθρο 103</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31</w:t>
      </w:r>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13" w:history="1">
        <w:r>
          <w:rPr>
            <w:rStyle w:val="Hyperlink"/>
            <w:color w:val="0000EE"/>
            <w:u w:color="0000EE"/>
            <w:lang w:val="el" w:eastAsia="el"/>
          </w:rPr>
          <w:t>Αφαίρεση 5162/2024, Άρθρο 113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5001/2022, Άρθρο 31</w:t>
      </w:r>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5001/2022, Άρθρο 31</w:t>
      </w:r>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4" w:history="1">
        <w:r>
          <w:rPr>
            <w:rStyle w:val="Hyperlink"/>
            <w:color w:val="0000EE"/>
            <w:u w:color="0000EE"/>
            <w:lang w:val="el" w:eastAsia="el"/>
          </w:rPr>
          <w:t>Τροποποίηση 5162/2024, Άρθρο 104</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4" w:history="1">
        <w:r>
          <w:rPr>
            <w:rStyle w:val="Hyperlink"/>
            <w:color w:val="0000EE"/>
            <w:u w:color="0000EE"/>
            <w:lang w:val="el" w:eastAsia="el"/>
          </w:rPr>
          <w:t>Τροποποίηση 5162/2024, Άρθρο 104</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4" w:history="1">
        <w:r>
          <w:rPr>
            <w:rStyle w:val="Hyperlink"/>
            <w:color w:val="0000EE"/>
            <w:u w:color="0000EE"/>
            <w:lang w:val="el" w:eastAsia="el"/>
          </w:rPr>
          <w:t>Τροποποίηση 5162/2024, Άρθρο 104</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4" w:history="1">
        <w:r>
          <w:rPr>
            <w:rStyle w:val="Hyperlink"/>
            <w:color w:val="0000EE"/>
            <w:u w:color="0000EE"/>
            <w:lang w:val="el" w:eastAsia="el"/>
          </w:rPr>
          <w:t>Τροποποίηση 5162/2024, Άρθρο 104</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4" w:history="1">
        <w:r>
          <w:rPr>
            <w:rStyle w:val="Hyperlink"/>
            <w:color w:val="0000EE"/>
            <w:u w:color="0000EE"/>
            <w:lang w:val="el" w:eastAsia="el"/>
          </w:rPr>
          <w:t>Τροποποίηση 5162/2024, Άρθρο 104</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04" w:history="1">
        <w:r>
          <w:rPr>
            <w:rStyle w:val="Hyperlink"/>
            <w:color w:val="0000EE"/>
            <w:u w:color="0000EE"/>
            <w:lang w:val="el" w:eastAsia="el"/>
          </w:rPr>
          <w:t>Τροποποίηση 5162/2024, Άρθρο 104</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04" w:history="1">
        <w:r>
          <w:rPr>
            <w:rStyle w:val="Hyperlink"/>
            <w:color w:val="0000EE"/>
            <w:u w:color="0000EE"/>
            <w:lang w:val="el" w:eastAsia="el"/>
          </w:rPr>
          <w:t>Τροποποίηση 5162/2024, Άρθρο 104</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04" w:history="1">
        <w:r>
          <w:rPr>
            <w:rStyle w:val="Hyperlink"/>
            <w:color w:val="0000EE"/>
            <w:u w:color="0000EE"/>
            <w:lang w:val="el" w:eastAsia="el"/>
          </w:rPr>
          <w:t>Τροποποίηση 5162/2024, Άρθρο 104</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04" w:history="1">
        <w:r>
          <w:rPr>
            <w:rStyle w:val="Hyperlink"/>
            <w:color w:val="0000EE"/>
            <w:u w:color="0000EE"/>
            <w:lang w:val="el" w:eastAsia="el"/>
          </w:rPr>
          <w:t>Τροποποίηση 5162/2024, Άρθρο 104</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04" w:history="1">
        <w:r>
          <w:rPr>
            <w:rStyle w:val="Hyperlink"/>
            <w:color w:val="0000EE"/>
            <w:u w:color="0000EE"/>
            <w:lang w:val="el" w:eastAsia="el"/>
          </w:rPr>
          <w:t>Τροποποίηση 5162/2024, Άρθρο 104</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04" w:history="1">
        <w:r>
          <w:rPr>
            <w:rStyle w:val="Hyperlink"/>
            <w:color w:val="0000EE"/>
            <w:u w:color="0000EE"/>
            <w:lang w:val="el" w:eastAsia="el"/>
          </w:rPr>
          <w:t>Τροποποίηση 5162/2024, Άρθρο 104</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4" w:history="1">
        <w:r>
          <w:rPr>
            <w:rStyle w:val="Hyperlink"/>
            <w:color w:val="0000EE"/>
            <w:u w:color="0000EE"/>
            <w:lang w:val="el" w:eastAsia="el"/>
          </w:rPr>
          <w:t>Τροποποίηση 5162/2024, Άρθρο 104</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4" w:history="1">
        <w:r>
          <w:rPr>
            <w:rStyle w:val="Hyperlink"/>
            <w:color w:val="0000EE"/>
            <w:u w:color="0000EE"/>
            <w:lang w:val="el" w:eastAsia="el"/>
          </w:rPr>
          <w:t>Τροποποίηση 5162/2024, Άρθρο 104</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4" w:history="1">
        <w:r>
          <w:rPr>
            <w:rStyle w:val="Hyperlink"/>
            <w:color w:val="0000EE"/>
            <w:u w:color="0000EE"/>
            <w:lang w:val="el" w:eastAsia="el"/>
          </w:rPr>
          <w:t>Τροποποίηση 5162/2024, Άρθρο 104</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4" w:history="1">
        <w:r>
          <w:rPr>
            <w:rStyle w:val="Hyperlink"/>
            <w:color w:val="0000EE"/>
            <w:u w:color="0000EE"/>
            <w:lang w:val="el" w:eastAsia="el"/>
          </w:rPr>
          <w:t>Τροποποίηση 5162/2024, Άρθρο 104</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4" w:history="1">
        <w:r>
          <w:rPr>
            <w:rStyle w:val="Hyperlink"/>
            <w:color w:val="0000EE"/>
            <w:u w:color="0000EE"/>
            <w:lang w:val="el" w:eastAsia="el"/>
          </w:rPr>
          <w:t>Τροποποίηση 5162/2024, Άρθρο 104</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4" w:history="1">
        <w:r>
          <w:rPr>
            <w:rStyle w:val="Hyperlink"/>
            <w:color w:val="0000EE"/>
            <w:u w:color="0000EE"/>
            <w:lang w:val="el" w:eastAsia="el"/>
          </w:rPr>
          <w:t>Τροποποίηση 5162/2024, Άρθρο 104</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4" w:history="1">
        <w:r>
          <w:rPr>
            <w:rStyle w:val="Hyperlink"/>
            <w:color w:val="0000EE"/>
            <w:u w:color="0000EE"/>
            <w:lang w:val="el" w:eastAsia="el"/>
          </w:rPr>
          <w:t>Τροποποίηση 5162/2024, Άρθρο 104</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4" w:history="1">
        <w:r>
          <w:rPr>
            <w:rStyle w:val="Hyperlink"/>
            <w:color w:val="0000EE"/>
            <w:u w:color="0000EE"/>
            <w:lang w:val="el" w:eastAsia="el"/>
          </w:rPr>
          <w:t>Τροποποίηση 5162/2024, Άρθρο 104</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4" w:history="1">
        <w:r>
          <w:rPr>
            <w:rStyle w:val="Hyperlink"/>
            <w:color w:val="0000EE"/>
            <w:u w:color="0000EE"/>
            <w:lang w:val="el" w:eastAsia="el"/>
          </w:rPr>
          <w:t>Τροποποίηση 5162/2024, Άρθρο 104</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4" w:history="1">
        <w:r>
          <w:rPr>
            <w:rStyle w:val="Hyperlink"/>
            <w:color w:val="0000EE"/>
            <w:u w:color="0000EE"/>
            <w:lang w:val="el" w:eastAsia="el"/>
          </w:rPr>
          <w:t>Τροποποίηση 5162/2024, Άρθρο 104</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4" w:history="1">
        <w:r>
          <w:rPr>
            <w:rStyle w:val="Hyperlink"/>
            <w:color w:val="0000EE"/>
            <w:u w:color="0000EE"/>
            <w:lang w:val="el" w:eastAsia="el"/>
          </w:rPr>
          <w:t>Τροποποίηση 5162/2024, Άρθρο 104</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4" w:history="1">
        <w:r>
          <w:rPr>
            <w:rStyle w:val="Hyperlink"/>
            <w:color w:val="0000EE"/>
            <w:u w:color="0000EE"/>
            <w:lang w:val="el" w:eastAsia="el"/>
          </w:rPr>
          <w:t>Τροποποίηση 5162/2024, Άρθρο 104</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4" w:history="1">
        <w:r>
          <w:rPr>
            <w:rStyle w:val="Hyperlink"/>
            <w:color w:val="0000EE"/>
            <w:u w:color="0000EE"/>
            <w:lang w:val="el" w:eastAsia="el"/>
          </w:rPr>
          <w:t>Τροποποίηση 5162/2024, Άρθρο 104</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4" w:history="1">
        <w:r>
          <w:rPr>
            <w:rStyle w:val="Hyperlink"/>
            <w:color w:val="0000EE"/>
            <w:u w:color="0000EE"/>
            <w:lang w:val="el" w:eastAsia="el"/>
          </w:rPr>
          <w:t>Τροποποίηση 5162/2024, Άρθρο 104</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4" w:history="1">
        <w:r>
          <w:rPr>
            <w:rStyle w:val="Hyperlink"/>
            <w:color w:val="0000EE"/>
            <w:u w:color="0000EE"/>
            <w:lang w:val="el" w:eastAsia="el"/>
          </w:rPr>
          <w:t>Τροποποίηση 5162/2024, Άρθρο 104</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05" w:history="1">
        <w:r>
          <w:rPr>
            <w:rStyle w:val="Hyperlink"/>
            <w:b/>
            <w:bCs/>
            <w:color w:val="0000EE"/>
            <w:u w:color="0000EE"/>
            <w:lang w:val="el" w:eastAsia="el"/>
          </w:rPr>
          <w:t>Προσθήκη 5162/2024, Άρθρο 105</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05" w:history="1">
        <w:r>
          <w:rPr>
            <w:rStyle w:val="Hyperlink"/>
            <w:b/>
            <w:bCs/>
            <w:color w:val="0000EE"/>
            <w:u w:color="0000EE"/>
            <w:lang w:val="el" w:eastAsia="el"/>
          </w:rPr>
          <w:t>Προσθήκη 5162/2024, Άρθρο 105</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05" w:history="1">
        <w:r>
          <w:rPr>
            <w:rStyle w:val="Hyperlink"/>
            <w:b/>
            <w:bCs/>
            <w:color w:val="0000EE"/>
            <w:u w:color="0000EE"/>
            <w:lang w:val="el" w:eastAsia="el"/>
          </w:rPr>
          <w:t>Προσθήκη 5162/2024, Άρθρο 105</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05" w:history="1">
        <w:r>
          <w:rPr>
            <w:rStyle w:val="Hyperlink"/>
            <w:b/>
            <w:bCs/>
            <w:color w:val="0000EE"/>
            <w:u w:color="0000EE"/>
            <w:lang w:val="el" w:eastAsia="el"/>
          </w:rPr>
          <w:t>Προσθήκη 5162/2024, Άρθρο 105</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05" w:history="1">
        <w:r>
          <w:rPr>
            <w:rStyle w:val="Hyperlink"/>
            <w:b/>
            <w:bCs/>
            <w:color w:val="0000EE"/>
            <w:u w:color="0000EE"/>
            <w:lang w:val="el" w:eastAsia="el"/>
          </w:rPr>
          <w:t>Προσθήκη 5162/2024, Άρθρο 105</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05" w:history="1">
        <w:r>
          <w:rPr>
            <w:rStyle w:val="Hyperlink"/>
            <w:b/>
            <w:bCs/>
            <w:color w:val="0000EE"/>
            <w:u w:color="0000EE"/>
            <w:lang w:val="el" w:eastAsia="el"/>
          </w:rPr>
          <w:t>Προσθήκη 5162/2024, Άρθρο 105</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05" w:history="1">
        <w:r>
          <w:rPr>
            <w:rStyle w:val="Hyperlink"/>
            <w:b/>
            <w:bCs/>
            <w:color w:val="0000EE"/>
            <w:u w:color="0000EE"/>
            <w:lang w:val="el" w:eastAsia="el"/>
          </w:rPr>
          <w:t>Προσθήκη 5162/2024, Άρθρο 105</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05" w:history="1">
        <w:r>
          <w:rPr>
            <w:rStyle w:val="Hyperlink"/>
            <w:b/>
            <w:bCs/>
            <w:color w:val="0000EE"/>
            <w:u w:color="0000EE"/>
            <w:lang w:val="el" w:eastAsia="el"/>
          </w:rPr>
          <w:t>Προσθήκη 5162/2024, Άρθρο 105</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05" w:history="1">
        <w:r>
          <w:rPr>
            <w:rStyle w:val="Hyperlink"/>
            <w:b/>
            <w:bCs/>
            <w:color w:val="0000EE"/>
            <w:u w:color="0000EE"/>
            <w:lang w:val="el" w:eastAsia="el"/>
          </w:rPr>
          <w:t>Προσθήκη 5162/2024, Άρθρο 105</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06" w:history="1">
        <w:r>
          <w:rPr>
            <w:rStyle w:val="Hyperlink"/>
            <w:b/>
            <w:bCs/>
            <w:color w:val="0000EE"/>
            <w:u w:color="0000EE"/>
            <w:lang w:val="el" w:eastAsia="el"/>
          </w:rPr>
          <w:t>Προσθήκη 5162/2024, Άρθρο 106</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06" w:history="1">
        <w:r>
          <w:rPr>
            <w:rStyle w:val="Hyperlink"/>
            <w:b/>
            <w:bCs/>
            <w:color w:val="0000EE"/>
            <w:u w:color="0000EE"/>
            <w:lang w:val="el" w:eastAsia="el"/>
          </w:rPr>
          <w:t>Προσθήκη 5162/2024, Άρθρο 106</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06" w:history="1">
        <w:r>
          <w:rPr>
            <w:rStyle w:val="Hyperlink"/>
            <w:b/>
            <w:bCs/>
            <w:color w:val="0000EE"/>
            <w:u w:color="0000EE"/>
            <w:lang w:val="el" w:eastAsia="el"/>
          </w:rPr>
          <w:t>Προσθήκη 5162/2024, Άρθρο 106</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06" w:history="1">
        <w:r>
          <w:rPr>
            <w:rStyle w:val="Hyperlink"/>
            <w:b/>
            <w:bCs/>
            <w:color w:val="0000EE"/>
            <w:u w:color="0000EE"/>
            <w:lang w:val="el" w:eastAsia="el"/>
          </w:rPr>
          <w:t>Προσθήκη 5162/2024, Άρθρο 106</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06" w:history="1">
        <w:r>
          <w:rPr>
            <w:rStyle w:val="Hyperlink"/>
            <w:b/>
            <w:bCs/>
            <w:color w:val="0000EE"/>
            <w:u w:color="0000EE"/>
            <w:lang w:val="el" w:eastAsia="el"/>
          </w:rPr>
          <w:t>Προσθήκη 5162/2024, Άρθρο 106</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06" w:history="1">
        <w:r>
          <w:rPr>
            <w:rStyle w:val="Hyperlink"/>
            <w:b/>
            <w:bCs/>
            <w:color w:val="0000EE"/>
            <w:u w:color="0000EE"/>
            <w:lang w:val="el" w:eastAsia="el"/>
          </w:rPr>
          <w:t>Προσθήκη 5162/2024, Άρθρο 106</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06" w:history="1">
        <w:r>
          <w:rPr>
            <w:rStyle w:val="Hyperlink"/>
            <w:b/>
            <w:bCs/>
            <w:color w:val="0000EE"/>
            <w:u w:color="0000EE"/>
            <w:lang w:val="el" w:eastAsia="el"/>
          </w:rPr>
          <w:t>Προσθήκη 5162/2024, Άρθρο 106</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06" w:history="1">
        <w:r>
          <w:rPr>
            <w:rStyle w:val="Hyperlink"/>
            <w:b/>
            <w:bCs/>
            <w:color w:val="0000EE"/>
            <w:u w:color="0000EE"/>
            <w:lang w:val="el" w:eastAsia="el"/>
          </w:rPr>
          <w:t>Προσθήκη 5162/2024, Άρθρο 106</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06" w:history="1">
        <w:r>
          <w:rPr>
            <w:rStyle w:val="Hyperlink"/>
            <w:b/>
            <w:bCs/>
            <w:color w:val="0000EE"/>
            <w:u w:color="0000EE"/>
            <w:lang w:val="el" w:eastAsia="el"/>
          </w:rPr>
          <w:t>Προσθήκη 5162/2024, Άρθρο 106</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06" w:history="1">
        <w:r>
          <w:rPr>
            <w:rStyle w:val="Hyperlink"/>
            <w:b/>
            <w:bCs/>
            <w:color w:val="0000EE"/>
            <w:u w:color="0000EE"/>
            <w:lang w:val="el" w:eastAsia="el"/>
          </w:rPr>
          <w:t>Προσθήκη 5162/2024, Άρθρο 106</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06" w:history="1">
        <w:r>
          <w:rPr>
            <w:rStyle w:val="Hyperlink"/>
            <w:b/>
            <w:bCs/>
            <w:color w:val="0000EE"/>
            <w:u w:color="0000EE"/>
            <w:lang w:val="el" w:eastAsia="el"/>
          </w:rPr>
          <w:t>Προσθήκη 5162/2024, Άρθρο 106</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06" w:history="1">
        <w:r>
          <w:rPr>
            <w:rStyle w:val="Hyperlink"/>
            <w:b/>
            <w:bCs/>
            <w:color w:val="0000EE"/>
            <w:u w:color="0000EE"/>
            <w:lang w:val="el" w:eastAsia="el"/>
          </w:rPr>
          <w:t>Προσθήκη 5162/2024, Άρθρο 106</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06" w:history="1">
        <w:r>
          <w:rPr>
            <w:rStyle w:val="Hyperlink"/>
            <w:b/>
            <w:bCs/>
            <w:color w:val="0000EE"/>
            <w:u w:color="0000EE"/>
            <w:lang w:val="el" w:eastAsia="el"/>
          </w:rPr>
          <w:t>Προσθήκη 5162/2024, Άρθρο 106</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06" w:history="1">
        <w:r>
          <w:rPr>
            <w:rStyle w:val="Hyperlink"/>
            <w:b/>
            <w:bCs/>
            <w:color w:val="0000EE"/>
            <w:u w:color="0000EE"/>
            <w:lang w:val="el" w:eastAsia="el"/>
          </w:rPr>
          <w:t>Προσθήκη 5162/2024, Άρθρο 106</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07" w:history="1">
        <w:r>
          <w:rPr>
            <w:rStyle w:val="Hyperlink"/>
            <w:b/>
            <w:bCs/>
            <w:color w:val="0000EE"/>
            <w:u w:color="0000EE"/>
            <w:lang w:val="el" w:eastAsia="el"/>
          </w:rPr>
          <w:t>Προσθήκη 5162/2024, Άρθρο 107</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07" w:history="1">
        <w:r>
          <w:rPr>
            <w:rStyle w:val="Hyperlink"/>
            <w:b/>
            <w:bCs/>
            <w:color w:val="0000EE"/>
            <w:u w:color="0000EE"/>
            <w:lang w:val="el" w:eastAsia="el"/>
          </w:rPr>
          <w:t>Προσθήκη 5162/2024, Άρθρο 107</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07" w:history="1">
        <w:r>
          <w:rPr>
            <w:rStyle w:val="Hyperlink"/>
            <w:b/>
            <w:bCs/>
            <w:color w:val="0000EE"/>
            <w:u w:color="0000EE"/>
            <w:lang w:val="el" w:eastAsia="el"/>
          </w:rPr>
          <w:t>Προσθήκη 5162/2024, Άρθρο 107</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07" w:history="1">
        <w:r>
          <w:rPr>
            <w:rStyle w:val="Hyperlink"/>
            <w:b/>
            <w:bCs/>
            <w:color w:val="0000EE"/>
            <w:u w:color="0000EE"/>
            <w:lang w:val="el" w:eastAsia="el"/>
          </w:rPr>
          <w:t>Προσθήκη 5162/2024, Άρθρο 107</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07" w:history="1">
        <w:r>
          <w:rPr>
            <w:rStyle w:val="Hyperlink"/>
            <w:b/>
            <w:bCs/>
            <w:color w:val="0000EE"/>
            <w:u w:color="0000EE"/>
            <w:lang w:val="el" w:eastAsia="el"/>
          </w:rPr>
          <w:t>Προσθήκη 5162/2024, Άρθρο 107</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07" w:history="1">
        <w:r>
          <w:rPr>
            <w:rStyle w:val="Hyperlink"/>
            <w:b/>
            <w:bCs/>
            <w:color w:val="0000EE"/>
            <w:u w:color="0000EE"/>
            <w:lang w:val="el" w:eastAsia="el"/>
          </w:rPr>
          <w:t>Προσθήκη 5162/2024, Άρθρο 107</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 w:history="1">
        <w:r>
          <w:rPr>
            <w:rStyle w:val="Hyperlink"/>
            <w:b/>
            <w:bCs/>
            <w:color w:val="0000EE"/>
            <w:u w:color="0000EE"/>
            <w:lang w:val="el" w:eastAsia="el"/>
          </w:rPr>
          <w:t>Τροποποίηση 4664/2020, Άρθρο 2</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 w:history="1">
        <w:r>
          <w:rPr>
            <w:rStyle w:val="Hyperlink"/>
            <w:b/>
            <w:bCs/>
            <w:color w:val="0000EE"/>
            <w:u w:color="0000EE"/>
            <w:lang w:val="el" w:eastAsia="el"/>
          </w:rPr>
          <w:t>Τροποποίηση 4664/2020, Άρθρο 2</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 w:history="1">
        <w:r>
          <w:rPr>
            <w:rStyle w:val="Hyperlink"/>
            <w:b/>
            <w:bCs/>
            <w:color w:val="0000EE"/>
            <w:u w:color="0000EE"/>
            <w:lang w:val="el" w:eastAsia="el"/>
          </w:rPr>
          <w:t>Τροποποίηση 4664/2020, Άρθρο 2</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 w:history="1">
        <w:r>
          <w:rPr>
            <w:rStyle w:val="Hyperlink"/>
            <w:b/>
            <w:bCs/>
            <w:color w:val="0000EE"/>
            <w:u w:color="0000EE"/>
            <w:lang w:val="el" w:eastAsia="el"/>
          </w:rPr>
          <w:t>Τροποποίηση 4664/2020, Άρθρο 2</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 w:history="1">
        <w:r>
          <w:rPr>
            <w:rStyle w:val="Hyperlink"/>
            <w:b/>
            <w:bCs/>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09/4816" TargetMode="External" /><Relationship Id="rId10" Type="http://schemas.openxmlformats.org/officeDocument/2006/relationships/hyperlink" Target="http://data.aade.gr/eli/pri/law/2020/06/30/4701" TargetMode="External" /><Relationship Id="rId100" Type="http://schemas.openxmlformats.org/officeDocument/2006/relationships/hyperlink" Target="http://data.aade.gr/eli/pri/law/2021/07/09/4816" TargetMode="External" /><Relationship Id="rId101" Type="http://schemas.openxmlformats.org/officeDocument/2006/relationships/hyperlink" Target="http://data.aade.gr/eli/pri/law/2021/07/09/4816" TargetMode="External" /><Relationship Id="rId102" Type="http://schemas.openxmlformats.org/officeDocument/2006/relationships/hyperlink" Target="http://data.aade.gr/eli/pri/law/2021/07/09/4816" TargetMode="External" /><Relationship Id="rId103" Type="http://schemas.openxmlformats.org/officeDocument/2006/relationships/hyperlink" Target="http://data.aade.gr/eli/pri/law/2021/07/09/4816" TargetMode="External" /><Relationship Id="rId104" Type="http://schemas.openxmlformats.org/officeDocument/2006/relationships/hyperlink" Target="http://data.aade.gr/eli/pri/law/2021/07/09/4816" TargetMode="External" /><Relationship Id="rId105" Type="http://schemas.openxmlformats.org/officeDocument/2006/relationships/hyperlink" Target="http://data.aade.gr/eli/pri/law/2021/07/09/4816" TargetMode="External" /><Relationship Id="rId106" Type="http://schemas.openxmlformats.org/officeDocument/2006/relationships/hyperlink" Target="http://data.aade.gr/eli/pri/law/2021/07/09/4816" TargetMode="External" /><Relationship Id="rId107" Type="http://schemas.openxmlformats.org/officeDocument/2006/relationships/hyperlink" Target="http://data.aade.gr/eli/pri/law/2021/07/09/4816" TargetMode="External" /><Relationship Id="rId108" Type="http://schemas.openxmlformats.org/officeDocument/2006/relationships/hyperlink" Target="http://data.aade.gr/eli/pri/law/2021/07/09/4816" TargetMode="External" /><Relationship Id="rId109" Type="http://schemas.openxmlformats.org/officeDocument/2006/relationships/hyperlink" Target="http://data.aade.gr/eli/pri/law/2021/07/09/4816" TargetMode="External" /><Relationship Id="rId11" Type="http://schemas.openxmlformats.org/officeDocument/2006/relationships/hyperlink" Target="http://data.aade.gr/eli/pri/law/2020/06/30/4701" TargetMode="External" /><Relationship Id="rId110" Type="http://schemas.openxmlformats.org/officeDocument/2006/relationships/hyperlink" Target="http://data.aade.gr/eli/pri/law/2021/07/09/4816" TargetMode="External" /><Relationship Id="rId111" Type="http://schemas.openxmlformats.org/officeDocument/2006/relationships/hyperlink" Target="http://data.aade.gr/eli/pri/law/2021/07/09/4816" TargetMode="External" /><Relationship Id="rId112" Type="http://schemas.openxmlformats.org/officeDocument/2006/relationships/hyperlink" Target="http://data.aade.gr/eli/pri/law/2021/07/09/4816" TargetMode="External" /><Relationship Id="rId113" Type="http://schemas.openxmlformats.org/officeDocument/2006/relationships/hyperlink" Target="http://data.aade.gr/eli/pri/law/2021/07/09/4816" TargetMode="External" /><Relationship Id="rId114" Type="http://schemas.openxmlformats.org/officeDocument/2006/relationships/hyperlink" Target="http://data.aade.gr/eli/pri/law/2021/07/09/4816" TargetMode="External" /><Relationship Id="rId115" Type="http://schemas.openxmlformats.org/officeDocument/2006/relationships/hyperlink" Target="http://data.aade.gr/eli/pri/law/2021/07/09/4816" TargetMode="External" /><Relationship Id="rId116" Type="http://schemas.openxmlformats.org/officeDocument/2006/relationships/hyperlink" Target="http://data.aade.gr/eli/pri/law/2021/07/09/4816" TargetMode="External" /><Relationship Id="rId117" Type="http://schemas.openxmlformats.org/officeDocument/2006/relationships/hyperlink" Target="http://data.aade.gr/eli/pri/law/2021/07/09/4816" TargetMode="External" /><Relationship Id="rId118" Type="http://schemas.openxmlformats.org/officeDocument/2006/relationships/hyperlink" Target="http://data.aade.gr/eli/pri/law/2021/11/12/4855" TargetMode="External" /><Relationship Id="rId119" Type="http://schemas.openxmlformats.org/officeDocument/2006/relationships/hyperlink" Target="http://data.aade.gr/eli/pri/law/2021/07/09/4816" TargetMode="External" /><Relationship Id="rId12" Type="http://schemas.openxmlformats.org/officeDocument/2006/relationships/hyperlink" Target="http://data.aade.gr/eli/pri/law/2019/04/24/4607" TargetMode="External" /><Relationship Id="rId120" Type="http://schemas.openxmlformats.org/officeDocument/2006/relationships/hyperlink" Target="http://data.aade.gr/eli/pri/law/2021/11/12/4855" TargetMode="External" /><Relationship Id="rId121" Type="http://schemas.openxmlformats.org/officeDocument/2006/relationships/hyperlink" Target="http://data.aade.gr/eli/pri/law/2021/07/09/4816" TargetMode="External" /><Relationship Id="rId122" Type="http://schemas.openxmlformats.org/officeDocument/2006/relationships/hyperlink" Target="http://data.aade.gr/eli/pri/law/2021/07/09/4816" TargetMode="External" /><Relationship Id="rId123" Type="http://schemas.openxmlformats.org/officeDocument/2006/relationships/hyperlink" Target="http://data.aade.gr/eli/pri/law/2021/11/12/4855" TargetMode="External" /><Relationship Id="rId124" Type="http://schemas.openxmlformats.org/officeDocument/2006/relationships/hyperlink" Target="http://data.aade.gr/eli/pri/law/2021/07/09/4816" TargetMode="External" /><Relationship Id="rId125" Type="http://schemas.openxmlformats.org/officeDocument/2006/relationships/hyperlink" Target="http://data.aade.gr/eli/pri/law/2021/07/09/4816" TargetMode="External" /><Relationship Id="rId126" Type="http://schemas.openxmlformats.org/officeDocument/2006/relationships/hyperlink" Target="http://data.aade.gr/eli/pri/law/2021/07/09/4816" TargetMode="External" /><Relationship Id="rId127" Type="http://schemas.openxmlformats.org/officeDocument/2006/relationships/hyperlink" Target="http://data.aade.gr/eli/pri/law/2021/07/09/4816" TargetMode="External" /><Relationship Id="rId128" Type="http://schemas.openxmlformats.org/officeDocument/2006/relationships/hyperlink" Target="http://data.aade.gr/eli/pri/law/2021/07/09/4816" TargetMode="External" /><Relationship Id="rId129" Type="http://schemas.openxmlformats.org/officeDocument/2006/relationships/hyperlink" Target="http://data.aade.gr/eli/pri/law/2024/02/23/5090" TargetMode="External" /><Relationship Id="rId13" Type="http://schemas.openxmlformats.org/officeDocument/2006/relationships/hyperlink" Target="http://data.aade.gr/eli/pri/law/2021/07/09/4816" TargetMode="External" /><Relationship Id="rId130" Type="http://schemas.openxmlformats.org/officeDocument/2006/relationships/hyperlink" Target="http://data.aade.gr/eli/pri/law/2021/07/09/4816" TargetMode="External" /><Relationship Id="rId131" Type="http://schemas.openxmlformats.org/officeDocument/2006/relationships/hyperlink" Target="http://data.aade.gr/eli/pri/law/2024/02/23/5090" TargetMode="External" /><Relationship Id="rId132" Type="http://schemas.openxmlformats.org/officeDocument/2006/relationships/hyperlink" Target="http://data.aade.gr/eli/pri/law/2021/07/09/4816" TargetMode="External" /><Relationship Id="rId133" Type="http://schemas.openxmlformats.org/officeDocument/2006/relationships/hyperlink" Target="http://data.aade.gr/eli/pri/law/2024/02/23/5090" TargetMode="External" /><Relationship Id="rId134" Type="http://schemas.openxmlformats.org/officeDocument/2006/relationships/hyperlink" Target="http://data.aade.gr/eli/pri/law/2021/07/09/4816" TargetMode="External" /><Relationship Id="rId135" Type="http://schemas.openxmlformats.org/officeDocument/2006/relationships/hyperlink" Target="http://data.aade.gr/eli/pri/law/2021/04/24/4798" TargetMode="External" /><Relationship Id="rId136" Type="http://schemas.openxmlformats.org/officeDocument/2006/relationships/hyperlink" Target="http://data.aade.gr/eli/pri/law/2023/12/22/5079"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24/12/05/5162" TargetMode="External" /><Relationship Id="rId139" Type="http://schemas.openxmlformats.org/officeDocument/2006/relationships/hyperlink" Target="http://data.aade.gr/eli/pri/law/2021/07/09/4816" TargetMode="External" /><Relationship Id="rId14" Type="http://schemas.openxmlformats.org/officeDocument/2006/relationships/hyperlink" Target="http://data.aade.gr/eli/pri/law/2021/07/09/4816" TargetMode="External" /><Relationship Id="rId140" Type="http://schemas.openxmlformats.org/officeDocument/2006/relationships/hyperlink" Target="http://data.aade.gr/eli/pri/law/2024/12/05/5162" TargetMode="External" /><Relationship Id="rId141" Type="http://schemas.openxmlformats.org/officeDocument/2006/relationships/hyperlink" Target="http://data.aade.gr/eli/pri/law/2024/12/05/5162" TargetMode="External" /><Relationship Id="rId142" Type="http://schemas.openxmlformats.org/officeDocument/2006/relationships/hyperlink" Target="http://data.aade.gr/eli/pri/law/2024/12/05/5162" TargetMode="External" /><Relationship Id="rId143" Type="http://schemas.openxmlformats.org/officeDocument/2006/relationships/hyperlink" Target="http://data.aade.gr/eli/pri/law/2024/12/05/5162"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24/12/05/5162" TargetMode="External" /><Relationship Id="rId146" Type="http://schemas.openxmlformats.org/officeDocument/2006/relationships/hyperlink" Target="http://data.aade.gr/eli/pri/law/2024/12/05/5162"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24/12/05/5162" TargetMode="External" /><Relationship Id="rId149" Type="http://schemas.openxmlformats.org/officeDocument/2006/relationships/hyperlink" Target="http://data.aade.gr/eli/pri/law/2024/12/05/5162" TargetMode="External" /><Relationship Id="rId15" Type="http://schemas.openxmlformats.org/officeDocument/2006/relationships/hyperlink" Target="http://data.aade.gr/eli/pri/law/2021/07/09/4816" TargetMode="External" /><Relationship Id="rId150" Type="http://schemas.openxmlformats.org/officeDocument/2006/relationships/hyperlink" Target="http://data.aade.gr/eli/pri/law/2024/12/05/5162" TargetMode="External" /><Relationship Id="rId151" Type="http://schemas.openxmlformats.org/officeDocument/2006/relationships/hyperlink" Target="http://data.aade.gr/eli/pri/law/2024/12/05/5162" TargetMode="External" /><Relationship Id="rId152" Type="http://schemas.openxmlformats.org/officeDocument/2006/relationships/hyperlink" Target="http://data.aade.gr/eli/pri/law/2024/12/05/5162" TargetMode="External" /><Relationship Id="rId153" Type="http://schemas.openxmlformats.org/officeDocument/2006/relationships/hyperlink" Target="http://data.aade.gr/eli/pri/law/2024/12/05/5162" TargetMode="External" /><Relationship Id="rId154" Type="http://schemas.openxmlformats.org/officeDocument/2006/relationships/hyperlink" Target="http://data.aade.gr/eli/pri/law/2024/12/05/5162" TargetMode="External" /><Relationship Id="rId155" Type="http://schemas.openxmlformats.org/officeDocument/2006/relationships/hyperlink" Target="http://data.aade.gr/eli/pri/law/2024/12/05/5162" TargetMode="External" /><Relationship Id="rId156" Type="http://schemas.openxmlformats.org/officeDocument/2006/relationships/hyperlink" Target="http://data.aade.gr/eli/pri/law/2024/12/05/5162" TargetMode="External" /><Relationship Id="rId157" Type="http://schemas.openxmlformats.org/officeDocument/2006/relationships/hyperlink" Target="http://data.aade.gr/eli/pri/law/2024/12/05/5162" TargetMode="External" /><Relationship Id="rId158" Type="http://schemas.openxmlformats.org/officeDocument/2006/relationships/hyperlink" Target="http://data.aade.gr/eli/pri/law/2024/12/05/5162" TargetMode="External" /><Relationship Id="rId159" Type="http://schemas.openxmlformats.org/officeDocument/2006/relationships/hyperlink" Target="http://data.aade.gr/eli/pri/law/2024/12/05/5162" TargetMode="External" /><Relationship Id="rId16" Type="http://schemas.openxmlformats.org/officeDocument/2006/relationships/hyperlink" Target="http://data.aade.gr/eli/pri/law/2021/07/09/4816" TargetMode="External" /><Relationship Id="rId160" Type="http://schemas.openxmlformats.org/officeDocument/2006/relationships/hyperlink" Target="http://data.aade.gr/eli/pri/law/2024/12/05/5162" TargetMode="External" /><Relationship Id="rId161" Type="http://schemas.openxmlformats.org/officeDocument/2006/relationships/hyperlink" Target="http://data.aade.gr/eli/pri/law/2024/12/05/5162" TargetMode="External" /><Relationship Id="rId162" Type="http://schemas.openxmlformats.org/officeDocument/2006/relationships/hyperlink" Target="http://data.aade.gr/eli/pri/law/2024/12/05/5162" TargetMode="External" /><Relationship Id="rId163" Type="http://schemas.openxmlformats.org/officeDocument/2006/relationships/hyperlink" Target="http://data.aade.gr/eli/pri/law/2024/12/05/5162" TargetMode="External" /><Relationship Id="rId164" Type="http://schemas.openxmlformats.org/officeDocument/2006/relationships/hyperlink" Target="http://data.aade.gr/eli/pri/law/2024/12/05/5162" TargetMode="External" /><Relationship Id="rId165" Type="http://schemas.openxmlformats.org/officeDocument/2006/relationships/hyperlink" Target="http://data.aade.gr/eli/pri/law/2024/12/05/5162" TargetMode="External" /><Relationship Id="rId166" Type="http://schemas.openxmlformats.org/officeDocument/2006/relationships/hyperlink" Target="http://data.aade.gr/eli/pri/law/2024/12/05/5162" TargetMode="External" /><Relationship Id="rId167" Type="http://schemas.openxmlformats.org/officeDocument/2006/relationships/hyperlink" Target="http://data.aade.gr/eli/pri/law/2024/12/05/5162" TargetMode="External" /><Relationship Id="rId168" Type="http://schemas.openxmlformats.org/officeDocument/2006/relationships/hyperlink" Target="http://data.aade.gr/eli/pri/law/2024/12/05/5162" TargetMode="External" /><Relationship Id="rId169" Type="http://schemas.openxmlformats.org/officeDocument/2006/relationships/hyperlink" Target="http://data.aade.gr/eli/pri/law/2024/12/05/5162" TargetMode="External" /><Relationship Id="rId17" Type="http://schemas.openxmlformats.org/officeDocument/2006/relationships/hyperlink" Target="http://data.aade.gr/eli/pri/law/2021/07/09/4816" TargetMode="External" /><Relationship Id="rId170" Type="http://schemas.openxmlformats.org/officeDocument/2006/relationships/hyperlink" Target="http://data.aade.gr/eli/pri/law/2024/12/05/5162" TargetMode="External" /><Relationship Id="rId171" Type="http://schemas.openxmlformats.org/officeDocument/2006/relationships/hyperlink" Target="http://data.aade.gr/eli/pri/law/2024/12/05/5162" TargetMode="External" /><Relationship Id="rId172" Type="http://schemas.openxmlformats.org/officeDocument/2006/relationships/hyperlink" Target="http://data.aade.gr/eli/pri/law/2024/12/05/5162" TargetMode="External" /><Relationship Id="rId173" Type="http://schemas.openxmlformats.org/officeDocument/2006/relationships/hyperlink" Target="http://data.aade.gr/eli/pri/law/2024/12/05/5162" TargetMode="External" /><Relationship Id="rId174" Type="http://schemas.openxmlformats.org/officeDocument/2006/relationships/hyperlink" Target="http://data.aade.gr/eli/pri/law/2024/12/05/5162" TargetMode="External" /><Relationship Id="rId175" Type="http://schemas.openxmlformats.org/officeDocument/2006/relationships/hyperlink" Target="http://data.aade.gr/eli/pri/law/2024/12/05/5162" TargetMode="External" /><Relationship Id="rId176" Type="http://schemas.openxmlformats.org/officeDocument/2006/relationships/hyperlink" Target="http://data.aade.gr/eli/pri/law/2024/12/05/5162" TargetMode="External" /><Relationship Id="rId177" Type="http://schemas.openxmlformats.org/officeDocument/2006/relationships/hyperlink" Target="http://data.aade.gr/eli/pri/law/2024/12/05/5162" TargetMode="External" /><Relationship Id="rId178" Type="http://schemas.openxmlformats.org/officeDocument/2006/relationships/hyperlink" Target="http://data.aade.gr/eli/pri/law/2024/12/05/5162" TargetMode="External" /><Relationship Id="rId179" Type="http://schemas.openxmlformats.org/officeDocument/2006/relationships/hyperlink" Target="http://data.aade.gr/eli/pri/law/2024/12/05/5162" TargetMode="External" /><Relationship Id="rId18" Type="http://schemas.openxmlformats.org/officeDocument/2006/relationships/hyperlink" Target="http://data.aade.gr/eli/pri/law/2021/07/09/4816" TargetMode="External" /><Relationship Id="rId180" Type="http://schemas.openxmlformats.org/officeDocument/2006/relationships/hyperlink" Target="http://data.aade.gr/eli/pri/law/2024/12/05/5162" TargetMode="External" /><Relationship Id="rId181" Type="http://schemas.openxmlformats.org/officeDocument/2006/relationships/hyperlink" Target="http://data.aade.gr/eli/pri/law/2024/12/05/5162" TargetMode="External" /><Relationship Id="rId182" Type="http://schemas.openxmlformats.org/officeDocument/2006/relationships/hyperlink" Target="http://data.aade.gr/eli/pri/law/2024/12/05/5162" TargetMode="External" /><Relationship Id="rId183" Type="http://schemas.openxmlformats.org/officeDocument/2006/relationships/hyperlink" Target="http://data.aade.gr/eli/pri/law/2024/12/05/5162" TargetMode="External" /><Relationship Id="rId184" Type="http://schemas.openxmlformats.org/officeDocument/2006/relationships/hyperlink" Target="http://data.aade.gr/eli/pri/law/2024/12/05/5162" TargetMode="External" /><Relationship Id="rId185" Type="http://schemas.openxmlformats.org/officeDocument/2006/relationships/hyperlink" Target="http://data.aade.gr/eli/pri/law/2024/12/05/5162" TargetMode="External" /><Relationship Id="rId186" Type="http://schemas.openxmlformats.org/officeDocument/2006/relationships/hyperlink" Target="http://data.aade.gr/eli/pri/law/2024/12/05/5162" TargetMode="External" /><Relationship Id="rId187" Type="http://schemas.openxmlformats.org/officeDocument/2006/relationships/hyperlink" Target="http://data.aade.gr/eli/pri/law/2024/12/05/5162" TargetMode="External" /><Relationship Id="rId188" Type="http://schemas.openxmlformats.org/officeDocument/2006/relationships/hyperlink" Target="http://data.aade.gr/eli/pri/law/2024/12/05/5162" TargetMode="External" /><Relationship Id="rId189" Type="http://schemas.openxmlformats.org/officeDocument/2006/relationships/hyperlink" Target="http://data.aade.gr/eli/pri/law/2024/12/05/5162" TargetMode="External" /><Relationship Id="rId19" Type="http://schemas.openxmlformats.org/officeDocument/2006/relationships/hyperlink" Target="http://data.aade.gr/eli/pri/law/2021/07/09/4816" TargetMode="External" /><Relationship Id="rId190" Type="http://schemas.openxmlformats.org/officeDocument/2006/relationships/hyperlink" Target="http://data.aade.gr/eli/pri/law/2024/12/05/5162" TargetMode="External" /><Relationship Id="rId191" Type="http://schemas.openxmlformats.org/officeDocument/2006/relationships/hyperlink" Target="http://data.aade.gr/eli/pri/law/2024/12/05/5162" TargetMode="External" /><Relationship Id="rId192" Type="http://schemas.openxmlformats.org/officeDocument/2006/relationships/hyperlink" Target="http://data.aade.gr/eli/pri/law/2024/12/05/5162" TargetMode="External" /><Relationship Id="rId193" Type="http://schemas.openxmlformats.org/officeDocument/2006/relationships/hyperlink" Target="http://data.aade.gr/eli/pri/law/2024/12/05/5162" TargetMode="External" /><Relationship Id="rId194" Type="http://schemas.openxmlformats.org/officeDocument/2006/relationships/hyperlink" Target="http://data.aade.gr/eli/pri/law/2024/12/05/5162" TargetMode="External" /><Relationship Id="rId195" Type="http://schemas.openxmlformats.org/officeDocument/2006/relationships/hyperlink" Target="http://data.aade.gr/eli/pri/law/2024/12/05/5162" TargetMode="External" /><Relationship Id="rId196" Type="http://schemas.openxmlformats.org/officeDocument/2006/relationships/hyperlink" Target="http://data.aade.gr/eli/pri/law/2024/12/05/5162" TargetMode="External" /><Relationship Id="rId197" Type="http://schemas.openxmlformats.org/officeDocument/2006/relationships/hyperlink" Target="http://data.aade.gr/eli/pri/law/2024/12/05/5162" TargetMode="External" /><Relationship Id="rId198" Type="http://schemas.openxmlformats.org/officeDocument/2006/relationships/hyperlink" Target="http://data.aade.gr/eli/pri/law/2024/12/05/5162" TargetMode="External" /><Relationship Id="rId199" Type="http://schemas.openxmlformats.org/officeDocument/2006/relationships/hyperlink" Target="http://data.aade.gr/eli/pri/law/2024/12/05/5162" TargetMode="External" /><Relationship Id="rId2" Type="http://schemas.openxmlformats.org/officeDocument/2006/relationships/hyperlink" Target="http://data.aade.gr/eli/pri/law/2021/07/09/4816" TargetMode="External" /><Relationship Id="rId20" Type="http://schemas.openxmlformats.org/officeDocument/2006/relationships/hyperlink" Target="http://data.aade.gr/eli/pri/law/2021/07/09/4816" TargetMode="External" /><Relationship Id="rId200" Type="http://schemas.openxmlformats.org/officeDocument/2006/relationships/hyperlink" Target="http://data.aade.gr/eli/pri/law/2024/12/05/5162" TargetMode="External" /><Relationship Id="rId201" Type="http://schemas.openxmlformats.org/officeDocument/2006/relationships/hyperlink" Target="http://data.aade.gr/eli/pri/law/2024/12/05/5162" TargetMode="External" /><Relationship Id="rId202" Type="http://schemas.openxmlformats.org/officeDocument/2006/relationships/hyperlink" Target="http://data.aade.gr/eli/pri/law/2024/12/05/5162" TargetMode="External" /><Relationship Id="rId203" Type="http://schemas.openxmlformats.org/officeDocument/2006/relationships/hyperlink" Target="http://data.aade.gr/eli/pri/law/2024/12/05/5162" TargetMode="External" /><Relationship Id="rId204" Type="http://schemas.openxmlformats.org/officeDocument/2006/relationships/hyperlink" Target="http://data.aade.gr/eli/pri/law/2024/12/05/5162" TargetMode="External" /><Relationship Id="rId205" Type="http://schemas.openxmlformats.org/officeDocument/2006/relationships/hyperlink" Target="http://data.aade.gr/eli/pri/law/2024/12/05/5162" TargetMode="External" /><Relationship Id="rId206" Type="http://schemas.openxmlformats.org/officeDocument/2006/relationships/hyperlink" Target="http://data.aade.gr/eli/pri/law/2020/02/14/4664" TargetMode="External" /><Relationship Id="rId207" Type="http://schemas.openxmlformats.org/officeDocument/2006/relationships/hyperlink" Target="http://data.aade.gr/eli/pri/law/2020/02/14/4664" TargetMode="External" /><Relationship Id="rId208" Type="http://schemas.openxmlformats.org/officeDocument/2006/relationships/hyperlink" Target="http://data.aade.gr/eli/pri/law/2020/02/14/4664" TargetMode="External" /><Relationship Id="rId209" Type="http://schemas.openxmlformats.org/officeDocument/2006/relationships/hyperlink" Target="http://data.aade.gr/eli/pri/law/2020/02/14/4664" TargetMode="External" /><Relationship Id="rId21" Type="http://schemas.openxmlformats.org/officeDocument/2006/relationships/hyperlink" Target="http://data.aade.gr/eli/pri/law/2023/04/03/5039" TargetMode="External" /><Relationship Id="rId210" Type="http://schemas.openxmlformats.org/officeDocument/2006/relationships/hyperlink" Target="http://data.aade.gr/eli/pri/law/2020/02/14/4664" TargetMode="External" /><Relationship Id="rId22" Type="http://schemas.openxmlformats.org/officeDocument/2006/relationships/hyperlink" Target="http://data.aade.gr/eli/pri/law/2021/07/09/4816" TargetMode="External" /><Relationship Id="rId23" Type="http://schemas.openxmlformats.org/officeDocument/2006/relationships/hyperlink" Target="http://data.aade.gr/eli/pri/law/2021/07/09/4816" TargetMode="External" /><Relationship Id="rId24" Type="http://schemas.openxmlformats.org/officeDocument/2006/relationships/hyperlink" Target="http://data.aade.gr/eli/pri/law/2021/07/09/4816" TargetMode="External" /><Relationship Id="rId25" Type="http://schemas.openxmlformats.org/officeDocument/2006/relationships/hyperlink" Target="http://data.aade.gr/eli/pri/law/2021/07/09/4816" TargetMode="External" /><Relationship Id="rId26" Type="http://schemas.openxmlformats.org/officeDocument/2006/relationships/hyperlink" Target="http://data.aade.gr/eli/pri/law/2021/07/09/4816" TargetMode="External" /><Relationship Id="rId27" Type="http://schemas.openxmlformats.org/officeDocument/2006/relationships/hyperlink" Target="http://data.aade.gr/eli/pri/law/2021/07/09/4816" TargetMode="External" /><Relationship Id="rId28" Type="http://schemas.openxmlformats.org/officeDocument/2006/relationships/hyperlink" Target="http://data.aade.gr/eli/pri/law/2021/07/09/4816" TargetMode="External" /><Relationship Id="rId29" Type="http://schemas.openxmlformats.org/officeDocument/2006/relationships/hyperlink" Target="http://data.aade.gr/eli/pri/law/2021/07/09/4816" TargetMode="External" /><Relationship Id="rId3" Type="http://schemas.openxmlformats.org/officeDocument/2006/relationships/hyperlink" Target="http://data.aade.gr/eli/pri/law/2021/07/09/4816" TargetMode="External" /><Relationship Id="rId30" Type="http://schemas.openxmlformats.org/officeDocument/2006/relationships/hyperlink" Target="http://data.aade.gr/eli/pri/law/2021/07/09/4816" TargetMode="External" /><Relationship Id="rId31" Type="http://schemas.openxmlformats.org/officeDocument/2006/relationships/hyperlink" Target="http://data.aade.gr/eli/pri/law/2021/07/09/4816" TargetMode="External" /><Relationship Id="rId32" Type="http://schemas.openxmlformats.org/officeDocument/2006/relationships/hyperlink" Target="http://data.aade.gr/eli/pri/law/2021/07/09/4816" TargetMode="External" /><Relationship Id="rId33" Type="http://schemas.openxmlformats.org/officeDocument/2006/relationships/hyperlink" Target="http://data.aade.gr/eli/pri/law/2021/07/09/4816" TargetMode="External" /><Relationship Id="rId34" Type="http://schemas.openxmlformats.org/officeDocument/2006/relationships/hyperlink" Target="http://data.aade.gr/eli/pri/law/2021/07/09/4816" TargetMode="External" /><Relationship Id="rId35" Type="http://schemas.openxmlformats.org/officeDocument/2006/relationships/hyperlink" Target="http://data.aade.gr/eli/pri/law/2021/07/09/4816" TargetMode="External" /><Relationship Id="rId36" Type="http://schemas.openxmlformats.org/officeDocument/2006/relationships/hyperlink" Target="http://data.aade.gr/eli/pri/law/2021/07/09/4816" TargetMode="External" /><Relationship Id="rId37" Type="http://schemas.openxmlformats.org/officeDocument/2006/relationships/hyperlink" Target="http://data.aade.gr/eli/pri/law/2021/07/09/4816" TargetMode="External" /><Relationship Id="rId38" Type="http://schemas.openxmlformats.org/officeDocument/2006/relationships/hyperlink" Target="http://data.aade.gr/eli/pri/law/2021/07/09/4816" TargetMode="External" /><Relationship Id="rId39" Type="http://schemas.openxmlformats.org/officeDocument/2006/relationships/hyperlink" Target="http://data.aade.gr/eli/pri/law/2023/04/08/5042" TargetMode="External" /><Relationship Id="rId4" Type="http://schemas.openxmlformats.org/officeDocument/2006/relationships/hyperlink" Target="http://data.aade.gr/eli/pri/law/2021/07/09/4816" TargetMode="External" /><Relationship Id="rId40" Type="http://schemas.openxmlformats.org/officeDocument/2006/relationships/hyperlink" Target="http://data.aade.gr/eli/pri/law/2020/06/30/4701" TargetMode="External" /><Relationship Id="rId41" Type="http://schemas.openxmlformats.org/officeDocument/2006/relationships/hyperlink" Target="http://data.aade.gr/eli/pri/law/2018/12/18/4583" TargetMode="External" /><Relationship Id="rId42" Type="http://schemas.openxmlformats.org/officeDocument/2006/relationships/hyperlink" Target="http://data.aade.gr/eli/pri/law/2020/07/14/4704" TargetMode="External" /><Relationship Id="rId43" Type="http://schemas.openxmlformats.org/officeDocument/2006/relationships/hyperlink" Target="http://data.aade.gr/eli/pri/law/2019/04/24/4607" TargetMode="External" /><Relationship Id="rId44" Type="http://schemas.openxmlformats.org/officeDocument/2006/relationships/hyperlink" Target="http://data.aade.gr/eli/pri/law/2022/06/16/4941" TargetMode="External" /><Relationship Id="rId45" Type="http://schemas.openxmlformats.org/officeDocument/2006/relationships/hyperlink" Target="http://data.aade.gr/eli/pri/law/2022/06/16/4941" TargetMode="External" /><Relationship Id="rId46" Type="http://schemas.openxmlformats.org/officeDocument/2006/relationships/hyperlink" Target="http://data.aade.gr/eli/pri/law/2022/06/16/4941" TargetMode="External" /><Relationship Id="rId47" Type="http://schemas.openxmlformats.org/officeDocument/2006/relationships/hyperlink" Target="http://data.aade.gr/eli/pri/law/2022/06/16/4941" TargetMode="External" /><Relationship Id="rId48" Type="http://schemas.openxmlformats.org/officeDocument/2006/relationships/hyperlink" Target="http://data.aade.gr/eli/pri/law/2022/06/16/4941" TargetMode="External" /><Relationship Id="rId49" Type="http://schemas.openxmlformats.org/officeDocument/2006/relationships/hyperlink" Target="http://data.aade.gr/eli/pri/law/2022/06/16/4941" TargetMode="External" /><Relationship Id="rId5" Type="http://schemas.openxmlformats.org/officeDocument/2006/relationships/hyperlink" Target="http://data.aade.gr/eli/pri/law/2021/07/09/4816" TargetMode="External" /><Relationship Id="rId50" Type="http://schemas.openxmlformats.org/officeDocument/2006/relationships/hyperlink" Target="http://data.aade.gr/eli/pri/law/2022/06/16/4941" TargetMode="External" /><Relationship Id="rId51" Type="http://schemas.openxmlformats.org/officeDocument/2006/relationships/hyperlink" Target="http://data.aade.gr/eli/pri/law/2022/06/16/4941" TargetMode="External" /><Relationship Id="rId52" Type="http://schemas.openxmlformats.org/officeDocument/2006/relationships/hyperlink" Target="http://data.aade.gr/eli/pri/law/2022/06/16/4941" TargetMode="External" /><Relationship Id="rId53" Type="http://schemas.openxmlformats.org/officeDocument/2006/relationships/hyperlink" Target="http://data.aade.gr/eli/pri/law/2022/06/16/4941" TargetMode="External" /><Relationship Id="rId54" Type="http://schemas.openxmlformats.org/officeDocument/2006/relationships/hyperlink" Target="http://data.aade.gr/eli/pri/law/2022/06/16/4941" TargetMode="External" /><Relationship Id="rId55" Type="http://schemas.openxmlformats.org/officeDocument/2006/relationships/hyperlink" Target="http://data.aade.gr/eli/pri/law/2022/06/16/4941" TargetMode="External" /><Relationship Id="rId56" Type="http://schemas.openxmlformats.org/officeDocument/2006/relationships/hyperlink" Target="http://data.aade.gr/eli/pri/law/2022/06/16/4941" TargetMode="External" /><Relationship Id="rId57" Type="http://schemas.openxmlformats.org/officeDocument/2006/relationships/hyperlink" Target="http://data.aade.gr/eli/pri/law/2022/06/16/4941" TargetMode="External" /><Relationship Id="rId58" Type="http://schemas.openxmlformats.org/officeDocument/2006/relationships/hyperlink" Target="http://data.aade.gr/eli/pri/law/2022/06/16/4941" TargetMode="External" /><Relationship Id="rId59" Type="http://schemas.openxmlformats.org/officeDocument/2006/relationships/hyperlink" Target="http://data.aade.gr/eli/pri/law/2022/06/16/4941" TargetMode="External" /><Relationship Id="rId6" Type="http://schemas.openxmlformats.org/officeDocument/2006/relationships/hyperlink" Target="http://data.aade.gr/eli/pri/law/2021/07/09/4816" TargetMode="External" /><Relationship Id="rId60" Type="http://schemas.openxmlformats.org/officeDocument/2006/relationships/hyperlink" Target="http://data.aade.gr/eli/pri/law/2022/06/16/4941" TargetMode="External" /><Relationship Id="rId61" Type="http://schemas.openxmlformats.org/officeDocument/2006/relationships/hyperlink" Target="http://data.aade.gr/eli/pri/law/2022/06/16/4941" TargetMode="External" /><Relationship Id="rId62" Type="http://schemas.openxmlformats.org/officeDocument/2006/relationships/hyperlink" Target="http://data.aade.gr/eli/pri/law/2022/06/16/4941" TargetMode="External" /><Relationship Id="rId63" Type="http://schemas.openxmlformats.org/officeDocument/2006/relationships/hyperlink" Target="http://data.aade.gr/eli/pri/law/2022/06/16/4941" TargetMode="External" /><Relationship Id="rId64" Type="http://schemas.openxmlformats.org/officeDocument/2006/relationships/hyperlink" Target="http://data.aade.gr/eli/pri/law/2022/06/16/4941" TargetMode="External" /><Relationship Id="rId65" Type="http://schemas.openxmlformats.org/officeDocument/2006/relationships/hyperlink" Target="http://data.aade.gr/eli/pri/law/2022/06/16/4941" TargetMode="External" /><Relationship Id="rId66" Type="http://schemas.openxmlformats.org/officeDocument/2006/relationships/hyperlink" Target="http://data.aade.gr/eli/pri/law/2022/06/16/4941" TargetMode="External" /><Relationship Id="rId67" Type="http://schemas.openxmlformats.org/officeDocument/2006/relationships/hyperlink" Target="http://data.aade.gr/eli/pri/law/2022/06/16/4941" TargetMode="External" /><Relationship Id="rId68" Type="http://schemas.openxmlformats.org/officeDocument/2006/relationships/hyperlink" Target="http://data.aade.gr/eli/pri/law/2022/12/08/5000" TargetMode="External" /><Relationship Id="rId69" Type="http://schemas.openxmlformats.org/officeDocument/2006/relationships/hyperlink" Target="http://data.aade.gr/eli/pri/law/2022/06/16/4941" TargetMode="External" /><Relationship Id="rId7" Type="http://schemas.openxmlformats.org/officeDocument/2006/relationships/hyperlink" Target="http://data.aade.gr/eli/pri/law/2021/07/09/4816" TargetMode="External" /><Relationship Id="rId70" Type="http://schemas.openxmlformats.org/officeDocument/2006/relationships/hyperlink" Target="http://data.aade.gr/eli/pri/law/2022/12/08/5000" TargetMode="External" /><Relationship Id="rId71" Type="http://schemas.openxmlformats.org/officeDocument/2006/relationships/hyperlink" Target="http://data.aade.gr/eli/pri/law/2022/06/16/4941" TargetMode="External" /><Relationship Id="rId72" Type="http://schemas.openxmlformats.org/officeDocument/2006/relationships/hyperlink" Target="http://data.aade.gr/eli/pri/law/2022/12/08/5000" TargetMode="External" /><Relationship Id="rId73" Type="http://schemas.openxmlformats.org/officeDocument/2006/relationships/hyperlink" Target="http://data.aade.gr/eli/pri/law/2022/06/16/4941" TargetMode="External" /><Relationship Id="rId74" Type="http://schemas.openxmlformats.org/officeDocument/2006/relationships/hyperlink" Target="http://data.aade.gr/eli/pri/law/2022/12/08/5000" TargetMode="External" /><Relationship Id="rId75" Type="http://schemas.openxmlformats.org/officeDocument/2006/relationships/hyperlink" Target="http://data.aade.gr/eli/pri/law/2022/06/16/4941" TargetMode="External" /><Relationship Id="rId76" Type="http://schemas.openxmlformats.org/officeDocument/2006/relationships/hyperlink" Target="http://data.aade.gr/eli/pri/law/2022/12/08/5000" TargetMode="External" /><Relationship Id="rId77" Type="http://schemas.openxmlformats.org/officeDocument/2006/relationships/hyperlink" Target="http://data.aade.gr/eli/pri/law/2022/06/16/4941" TargetMode="External" /><Relationship Id="rId78" Type="http://schemas.openxmlformats.org/officeDocument/2006/relationships/hyperlink" Target="http://data.aade.gr/eli/pri/law/2022/06/16/4941" TargetMode="External" /><Relationship Id="rId79" Type="http://schemas.openxmlformats.org/officeDocument/2006/relationships/hyperlink" Target="http://data.aade.gr/eli/pri/law/2023/04/08/5042" TargetMode="External" /><Relationship Id="rId8" Type="http://schemas.openxmlformats.org/officeDocument/2006/relationships/hyperlink" Target="http://data.aade.gr/eli/pri/law/2021/07/09/4816" TargetMode="External" /><Relationship Id="rId80" Type="http://schemas.openxmlformats.org/officeDocument/2006/relationships/hyperlink" Target="http://data.aade.gr/eli/pri/law/2021/07/09/4816" TargetMode="External" /><Relationship Id="rId81" Type="http://schemas.openxmlformats.org/officeDocument/2006/relationships/hyperlink" Target="http://data.aade.gr/eli/pri/law/2021/07/09/4816" TargetMode="External" /><Relationship Id="rId82" Type="http://schemas.openxmlformats.org/officeDocument/2006/relationships/hyperlink" Target="http://data.aade.gr/eli/pri/law/2021/07/09/4816" TargetMode="External" /><Relationship Id="rId83" Type="http://schemas.openxmlformats.org/officeDocument/2006/relationships/hyperlink" Target="http://data.aade.gr/eli/pri/law/2021/07/09/4816" TargetMode="External" /><Relationship Id="rId84" Type="http://schemas.openxmlformats.org/officeDocument/2006/relationships/hyperlink" Target="http://data.aade.gr/eli/pri/law/2021/07/09/4816" TargetMode="External" /><Relationship Id="rId85" Type="http://schemas.openxmlformats.org/officeDocument/2006/relationships/hyperlink" Target="http://data.aade.gr/eli/pri/law/2023/04/03/5039" TargetMode="External" /><Relationship Id="rId86" Type="http://schemas.openxmlformats.org/officeDocument/2006/relationships/hyperlink" Target="http://data.aade.gr/eli/pri/law/2021/07/09/4816" TargetMode="External" /><Relationship Id="rId87" Type="http://schemas.openxmlformats.org/officeDocument/2006/relationships/hyperlink" Target="http://data.aade.gr/eli/pri/law/2021/07/09/4816" TargetMode="External" /><Relationship Id="rId88" Type="http://schemas.openxmlformats.org/officeDocument/2006/relationships/hyperlink" Target="http://data.aade.gr/eli/pri/law/2021/07/09/4816" TargetMode="External" /><Relationship Id="rId89" Type="http://schemas.openxmlformats.org/officeDocument/2006/relationships/hyperlink" Target="http://data.aade.gr/eli/pri/law/2021/07/09/4816" TargetMode="External" /><Relationship Id="rId9" Type="http://schemas.openxmlformats.org/officeDocument/2006/relationships/hyperlink" Target="http://data.aade.gr/eli/pri/law/2021/07/09/4816" TargetMode="External" /><Relationship Id="rId90" Type="http://schemas.openxmlformats.org/officeDocument/2006/relationships/hyperlink" Target="http://data.aade.gr/eli/pri/law/2021/07/09/4816" TargetMode="External" /><Relationship Id="rId91" Type="http://schemas.openxmlformats.org/officeDocument/2006/relationships/hyperlink" Target="http://data.aade.gr/eli/pri/law/2021/07/09/4816" TargetMode="External" /><Relationship Id="rId92" Type="http://schemas.openxmlformats.org/officeDocument/2006/relationships/hyperlink" Target="http://data.aade.gr/eli/pri/law/2021/07/09/4816" TargetMode="External" /><Relationship Id="rId93" Type="http://schemas.openxmlformats.org/officeDocument/2006/relationships/hyperlink" Target="http://data.aade.gr/eli/pri/law/2021/07/09/4816" TargetMode="External" /><Relationship Id="rId94" Type="http://schemas.openxmlformats.org/officeDocument/2006/relationships/hyperlink" Target="http://data.aade.gr/eli/pri/law/2021/07/09/4816" TargetMode="External" /><Relationship Id="rId95" Type="http://schemas.openxmlformats.org/officeDocument/2006/relationships/hyperlink" Target="http://data.aade.gr/eli/pri/law/2021/07/09/4816" TargetMode="External" /><Relationship Id="rId96" Type="http://schemas.openxmlformats.org/officeDocument/2006/relationships/hyperlink" Target="http://data.aade.gr/eli/pri/law/2021/07/09/4816" TargetMode="External" /><Relationship Id="rId97" Type="http://schemas.openxmlformats.org/officeDocument/2006/relationships/hyperlink" Target="http://data.aade.gr/eli/pri/law/2021/07/09/4816" TargetMode="External" /><Relationship Id="rId98" Type="http://schemas.openxmlformats.org/officeDocument/2006/relationships/hyperlink" Target="http://data.aade.gr/eli/pri/law/2021/07/09/4816" TargetMode="External" /><Relationship Id="rId99" Type="http://schemas.openxmlformats.org/officeDocument/2006/relationships/hyperlink" Target="http://data.aade.gr/eli/pri/law/2021/07/09/48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