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Ενώσεις Εταιρειών Διαχείρισης Απαιτήσεων από Δάνεια και Πιστώσεις (Ε.Δ.Α.Δ.Π.) και οι διαχειριστές πιστώσεων, αν συντρέχει μια από τις ακόλουθες προϋποθέσεις: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εα)</w:t>
      </w:r>
      <w:r>
        <w:rPr>
          <w:lang w:val="en" w:eastAsia="en"/>
        </w:rPr>
        <w:tab/>
      </w:r>
      <w:r>
        <w:rPr>
          <w:lang w:val="el" w:eastAsia="el"/>
        </w:rPr>
        <w:t>τους επιτρέπεται, βάσει της άδειας λειτουργίας τους, να προβαίνουν σε αναχρηματοδότηση πιστώσεων,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εβ)</w:t>
      </w:r>
      <w:r>
        <w:rPr>
          <w:lang w:val="en" w:eastAsia="en"/>
        </w:rPr>
        <w:tab/>
      </w:r>
      <w:r>
        <w:rPr>
          <w:lang w:val="el" w:eastAsia="el"/>
        </w:rPr>
        <w:t>εισπράττουν και κατέχουν χρηματικά ποσά δανειοληπτών για λογαριασμό των εντολέων τους,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εγ)</w:t>
      </w:r>
      <w:r>
        <w:rPr>
          <w:lang w:val="en" w:eastAsia="en"/>
        </w:rPr>
        <w:tab/>
      </w:r>
      <w:r>
        <w:rPr>
          <w:lang w:val="el" w:eastAsia="el"/>
        </w:rPr>
        <w:t>διαχειρίζονται πιστώσεις για λογαριασμό μη εποπτευόμενου από την Τράπεζα της Ελλάδος, πιστωτικού ή χρηματοδοτικού ιδρύματος, που δεν υπόκειται πρωτογενώς στις υποχρεώσεις που απορρέουν από τον εποπτικό ρόλο της Τράπεζας της Ελλάδος.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κα)</w:t>
      </w:r>
      <w:r>
        <w:rPr>
          <w:lang w:val="en" w:eastAsia="en"/>
        </w:rPr>
        <w:tab/>
      </w:r>
      <w:r>
        <w:rPr>
          <w:lang w:val="el" w:eastAsia="el"/>
        </w:rPr>
        <w:t>πάροχοι υπηρεσιών κρυπτοστοιχείων.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και συμπεριλαμβανομένων των καθιερωμένων σχέσεων για συναλλαγές τίτλων ή μεταφορές χρηματικών ποσών ή των καθιερωμένων σχέσεων για συναλλαγές σε κρυπτοστοιχεία ή μεταφορές κρυπτοστοιχείων.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«Κρυπτοστοιχείο»: Το κρυπτοστοιχείο, όπως ορίζεται στην περ. 5) της παρ. 1 του άρθρου 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2019/1937 (L 150), εκτός αν εμπίπτει στις κατηγορίες των παραγράφων 2, 3 και 4 του άρθρου 2 του εν λόγω Κανονισμού ή χαρακτηρίζεται ως χρηματικό ποσό.</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25.</w:t>
      </w:r>
      <w:r>
        <w:rPr>
          <w:lang w:val="el" w:eastAsia="el"/>
        </w:rPr>
        <w:t xml:space="preserve"> «Πάροχος υπηρεσιών κρυπτοστοιχείων»: Ο πάροχος υπηρεσιών κρυπτοστοιχείων, όπως ορίζεται στην περ. 15) της παρ. 1 του άρθρου 3 του Κανονισμού (ΕΕ) 2023/1114, εφόσον παρέχει μία ή περισσότερες υπηρεσίες κρυπτοστοιχείων, όπως ορίζονται στην περ. 16) της παρ. 1 του άρθρου 3 του εν λόγω Κανονισμού, με εξαίρεση την παροχή συμβουλών σχετικά με κρυπτοστοιχεία, όπως αναφέρεται στην υποπερ. η) της περ. 16) της παρ. 1 του άρθρου 3 του εν λόγω Κανονισμού.</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26.</w:t>
      </w:r>
      <w:r>
        <w:rPr>
          <w:lang w:val="el" w:eastAsia="el"/>
        </w:rPr>
        <w:t xml:space="preserve"> «Αυτοφιλοξενούμενη διεύθυνση»: Η αυτοφιλοξενούμενη διεύθυνση, όπως ορίζεται στην περ. 20) του άρθρου 3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η διακεκριμένη αποδοχή και διάθεση προϊόντων εγκλήματος κατά την παρ. 2 του άρθρου 394Α ΠΚ και η τοκογλυφία κατά το άρθρο 404 ΠΚ,</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κβ)</w:t>
      </w:r>
      <w:r>
        <w:rPr>
          <w:lang w:val="en" w:eastAsia="en"/>
        </w:rPr>
        <w:tab/>
      </w:r>
      <w:r>
        <w:rPr>
          <w:lang w:val="el" w:eastAsia="el"/>
        </w:rPr>
        <w:t>παραβίαση περιοριστικών μέτρων της Ευρωπαϊκής Ένωσης, όπως θεσπίζονται βάσει του άρθρου 29 της Συνθήκης για την Ευρωπαϊκή Ένωση ή του άρθρου 215 της Συνθήκης για τη Λειτουργία της Ευρωπαϊκής Ένωσης.</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ιγ)</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κ' του στοιχείου 3 του άρθρου 3,</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αιγ)</w:t>
      </w:r>
      <w:r>
        <w:rPr>
          <w:lang w:val="en" w:eastAsia="en"/>
        </w:rPr>
        <w:tab/>
      </w:r>
      <w:r>
        <w:rPr>
          <w:lang w:val="el" w:eastAsia="el"/>
        </w:rPr>
        <w:t>τους παρόχους υπηρεσιών κρυπτοστοιχείων που είναι πιστωτικά ιδρύματα, ιδρύματα ηλεκτρονικού χρήματος και ιδρύματα πληρωμών σύμφωνα με την παρ. 1 του άρθρου 93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2019/1937 (Ε 150) και των εφαρμοστικών μέτρων αυτού.</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κρυπτοστοιχείων σύμφωνα με την παρ. 1 του άρθρου 93 του Κανονισμού 2023/1114 και των εφαρμοστικών μέτρων αυτού,</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βθ)</w:t>
      </w:r>
      <w:r>
        <w:rPr>
          <w:lang w:val="en" w:eastAsia="en"/>
        </w:rPr>
        <w:tab/>
      </w:r>
      <w:r>
        <w:rPr>
          <w:lang w:val="el" w:eastAsia="el"/>
        </w:rPr>
        <w:t>(…)</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και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Για τον σκοπό αυτό,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Οι ανωτέρω αρμοδιότητες του Κεντρικού Συντονιστικού Φορέα ασκούνται από την αρμόδια υπηρεσία της Γενικής Γραμματείας Οικονομικής Πολιτικής και Στρατηγικής.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Φορολογίας της Ανεξάρτητης Αρχής Δημοσίων Εσόδων (Α.Α.Δ.Ε.),</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του Υπουργείου Εθνικής Οικονομίας και Οικονομικών,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Γενική Γραμματεία Οικονομικής Πολιτικής και Στρατηγικής του Υπουργείου Εθνικής Οικονομίας και Οικονομικών.</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51"/>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71"/>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ή της Επιτροπής Κεφαλαιαγοράς, κατά λόγο αρμοδιότητας, μπορεί να εξειδικεύονται διατάξεις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λαμβάνοντας υπόψη τις σχετικές κατευθυντήριες οδηγίες της Ευρωπαϊκής Αρχής Τραπεζών. Ο Κανονισμός (ΕΕ) 2023/1113 δεν εφαρμόζεται στις μεταφορές χρηματικών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χρηματικών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γ)</w:t>
      </w:r>
      <w:r>
        <w:rPr>
          <w:lang w:val="en" w:eastAsia="en"/>
        </w:rPr>
        <w:tab/>
      </w:r>
      <w:r>
        <w:rPr>
          <w:lang w:val="el" w:eastAsia="el"/>
        </w:rPr>
        <w:t>το χρηματικό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17Α, 17Β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παρ.4.</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1α.</w:t>
      </w:r>
      <w:r>
        <w:rPr>
          <w:lang w:val="el" w:eastAsia="el"/>
        </w:rPr>
        <w:t xml:space="preserve"> Τα πιστωτικά ιδρύματα και οι χρηματοπιστωτικοί οργανισμοί, στο πλαίσιο εφαρμογής μέτρων αυξημένης δέουσας επιμέλειας, κατά την έναρξη της επιχειρηματικής σχέσης, επαληθεύουν τα ετήσια εισοδήματα πελατών: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που είναι φυσικά πρόσωπα, βάσει του εκκαθαριστικού σημειώματος φορολογίας εισοδήματος, και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που είναι νομικά πρόσωπα, βάσει της υποβληθείσας δήλωσης φορολογίας εισοδήματος, εκτός αν ο πελάτης δεν υποχρεούται να υποβάλλει δήλωση φόρου εισοδήματος.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203"/>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b/>
          <w:bCs/>
          <w:lang w:val="el" w:eastAsia="el"/>
        </w:rPr>
        <w:t xml:space="preserve">Άρθρο 17Α. </w:t>
      </w:r>
    </w:p>
    <w:p>
      <w:pPr>
        <w:pStyle w:val="Heading6"/>
        <w:spacing w:before="240" w:after="240"/>
        <w:rPr>
          <w:lang w:val="el" w:eastAsia="el"/>
        </w:rPr>
      </w:pPr>
      <w:r>
        <w:rPr>
          <w:b/>
          <w:bCs/>
          <w:lang w:val="el" w:eastAsia="el"/>
        </w:rPr>
        <w:t>Μέτρα για τον μετριασμό των κινδύνων που αφορούν συναλλαγές με αυτοφιλοξενούμενη διεύθυνση</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b/>
          <w:bCs/>
          <w:lang w:val="el" w:eastAsia="el"/>
        </w:rPr>
        <w:t xml:space="preserve"> Οι πάροχοι υπηρεσιών κρυπτοστοιχείων εντοπίζουν και αξιολογούν τον κίνδυνο νομιμοποίησης εσόδων από εγκληματικές δραστηριότητες και χρηματοδότησης της τρομοκρατίας που συνδέεται με μεταφορές κρυπτοστοιχείων που απευθύνονται προς ή προέρχονται από αυτοφιλοξενούμενη διεύθυνση. Για τον σκοπό αυτόν εφαρμόζουν εσωτερικές πολιτικές, διαδικασίες, ελέγχους και μέτρα μετριασμού ανάλογα προς τους εντοπιζόμενους κινδύνους, τα οποία περιλαμβάνουν ένα (1) ή περισσότερα από τα ακόλουθα:</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α)</w:t>
      </w:r>
      <w:r>
        <w:rPr>
          <w:b/>
          <w:bCs/>
          <w:lang w:val="en" w:eastAsia="en"/>
        </w:rPr>
        <w:tab/>
      </w:r>
      <w:r>
        <w:rPr>
          <w:b/>
          <w:bCs/>
          <w:lang w:val="el" w:eastAsia="el"/>
        </w:rPr>
        <w:t>Μέτρα βάσει κινδύνου για τον εντοπισμό και την επαλήθευση της ταυτότητας του εντολέα ή του δικαιούχου μεταφοράς που πραγματοποιείται προς ή από αυτοφιλοξενούμενη διεύθυνση ή του πραγματικού δικαιούχου του εν λόγω εντολέα ή δικαιούχου κρυπτοστοιχείων, μεταξύ άλλων μέσω στήριξης σε τρίτους,</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β)</w:t>
      </w:r>
      <w:r>
        <w:rPr>
          <w:b/>
          <w:bCs/>
          <w:lang w:val="en" w:eastAsia="en"/>
        </w:rPr>
        <w:tab/>
      </w:r>
      <w:r>
        <w:rPr>
          <w:b/>
          <w:bCs/>
          <w:lang w:val="el" w:eastAsia="el"/>
        </w:rPr>
        <w:t>απαίτηση επιπλέον στοιχείων σχετικά με την προέλευση και τον προορισμό των μεταφερόμενων κρυπτοστοιχείων,</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γ)</w:t>
      </w:r>
      <w:r>
        <w:rPr>
          <w:b/>
          <w:bCs/>
          <w:lang w:val="en" w:eastAsia="en"/>
        </w:rPr>
        <w:tab/>
      </w:r>
      <w:r>
        <w:rPr>
          <w:b/>
          <w:bCs/>
          <w:lang w:val="el" w:eastAsia="el"/>
        </w:rPr>
        <w:t>διεξαγωγή ενισχυμένης συνεχούς παρακολούθησης των εν λόγω συναλλαγών,</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δ)</w:t>
      </w:r>
      <w:r>
        <w:rPr>
          <w:b/>
          <w:bCs/>
          <w:lang w:val="en" w:eastAsia="en"/>
        </w:rPr>
        <w:tab/>
      </w:r>
      <w:r>
        <w:rPr>
          <w:b/>
          <w:bCs/>
          <w:lang w:val="el" w:eastAsia="el"/>
        </w:rPr>
        <w:t>κάθε άλλο μέτρο για τον μετριασμό και τη διαχείριση των κινδύνων νομιμοποίησης εσόδων από εγκληματικές δραστηριότητες και χρηματοδότησης της τρομοκρατίας, καθώς και του κινδύνου μη εφαρμογής και αποφυγής στοχευμένων οικονομικών κυρώσεων και στοχευμένων οικονομικών κυρώσεων που σχετίζονται με τη χρηματοδότηση της διάδοσης όπλων μαζικής καταστροφής.</w:t>
      </w:r>
      <w:r>
        <w:rPr>
          <w:rStyle w:val="Hyperlink"/>
          <w:b/>
          <w:bCs/>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17B. </w:t>
      </w:r>
    </w:p>
    <w:p>
      <w:pPr>
        <w:pStyle w:val="Heading6"/>
        <w:spacing w:before="240" w:after="240"/>
        <w:rPr>
          <w:lang w:val="el" w:eastAsia="el"/>
        </w:rPr>
      </w:pPr>
      <w:r>
        <w:rPr>
          <w:b/>
          <w:bCs/>
          <w:lang w:val="el" w:eastAsia="el"/>
        </w:rPr>
        <w:t>Ειδικά μέτρα αυξημένης δέουσας επιμέλειας για διασυνοριακές σχέσεις ανταπόκρισης για παρόχους υπηρεσιών κρυπτοστοιχείων</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Κατά παρέκκλιση από την παρ. 1 του άρθρου 17, περί διασυνοριακών σχέσεων ανταπόκρισης, όσον αφορά τις διασυνοριακές σχέσεις ανταπόκρισης που περιλαμβάνουν την εκτέλεση υπηρεσιών κρυπτοστοιχείων, όπως ορίζονται στην περ. 16) της παρ. 1 του άρθρου 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περί ορισμών, εξαιρουμένης της υποπερ. η), με οντότητα πελάτη που δεν είναι εγκατεστημένη στην Ευρωπαϊκή Ένωση και παρέχει παρόμοιες υπηρεσίες, συμπεριλαμβανομένων των μεταφορών κρυπτοστοιχείων, οι πάροχοι υπηρεσιών κρυπτοστοιχείων, επιπλέον των μέτρων δέουσας επιμέλειας ως προς τον πελάτη που προβλέπονται στο άρθρο 13 του παρόντος, όταν συνάπτουν επιχειρηματική σχέση με τέτοια οντότητα:</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διαπιστώνουν αν η οντότητα πελάτης έχει λάβει άδεια ή έχει εγγραφεί σε μητρώο,</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β)</w:t>
      </w:r>
      <w:r>
        <w:rPr>
          <w:b/>
          <w:bCs/>
          <w:lang w:val="en" w:eastAsia="en"/>
        </w:rPr>
        <w:tab/>
      </w:r>
      <w:r>
        <w:rPr>
          <w:b/>
          <w:bCs/>
          <w:lang w:val="el" w:eastAsia="el"/>
        </w:rPr>
        <w:t>συγκεντρώνουν επαρκείς πληροφορίες σχετικά με την οντότητα πελάτη για να κατανοήσουν πλήρως τη φύση των επιχειρηματικών δραστηριοτήτων της και να εκτιμήσουν, από τις δημόσια διαθέσιμες πληροφορίες, τη φήμη της οντότητας και την ποιότητα της εποπτείας που ασκείται επ' αυτής,</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γ)</w:t>
      </w:r>
      <w:r>
        <w:rPr>
          <w:b/>
          <w:bCs/>
          <w:lang w:val="en" w:eastAsia="en"/>
        </w:rPr>
        <w:tab/>
      </w:r>
      <w:r>
        <w:rPr>
          <w:b/>
          <w:bCs/>
          <w:lang w:val="el" w:eastAsia="el"/>
        </w:rPr>
        <w:t>αξιολογούν τους ελέγχους που διενεργεί η οντότητα - πελάτης κατά της νομιμοποίησης εσόδων από εγκληματικές δραστηριότητες και της χρηματοδότησης της τρομοκρατίας,</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δ)</w:t>
      </w:r>
      <w:r>
        <w:rPr>
          <w:b/>
          <w:bCs/>
          <w:lang w:val="en" w:eastAsia="en"/>
        </w:rPr>
        <w:tab/>
      </w:r>
      <w:r>
        <w:rPr>
          <w:b/>
          <w:bCs/>
          <w:lang w:val="el" w:eastAsia="el"/>
        </w:rPr>
        <w:t>λαμβάνουν έγκριση ανώτερου διοικητικού στελέχους πριν από τη σύναψη νέων σχέσεων ανταπόκρισης,</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ε)</w:t>
      </w:r>
      <w:r>
        <w:rPr>
          <w:b/>
          <w:bCs/>
          <w:lang w:val="en" w:eastAsia="en"/>
        </w:rPr>
        <w:tab/>
      </w:r>
      <w:r>
        <w:rPr>
          <w:b/>
          <w:bCs/>
          <w:lang w:val="el" w:eastAsia="el"/>
        </w:rPr>
        <w:t>προσδιορίζουν ρητά τις αρμοδιότητες κάθε μέρους στο πλαίσιο της σύμβασης ανταπόκρισης,</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στ)</w:t>
      </w:r>
      <w:r>
        <w:rPr>
          <w:b/>
          <w:bCs/>
          <w:lang w:val="en" w:eastAsia="en"/>
        </w:rPr>
        <w:tab/>
      </w:r>
      <w:r>
        <w:rPr>
          <w:b/>
          <w:bCs/>
          <w:lang w:val="el" w:eastAsia="el"/>
        </w:rPr>
        <w:t>διασφαλίζουν επί λογαριασμών πλάγιας πρόσβασης κρυπτοστοιχείων ότι η οντότητα πελάτης έχει επαληθεύσει την ταυτότητα των πελατών που έχουν άμεση πρόσβαση στους λογαριασμούς της ανταποκρίτριας οντότητας, ασκεί συνεχή δέουσα επιμέλεια ως προς αυτούς, και είναι σε θέση να παράσχει, κατόπιν αιτήματος, τα σχετικά δεδομένα δέουσας επιμέλειας ως προς τον πελάτη στην ανταποκρίτρια οντότητα.</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Αν οι πάροχοι υπηρεσιών κρυπτοστοιχείων αποφασίσουν να τερματίσουν τις σχέσεις ανταπόκρισης για λόγους που σχετίζονται με την πολιτική πρόληψης της νομιμοποίησης εσόδων από εγκληματικές δραστηριότητες και καταπολέμησης της τρομοκρατίας, τεκμηριώνουν και καταχωρίζουν στα αρχεία τους την απόφασή τους.</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Οι πάροχοι υπηρεσιών κρυπτοστοιχείων επικαιροποιούν τα στοιχεία δέουσας επιμέλειας για τη σχέση ανταπόκρισης σε τακτική βάση ή όταν προκύπτουν νέοι κίνδυνοι σε σχέση με την οντότητα πελάτη.</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w:t>
      </w:r>
      <w:r>
        <w:rPr>
          <w:b/>
          <w:bCs/>
          <w:lang w:val="el" w:eastAsia="el"/>
        </w:rPr>
        <w:t xml:space="preserve"> Οι πάροχοι υπηρεσιών κρυπτοστοιχείων λαμβάνουν υπόψη τα στοιχεία που αναφέρονται στην παρ. 1 προκειμένου να καθορίσουν, ανάλογα με τον βαθμό κινδύνου, τα ενδεδειγμένα μέτρα για τον μετριασμό των κινδύνων που συνδέονται με την οντότητα πελάτη.</w:t>
      </w:r>
      <w:r>
        <w:rPr>
          <w:rStyle w:val="Hyperlink"/>
          <w:b/>
          <w:bCs/>
          <w:color w:val="000000"/>
          <w:sz w:val="20"/>
          <w:szCs w:val="20"/>
          <w:u w:val="none" w:color="0000EE"/>
          <w:vertAlign w:val="superscript"/>
          <w:lang w:val="el" w:eastAsia="el"/>
        </w:rPr>
        <w:footnoteReference w:id="2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b/>
          <w:bCs/>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b/>
          <w:bCs/>
          <w:lang w:val="el" w:eastAsia="el"/>
        </w:rPr>
        <w:t>α)</w:t>
      </w:r>
      <w:r>
        <w:rPr>
          <w:b/>
          <w:bCs/>
          <w:lang w:val="en" w:eastAsia="en"/>
        </w:rPr>
        <w:tab/>
      </w:r>
      <w:r>
        <w:rPr>
          <w:b/>
          <w:bCs/>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b/>
          <w:bCs/>
          <w:lang w:val="el" w:eastAsia="el"/>
        </w:rPr>
        <w:t>β)</w:t>
      </w:r>
      <w:r>
        <w:rPr>
          <w:b/>
          <w:bCs/>
          <w:lang w:val="en" w:eastAsia="en"/>
        </w:rPr>
        <w:tab/>
      </w:r>
      <w:r>
        <w:rPr>
          <w:b/>
          <w:bCs/>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b/>
          <w:bCs/>
          <w:lang w:val="el" w:eastAsia="el"/>
        </w:rPr>
        <w:t>γ)</w:t>
      </w:r>
      <w:r>
        <w:rPr>
          <w:b/>
          <w:bCs/>
          <w:lang w:val="en" w:eastAsia="en"/>
        </w:rPr>
        <w:tab/>
      </w:r>
      <w:r>
        <w:rPr>
          <w:b/>
          <w:bCs/>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b/>
          <w:bCs/>
          <w:lang w:val="el" w:eastAsia="el"/>
        </w:rPr>
        <w:t>δ)</w:t>
      </w:r>
      <w:r>
        <w:rPr>
          <w:b/>
          <w:bCs/>
          <w:lang w:val="en" w:eastAsia="en"/>
        </w:rPr>
        <w:tab/>
      </w:r>
      <w:r>
        <w:rPr>
          <w:b/>
          <w:bCs/>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b/>
          <w:bCs/>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b/>
          <w:bCs/>
          <w:lang w:val="el" w:eastAsia="el"/>
        </w:rPr>
        <w:t>α)</w:t>
      </w:r>
      <w:r>
        <w:rPr>
          <w:b/>
          <w:bCs/>
          <w:lang w:val="en" w:eastAsia="en"/>
        </w:rPr>
        <w:tab/>
      </w:r>
      <w:r>
        <w:rPr>
          <w:b/>
          <w:bCs/>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b/>
          <w:bCs/>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5.</w:t>
      </w:r>
      <w:r>
        <w:rPr>
          <w:b/>
          <w:bCs/>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b/>
          <w:bCs/>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ως τρίτα μέρη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πιστωτικά ιδρύματα,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εταιρείες χρηματοδοτικής μίσθωσης,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πρακτορείας επιχειρηματικών απαιτήσεων τρίτων,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εταιρείες επενδύσεων χαρτοφυλακίου,</w:t>
      </w:r>
    </w:p>
    <w:p>
      <w:pPr>
        <w:pStyle w:val="StructureList1"/>
        <w:spacing w:before="120" w:after="0"/>
        <w:rPr>
          <w:lang w:val="el" w:eastAsia="el"/>
        </w:rPr>
      </w:pPr>
      <w:r>
        <w:rPr>
          <w:b/>
          <w:bCs/>
          <w:lang w:val="el" w:eastAsia="el"/>
        </w:rPr>
        <w:t>ε)</w:t>
      </w:r>
      <w:r>
        <w:rPr>
          <w:b/>
          <w:bCs/>
          <w:lang w:val="en" w:eastAsia="en"/>
        </w:rPr>
        <w:tab/>
      </w:r>
      <w:r>
        <w:rPr>
          <w:b/>
          <w:bCs/>
          <w:lang w:val="el" w:eastAsia="el"/>
        </w:rPr>
        <w:t>οι εταιρείες διαχείρισης αμοιβαίων κεφαλαίων,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εταιρείες παροχής επενδυτικών υπηρεσιών,</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εταιρείες επενδυτικής διαμεσολάβησης,</w:t>
      </w:r>
    </w:p>
    <w:p>
      <w:pPr>
        <w:pStyle w:val="StructureList1"/>
        <w:spacing w:before="120" w:after="0"/>
        <w:rPr>
          <w:lang w:val="el" w:eastAsia="el"/>
        </w:rPr>
      </w:pPr>
      <w:r>
        <w:rPr>
          <w:b/>
          <w:bCs/>
          <w:lang w:val="el" w:eastAsia="el"/>
        </w:rPr>
        <w:t>η)</w:t>
      </w:r>
      <w:r>
        <w:rPr>
          <w:b/>
          <w:bCs/>
          <w:lang w:val="en" w:eastAsia="en"/>
        </w:rPr>
        <w:tab/>
      </w:r>
      <w:r>
        <w:rPr>
          <w:b/>
          <w:bCs/>
          <w:lang w:val="el" w:eastAsia="el"/>
        </w:rPr>
        <w:t>οι ασφαλιστικές εταιρείες,</w:t>
      </w:r>
    </w:p>
    <w:p>
      <w:pPr>
        <w:pStyle w:val="StructureList1"/>
        <w:spacing w:before="120" w:after="0"/>
        <w:rPr>
          <w:lang w:val="el" w:eastAsia="el"/>
        </w:rPr>
      </w:pPr>
      <w:r>
        <w:rPr>
          <w:b/>
          <w:bCs/>
          <w:lang w:val="el" w:eastAsia="el"/>
        </w:rPr>
        <w:t>θ)</w:t>
      </w:r>
      <w:r>
        <w:rPr>
          <w:b/>
          <w:bCs/>
          <w:lang w:val="en" w:eastAsia="en"/>
        </w:rPr>
        <w:tab/>
      </w:r>
      <w:r>
        <w:rPr>
          <w:b/>
          <w:bCs/>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w:t>
      </w:r>
      <w:r>
        <w:rPr>
          <w:b/>
          <w:bCs/>
          <w:lang w:val="el" w:eastAsia="el"/>
        </w:rPr>
        <w:t xml:space="preserve"> Τα υπόχρεα πρόσωπα που στηρίζονται σε τρίτο μέρος:</w:t>
      </w:r>
    </w:p>
    <w:p>
      <w:pPr>
        <w:pStyle w:val="StructureList1"/>
        <w:spacing w:before="120" w:after="0"/>
        <w:rPr>
          <w:lang w:val="el" w:eastAsia="el"/>
        </w:rPr>
      </w:pPr>
      <w:r>
        <w:rPr>
          <w:b/>
          <w:bCs/>
          <w:lang w:val="el" w:eastAsia="el"/>
        </w:rPr>
        <w:t>α)</w:t>
      </w:r>
      <w:r>
        <w:rPr>
          <w:b/>
          <w:bCs/>
          <w:lang w:val="en" w:eastAsia="en"/>
        </w:rPr>
        <w:tab/>
      </w:r>
      <w:r>
        <w:rPr>
          <w:b/>
          <w:bCs/>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b/>
          <w:bCs/>
          <w:lang w:val="el" w:eastAsia="el"/>
        </w:rPr>
        <w:t>β)</w:t>
      </w:r>
      <w:r>
        <w:rPr>
          <w:b/>
          <w:bCs/>
          <w:lang w:val="en" w:eastAsia="en"/>
        </w:rPr>
        <w:tab/>
      </w:r>
      <w:r>
        <w:rPr>
          <w:b/>
          <w:bCs/>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4.</w:t>
      </w:r>
      <w:r>
        <w:rPr>
          <w:b/>
          <w:bCs/>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b/>
          <w:bCs/>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b/>
          <w:bCs/>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b/>
          <w:bCs/>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του Υπουργού Οικονομικών του πρώτου εδαφίου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b/>
          <w:bCs/>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w:t>
      </w:r>
      <w:r>
        <w:rPr>
          <w:b/>
          <w:bCs/>
          <w:lang w:val="el" w:eastAsia="el"/>
        </w:rPr>
        <w:t xml:space="preserve"> 4.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Ο Κεντρικός Συντονιστικός Φορέας ενημερώνει τη Γ.Γ.Π.Σ.Δ.Δ. για κάθε νέα απαίτηση που χρήζει ενσωμάτωσης στις διαδικτυακές εφαρμογές του Κ.Μ.Π.Δ., σύμφωνα με την παρ. 11. Η Γενική Διεύθυνση Σώματος Δίωξης Οικονομικού Εγκλήματος (Γ.Δ.Σ.Δ.Ο.Ε.) του Υπουργείου Εθνικής Οικονομίας και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5.</w:t>
      </w:r>
      <w:r>
        <w:rPr>
          <w:b/>
          <w:bCs/>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6.</w:t>
      </w:r>
      <w:r>
        <w:rPr>
          <w:b/>
          <w:bCs/>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7.</w:t>
      </w:r>
      <w:r>
        <w:rPr>
          <w:b/>
          <w:bCs/>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β)</w:t>
      </w:r>
      <w:r>
        <w:rPr>
          <w:b/>
          <w:bCs/>
          <w:lang w:val="en" w:eastAsia="en"/>
        </w:rPr>
        <w:tab/>
      </w:r>
      <w:r>
        <w:rPr>
          <w:b/>
          <w:bCs/>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κατόπιν σχετικής εισήγησης της Αρχής, απόφαση του Υπουργού Οικονομικών που δεν δημοσιεύεται, η οποία κοινοποιείται στην Γ.Δ.Σ.Δ.Ο.Ε. και στην Α.Α.Δ.Ε..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γ)</w:t>
      </w:r>
      <w:r>
        <w:rPr>
          <w:b/>
          <w:bCs/>
          <w:lang w:val="en" w:eastAsia="en"/>
        </w:rPr>
        <w:tab/>
      </w:r>
      <w:r>
        <w:rPr>
          <w:b/>
          <w:bCs/>
          <w:lang w:val="el" w:eastAsia="el"/>
        </w:rPr>
        <w:t>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8.</w:t>
      </w:r>
      <w:r>
        <w:rPr>
          <w:b/>
          <w:bCs/>
          <w:lang w:val="el" w:eastAsia="el"/>
        </w:rPr>
        <w:t xml:space="preserve"> Επιβάλλεται πρόστιμο, σύμφωνα με τα οριζόμενα στις παρ. 9 και 11, για καθεμία από τις κάτωθι παραβάσεις, εφόσον το νομικό πρόσωπο ή η νομική οντότητα της παρ.1:</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αρχική ή τροποποιητική δήλωση καταχώρισης των στοιχείων των πραγματικών δικαιούχων στο Κ.Μ.Π.Δ. κατά τα οριζόμενα στην παρ. 1,</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β)</w:t>
      </w:r>
      <w:r>
        <w:rPr>
          <w:b/>
          <w:bCs/>
          <w:lang w:val="en" w:eastAsia="en"/>
        </w:rPr>
        <w:tab/>
      </w:r>
      <w:r>
        <w:rPr>
          <w:b/>
          <w:bCs/>
          <w:lang w:val="el" w:eastAsia="el"/>
        </w:rPr>
        <w:t>υποβάλλει εκπρόθεσμα αρχική ή τροποποιητική δήλωση καταχώρισης των στοιχείων των πραγματικών δικαιούχων στο Κ.Μ.Π.Δ. κατά τα οριζόμενα στην παρ. 1,</w:t>
      </w:r>
      <w:r>
        <w:rPr>
          <w:rStyle w:val="Hyperlink"/>
          <w:b/>
          <w:bCs/>
          <w:color w:val="000000"/>
          <w:sz w:val="20"/>
          <w:szCs w:val="20"/>
          <w:u w:val="none" w:color="0000EE"/>
          <w:vertAlign w:val="superscript"/>
          <w:lang w:val="el" w:eastAsia="el"/>
        </w:rPr>
        <w:footnoteReference w:id="239"/>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υποβάλλει ελλιπή ή ανακριβή αρχική ή τροποποιητική δήλωση καταχώρισης των στοιχείων των πραγματικών δικαιούχων στο Κ.Μ.Π.Δ. κατά τα οριζόμενα στην παρ. 1,</w:t>
      </w:r>
      <w:r>
        <w:rPr>
          <w:rStyle w:val="Hyperlink"/>
          <w:b/>
          <w:bCs/>
          <w:color w:val="000000"/>
          <w:sz w:val="20"/>
          <w:szCs w:val="20"/>
          <w:u w:val="none" w:color="0000EE"/>
          <w:vertAlign w:val="superscript"/>
          <w:lang w:val="el" w:eastAsia="el"/>
        </w:rPr>
        <w:footnoteReference w:id="240"/>
      </w:r>
    </w:p>
    <w:p>
      <w:pPr>
        <w:pStyle w:val="StructureList1"/>
        <w:spacing w:before="120" w:after="0"/>
        <w:rPr>
          <w:lang w:val="el" w:eastAsia="el"/>
        </w:rPr>
      </w:pPr>
      <w:r>
        <w:rPr>
          <w:b/>
          <w:bCs/>
          <w:lang w:val="el" w:eastAsia="el"/>
        </w:rPr>
        <w:t>δ)</w:t>
      </w:r>
      <w:r>
        <w:rPr>
          <w:b/>
          <w:bCs/>
          <w:lang w:val="en" w:eastAsia="en"/>
        </w:rPr>
        <w:tab/>
      </w:r>
      <w:r>
        <w:rPr>
          <w:b/>
          <w:bCs/>
          <w:lang w:val="el" w:eastAsia="el"/>
        </w:rPr>
        <w:t>δεν τηρεί σε ειδικό μητρώο στην έδρα ή τη μόνιμη εγκατάσταση τις πληροφορίες της παρ. 1..</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9.</w:t>
      </w:r>
      <w:r>
        <w:rPr>
          <w:b/>
          <w:bCs/>
          <w:lang w:val="el" w:eastAsia="el"/>
        </w:rPr>
        <w:t xml:space="preserve"> Τα πρόστιμα για τις παραβάσεις που αναφέρονται στην παρ. 8 καθορίζονται ως εξής:</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α)</w:t>
      </w:r>
      <w:r>
        <w:rPr>
          <w:b/>
          <w:bCs/>
          <w:lang w:val="en" w:eastAsia="en"/>
        </w:rPr>
        <w:tab/>
      </w:r>
      <w:r>
        <w:rPr>
          <w:b/>
          <w:bCs/>
          <w:lang w:val="el" w:eastAsia="el"/>
        </w:rPr>
        <w:t>για κάθε παράβαση των περ. α', γ' και δ' της παρ. 8:</w:t>
      </w:r>
      <w:r>
        <w:rPr>
          <w:rStyle w:val="Hyperlink"/>
          <w:b/>
          <w:bCs/>
          <w:color w:val="000000"/>
          <w:sz w:val="20"/>
          <w:szCs w:val="20"/>
          <w:u w:val="none" w:color="0000EE"/>
          <w:vertAlign w:val="superscript"/>
          <w:lang w:val="el" w:eastAsia="el"/>
        </w:rPr>
        <w:footnoteReference w:id="243"/>
      </w:r>
    </w:p>
    <w:p>
      <w:pPr>
        <w:pStyle w:val="StructureList1"/>
        <w:spacing w:before="120" w:after="0"/>
        <w:rPr>
          <w:lang w:val="el" w:eastAsia="el"/>
        </w:rPr>
      </w:pPr>
      <w:r>
        <w:rPr>
          <w:b/>
          <w:bCs/>
          <w:lang w:val="el" w:eastAsia="el"/>
        </w:rPr>
        <w:t>αα)</w:t>
      </w:r>
      <w:r>
        <w:rPr>
          <w:b/>
          <w:bCs/>
          <w:lang w:val="en" w:eastAsia="en"/>
        </w:rPr>
        <w:tab/>
      </w:r>
      <w:r>
        <w:rPr>
          <w:b/>
          <w:bCs/>
          <w:lang w:val="el" w:eastAsia="el"/>
        </w:rPr>
        <w:t>5.000 ευρώ για νομικά πρόσωπα και νομικές οντότητες κερδοσκοπικού χαρακτήρα με καθαρό κύκλο εργασιών έως και 100.000 ευρώ, κατά το προηγούμενο έτος της παράβασης,</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αβ)</w:t>
      </w:r>
      <w:r>
        <w:rPr>
          <w:b/>
          <w:bCs/>
          <w:lang w:val="en" w:eastAsia="en"/>
        </w:rPr>
        <w:tab/>
      </w:r>
      <w:r>
        <w:rPr>
          <w:b/>
          <w:bCs/>
          <w:lang w:val="el" w:eastAsia="el"/>
        </w:rPr>
        <w:t>10.000 ευρώ για νομικά πρόσωπα και νομικές οντότητες κερδοσκοπικού χαρακτήρα με καθαρό κύκλο εργασιών άνω των 100.000 ευρώ έως και 700.000 ευρώ, κατά το προηγούμενο έτος της παράβασης,</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αγ)</w:t>
      </w:r>
      <w:r>
        <w:rPr>
          <w:b/>
          <w:bCs/>
          <w:lang w:val="en" w:eastAsia="en"/>
        </w:rPr>
        <w:tab/>
      </w:r>
      <w:r>
        <w:rPr>
          <w:b/>
          <w:bCs/>
          <w:lang w:val="el" w:eastAsia="el"/>
        </w:rPr>
        <w:t>20.000 ευρώ για νομικά πρόσωπα και νομικές οντότητες κερδοσκοπικού χαρακτήρα με καθαρό κύκλο εργασιών άνω των 700.000 ευρώ έως και 8.000.000 ευρώ, κατά το προηγούμενο έτος της παράβασης,</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αδ)</w:t>
      </w:r>
      <w:r>
        <w:rPr>
          <w:b/>
          <w:bCs/>
          <w:lang w:val="en" w:eastAsia="en"/>
        </w:rPr>
        <w:tab/>
      </w:r>
      <w:r>
        <w:rPr>
          <w:b/>
          <w:bCs/>
          <w:lang w:val="el" w:eastAsia="el"/>
        </w:rPr>
        <w:t>40.000 ευρώ για νομικά πρόσωπα και νομικές οντότητες κερδοσκοπικού χαρακτήρα με καθαρό κύκλο εργασιών άνω των 8.000.000 ευρώ, κατά το προηγούμενο έτος της παράβασης,</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αε)</w:t>
      </w:r>
      <w:r>
        <w:rPr>
          <w:b/>
          <w:bCs/>
          <w:lang w:val="en" w:eastAsia="en"/>
        </w:rPr>
        <w:tab/>
      </w:r>
      <w:r>
        <w:rPr>
          <w:b/>
          <w:bCs/>
          <w:lang w:val="el" w:eastAsia="el"/>
        </w:rPr>
        <w:t>5.000 ευρώ για νομικά πρόσωπα και νομικές οντότητες μη κερδοσκοπικού χαρακτήρα, που δεν απασχολούν εργαζόμενους,</w:t>
      </w:r>
      <w:r>
        <w:rPr>
          <w:rStyle w:val="Hyperlink"/>
          <w:b/>
          <w:bCs/>
          <w:color w:val="000000"/>
          <w:sz w:val="20"/>
          <w:szCs w:val="20"/>
          <w:u w:val="none" w:color="0000EE"/>
          <w:vertAlign w:val="superscript"/>
          <w:lang w:val="el" w:eastAsia="el"/>
        </w:rPr>
        <w:footnoteReference w:id="248"/>
      </w:r>
    </w:p>
    <w:p>
      <w:pPr>
        <w:pStyle w:val="StructureList1"/>
        <w:spacing w:before="120" w:after="0"/>
        <w:rPr>
          <w:lang w:val="el" w:eastAsia="el"/>
        </w:rPr>
      </w:pPr>
      <w:r>
        <w:rPr>
          <w:b/>
          <w:bCs/>
          <w:lang w:val="el" w:eastAsia="el"/>
        </w:rPr>
        <w:t>αστ)</w:t>
      </w:r>
      <w:r>
        <w:rPr>
          <w:b/>
          <w:bCs/>
          <w:lang w:val="en" w:eastAsia="en"/>
        </w:rPr>
        <w:tab/>
      </w:r>
      <w:r>
        <w:rPr>
          <w:b/>
          <w:bCs/>
          <w:lang w:val="el" w:eastAsia="el"/>
        </w:rPr>
        <w:t>10.000 ευρώ για νομικά πρόσωπα και νομικές οντότητες μη κερδοσκοπικού χαρακτήρα, που απασχολούν έως πενήντα (50) εργαζόμενους,</w:t>
      </w:r>
      <w:r>
        <w:rPr>
          <w:rStyle w:val="Hyperlink"/>
          <w:b/>
          <w:bCs/>
          <w:color w:val="000000"/>
          <w:sz w:val="20"/>
          <w:szCs w:val="20"/>
          <w:u w:val="none" w:color="0000EE"/>
          <w:vertAlign w:val="superscript"/>
          <w:lang w:val="el" w:eastAsia="el"/>
        </w:rPr>
        <w:footnoteReference w:id="249"/>
      </w:r>
    </w:p>
    <w:p>
      <w:pPr>
        <w:pStyle w:val="StructureList1"/>
        <w:spacing w:before="120" w:after="0"/>
        <w:rPr>
          <w:lang w:val="el" w:eastAsia="el"/>
        </w:rPr>
      </w:pPr>
      <w:r>
        <w:rPr>
          <w:b/>
          <w:bCs/>
          <w:lang w:val="el" w:eastAsia="el"/>
        </w:rPr>
        <w:t>αζ)</w:t>
      </w:r>
      <w:r>
        <w:rPr>
          <w:b/>
          <w:bCs/>
          <w:lang w:val="en" w:eastAsia="en"/>
        </w:rPr>
        <w:tab/>
      </w:r>
      <w:r>
        <w:rPr>
          <w:b/>
          <w:bCs/>
          <w:lang w:val="el" w:eastAsia="el"/>
        </w:rPr>
        <w:t>20.000 ευρώ για νομικά πρόσωπα και νομικές οντότητες μη κερδοσκοπικού χαρακτήρα, που απασχολούν από πενήντα ένα (51) έως και διακόσιους πενήντα (250) εργαζόμενους,</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αη)</w:t>
      </w:r>
      <w:r>
        <w:rPr>
          <w:b/>
          <w:bCs/>
          <w:lang w:val="en" w:eastAsia="en"/>
        </w:rPr>
        <w:tab/>
      </w:r>
      <w:r>
        <w:rPr>
          <w:b/>
          <w:bCs/>
          <w:lang w:val="el" w:eastAsia="el"/>
        </w:rPr>
        <w:t>40.000 ευρώ για νομικά πρόσωπα και νομικές οντότητες μη κερδοσκοπικού χαρακτήρα, που απασχολούν άνω των διακοσίων πενήντα (250) εργαζομένων,</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της παρ. 8:</w:t>
      </w:r>
      <w:r>
        <w:rPr>
          <w:rStyle w:val="Hyperlink"/>
          <w:b/>
          <w:bCs/>
          <w:color w:val="000000"/>
          <w:sz w:val="20"/>
          <w:szCs w:val="20"/>
          <w:u w:val="none" w:color="0000EE"/>
          <w:vertAlign w:val="superscript"/>
          <w:lang w:val="el" w:eastAsia="el"/>
        </w:rPr>
        <w:footnoteReference w:id="252"/>
      </w:r>
    </w:p>
    <w:p>
      <w:pPr>
        <w:pStyle w:val="StructureList1"/>
        <w:spacing w:before="120" w:after="0"/>
        <w:rPr>
          <w:lang w:val="el" w:eastAsia="el"/>
        </w:rPr>
      </w:pPr>
      <w:r>
        <w:rPr>
          <w:b/>
          <w:bCs/>
          <w:lang w:val="el" w:eastAsia="el"/>
        </w:rPr>
        <w:t>βα)</w:t>
      </w:r>
      <w:r>
        <w:rPr>
          <w:b/>
          <w:bCs/>
          <w:lang w:val="en" w:eastAsia="en"/>
        </w:rPr>
        <w:tab/>
      </w:r>
      <w:r>
        <w:rPr>
          <w:b/>
          <w:bCs/>
          <w:lang w:val="el" w:eastAsia="el"/>
        </w:rPr>
        <w:t>εκατό (100) ευρώ, για κάθε παράβαση της περ. β', εφόσον η εκπρόθεσμη δήλωση γίνεται εντός χρονικού διαστήματος ενός (1) μηνός από την ημερομηνία παρέλευσης της προθεσμίας της παρ. 1,</w:t>
      </w:r>
      <w:r>
        <w:rPr>
          <w:rStyle w:val="Hyperlink"/>
          <w:b/>
          <w:bCs/>
          <w:color w:val="000000"/>
          <w:sz w:val="20"/>
          <w:szCs w:val="20"/>
          <w:u w:val="none" w:color="0000EE"/>
          <w:vertAlign w:val="superscript"/>
          <w:lang w:val="el" w:eastAsia="el"/>
        </w:rPr>
        <w:footnoteReference w:id="253"/>
      </w:r>
    </w:p>
    <w:p>
      <w:pPr>
        <w:pStyle w:val="StructureList1"/>
        <w:spacing w:before="120" w:after="0"/>
        <w:rPr>
          <w:lang w:val="el" w:eastAsia="el"/>
        </w:rPr>
      </w:pPr>
      <w:r>
        <w:rPr>
          <w:b/>
          <w:bCs/>
          <w:lang w:val="el" w:eastAsia="el"/>
        </w:rPr>
        <w:t>ββ)</w:t>
      </w:r>
      <w:r>
        <w:rPr>
          <w:b/>
          <w:bCs/>
          <w:lang w:val="en" w:eastAsia="en"/>
        </w:rPr>
        <w:tab/>
      </w:r>
      <w:r>
        <w:rPr>
          <w:b/>
          <w:bCs/>
          <w:lang w:val="el" w:eastAsia="el"/>
        </w:rPr>
        <w:t>πεντακοσίων (500) ευρώ για κάθε παράβαση της περ. β', εφόσον η εκπρόθεσμη δήλωση γίνεται πέραν του ενός (1) μηνός και έως τρεις (3) μήνες από την ημερομηνία παρέλευσης της προθεσμίας της παρ. 1,</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βγ)</w:t>
      </w:r>
      <w:r>
        <w:rPr>
          <w:b/>
          <w:bCs/>
          <w:lang w:val="en" w:eastAsia="en"/>
        </w:rPr>
        <w:tab/>
      </w:r>
      <w:r>
        <w:rPr>
          <w:b/>
          <w:bCs/>
          <w:lang w:val="el" w:eastAsia="el"/>
        </w:rPr>
        <w:t>σε περίπτωση παρέλευσης τριών (3) μηνών από τη λήξη της προθεσμίας καταχώρισης, η εκπρόθεσμη δήλωση τεκμαίρεται ως μη υποβληθείσα και επιβάλλεται το πρόστιμο της περ. α'.</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10.</w:t>
      </w:r>
      <w:r>
        <w:rPr>
          <w:b/>
          <w:bCs/>
          <w:lang w:val="el" w:eastAsia="el"/>
        </w:rPr>
        <w:t xml:space="preserve"> Σε περίπτωση διαπίστωσης παράβασης της παρ. 8 ο προϊστάμενος της κατά τόπον αρμόδιας επιχειρησιακής διεύθυνσης της Γ.Δ.Σ.Δ.Ο.Ε. διαβιβάζει Έκθεση Βεβαίωσης Παράβασης με τον χρηματικό κατάλογο στις αρμόδιες υπηρεσίες της ΑΑΔΕ, για τη βεβαίωση του προστίμου, τον καταλογισμό και την είσπραξη αυτού. Το πρόστιμο, το οποίο βεβαιώνεται και εισπράττεται σύμφωνα με τον Κώδικα Είσπραξης Δημοσίων Εσόδων (ν. 4978/2022, Α' 190), αποτελεί έσοδο του Κρατικού Προϋπολογισμού.</w:t>
      </w:r>
      <w:r>
        <w:rPr>
          <w:rStyle w:val="Hyperlink"/>
          <w:b/>
          <w:bCs/>
          <w:color w:val="000000"/>
          <w:sz w:val="20"/>
          <w:szCs w:val="20"/>
          <w:u w:val="none" w:color="0000EE"/>
          <w:vertAlign w:val="superscript"/>
          <w:lang w:val="el" w:eastAsia="el"/>
        </w:rPr>
        <w:footnoteReference w:id="256"/>
      </w:r>
    </w:p>
    <w:p>
      <w:pPr>
        <w:spacing w:before="240" w:after="240"/>
        <w:rPr>
          <w:lang w:val="el" w:eastAsia="el"/>
        </w:rPr>
      </w:pPr>
      <w:r>
        <w:rPr>
          <w:b/>
          <w:bCs/>
          <w:lang w:val="el" w:eastAsia="el"/>
        </w:rPr>
        <w:t>Ειδικά σε περίπτωση παράβασης της περ. β' της παρ. 8, το πρόστιμο επιβάλλεται κατόπιν σχετικής ενημέρωσης από το Κ.Μ.Π.Δ..</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Με την απόφαση του Υπουργού Οικονομικών του δευτέρου εδαφίου της παρ. 11 καθορίζεται κάθε αναγκαία λεπτομέρεια για τη διαδικασία διενέργειας ελέγχου και διαπίστωσης παράβασης της παρ. 8, καθώς και υπόδειγμα της Έκθεσης Βεβαίωσης Παράβασης.</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Η πράξη επιβολής διοικητικής κύρωσης υπόκειται σε ενδικοφανή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ενδικοφανούς προσφυγής εκδίδεται εντός τριάντα (30) εργάσιμων ημερών από την κατάθεσή της.</w:t>
      </w:r>
      <w:r>
        <w:rPr>
          <w:rStyle w:val="Hyperlink"/>
          <w:b/>
          <w:bCs/>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Οι παραβάσεις των περ. α', γ' και δ' της παρ. 8 συνεπάγονται τη δέσμευση χορήγησης αποδεικτικού φορολογικής ενημερότητας των υπόχρεων νομικών προσώπων και οντοτήτων, η οποία ισχύει έως την άρση της παράβασης και σύμφωνα με την απόφαση του Διοικητή της ΑΑΔΕ που προβλέπεται στην παρ. 12.</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11.</w:t>
      </w:r>
      <w:r>
        <w:rPr>
          <w:b/>
          <w:bCs/>
          <w:lang w:val="el" w:eastAsia="el"/>
        </w:rPr>
        <w:t xml:space="preserve"> Με απόφαση του Υπουργού Εθνικής Οικονομίας και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Εθνικής Οικονομίας και Οικονομικών καθορίζεται το 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 Με κοινή απόφαση των Υπουργών Εθνικής Οικονομίας και Οικονομικών και Ψηφιακής Διακυβέρνησης ρυθμίζονται ειδικότερα θέματα σχετικά με τη διασύνδεση των μητρώων του πρώτου εδαφίου με τα Αποθετήρια Τίτλων και τα πληροφοριακά συστήματα της παρ. 5 και της περ. γ) της παρ. 7,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13.</w:t>
      </w:r>
      <w:r>
        <w:rPr>
          <w:b/>
          <w:bCs/>
          <w:lang w:val="el" w:eastAsia="el"/>
        </w:rPr>
        <w:t xml:space="preserve"> Η έναρξη παραγωγικής λειτουργίας του Κ.Μ.Π.Δ. ορίζεται με την απόφαση της παρ. 11. Με κοινή απόφαση των Υπουργών Εθνικής Οικονομίας και Οικονομικών και Ψηφιακής Διακυβέρνησης μπορεί να τίθεται εκτός λειτουργίας το πληροφοριακό σύστημα, ύστερα από αίτημα του Κεντρικού Συντονιστικού Φορέα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14.</w:t>
      </w:r>
      <w:r>
        <w:rPr>
          <w:b/>
          <w:bCs/>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b/>
          <w:bCs/>
          <w:color w:val="000000"/>
          <w:sz w:val="20"/>
          <w:szCs w:val="20"/>
          <w:u w:val="none" w:color="0000EE"/>
          <w:vertAlign w:val="superscript"/>
          <w:lang w:val="el" w:eastAsia="el"/>
        </w:rPr>
        <w:footnoteReference w:id="264"/>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b/>
          <w:bCs/>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b/>
          <w:bCs/>
          <w:color w:val="000000"/>
          <w:sz w:val="20"/>
          <w:szCs w:val="20"/>
          <w:u w:val="none" w:color="0000EE"/>
          <w:vertAlign w:val="superscript"/>
          <w:lang w:val="el" w:eastAsia="el"/>
        </w:rPr>
        <w:footnoteReference w:id="265"/>
      </w:r>
    </w:p>
    <w:p>
      <w:pPr>
        <w:spacing w:before="240" w:after="240"/>
        <w:rPr>
          <w:lang w:val="el" w:eastAsia="el"/>
        </w:rPr>
      </w:pPr>
      <w:r>
        <w:rPr>
          <w:b/>
          <w:bCs/>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b/>
          <w:bCs/>
          <w:lang w:val="el" w:eastAsia="el"/>
        </w:rPr>
        <w:t xml:space="preserve"> Πρόσβαση στις πληροφορίες της παρ. 1 έχουν:</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α)</w:t>
      </w:r>
      <w:r>
        <w:rPr>
          <w:b/>
          <w:bCs/>
          <w:lang w:val="en" w:eastAsia="en"/>
        </w:rPr>
        <w:tab/>
      </w:r>
      <w:r>
        <w:rPr>
          <w:b/>
          <w:bCs/>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b/>
          <w:bCs/>
          <w:color w:val="000000"/>
          <w:sz w:val="20"/>
          <w:szCs w:val="20"/>
          <w:u w:val="none" w:color="0000EE"/>
          <w:vertAlign w:val="superscript"/>
          <w:lang w:val="el" w:eastAsia="el"/>
        </w:rPr>
        <w:footnoteReference w:id="269"/>
      </w:r>
    </w:p>
    <w:p>
      <w:pPr>
        <w:pStyle w:val="StructureList1"/>
        <w:spacing w:before="120" w:after="0"/>
        <w:rPr>
          <w:lang w:val="el" w:eastAsia="el"/>
        </w:rPr>
      </w:pPr>
      <w:r>
        <w:rPr>
          <w:b/>
          <w:bCs/>
          <w:lang w:val="el" w:eastAsia="el"/>
        </w:rPr>
        <w:t>β)</w:t>
      </w:r>
      <w:r>
        <w:rPr>
          <w:b/>
          <w:bCs/>
          <w:lang w:val="en" w:eastAsia="en"/>
        </w:rPr>
        <w:tab/>
      </w:r>
      <w:r>
        <w:rPr>
          <w:b/>
          <w:bCs/>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γ)</w:t>
      </w:r>
      <w:r>
        <w:rPr>
          <w:b/>
          <w:bCs/>
          <w:lang w:val="en" w:eastAsia="en"/>
        </w:rPr>
        <w:tab/>
      </w:r>
      <w:r>
        <w:rPr>
          <w:b/>
          <w:bCs/>
          <w:lang w:val="el" w:eastAsia="el"/>
        </w:rPr>
        <w:t>κάθε πρόσωπο που μπορεί να αποδείξει έννομο συμφέρον,</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δ)</w:t>
      </w:r>
      <w:r>
        <w:rPr>
          <w:b/>
          <w:bCs/>
          <w:lang w:val="en" w:eastAsia="en"/>
        </w:rPr>
        <w:tab/>
      </w:r>
      <w:r>
        <w:rPr>
          <w:b/>
          <w:bCs/>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b/>
          <w:bCs/>
          <w:color w:val="000000"/>
          <w:sz w:val="20"/>
          <w:szCs w:val="20"/>
          <w:u w:val="none" w:color="0000EE"/>
          <w:vertAlign w:val="superscript"/>
          <w:lang w:val="el" w:eastAsia="el"/>
        </w:rPr>
        <w:footnoteReference w:id="272"/>
      </w:r>
    </w:p>
    <w:p>
      <w:pPr>
        <w:spacing w:before="240" w:after="240"/>
        <w:rPr>
          <w:lang w:val="el" w:eastAsia="el"/>
        </w:rPr>
      </w:pPr>
      <w:r>
        <w:rPr>
          <w:b/>
          <w:bCs/>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b/>
          <w:bCs/>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w:t>
      </w:r>
      <w:r>
        <w:rPr>
          <w:b/>
          <w:bCs/>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b/>
          <w:bCs/>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7.</w:t>
      </w:r>
      <w:r>
        <w:rPr>
          <w:b/>
          <w:bCs/>
          <w:lang w:val="el" w:eastAsia="el"/>
        </w:rPr>
        <w:t xml:space="preserve"> Ο Κεντρικός Φορέας Συντονισμού κοινοποιεί στην Επιτροπή τα χαρακτηριστικά των μηχανισμών του παρόντος.</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8.</w:t>
      </w:r>
      <w:r>
        <w:rPr>
          <w:b/>
          <w:bCs/>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9.</w:t>
      </w:r>
      <w:r>
        <w:rPr>
          <w:b/>
          <w:bCs/>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b/>
          <w:bCs/>
          <w:color w:val="000000"/>
          <w:sz w:val="20"/>
          <w:szCs w:val="20"/>
          <w:u w:val="none" w:color="0000EE"/>
          <w:vertAlign w:val="superscript"/>
          <w:lang w:val="el" w:eastAsia="el"/>
        </w:rPr>
        <w:footnoteReference w:id="280"/>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w:t>
      </w:r>
      <w:r>
        <w:rPr>
          <w:b/>
          <w:bCs/>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b/>
          <w:bCs/>
          <w:color w:val="000000"/>
          <w:sz w:val="20"/>
          <w:szCs w:val="20"/>
          <w:u w:val="none" w:color="0000EE"/>
          <w:vertAlign w:val="superscript"/>
          <w:lang w:val="el" w:eastAsia="el"/>
        </w:rPr>
        <w:footnoteReference w:id="282"/>
      </w:r>
    </w:p>
    <w:p>
      <w:pPr>
        <w:pStyle w:val="StructureList1"/>
        <w:spacing w:before="120" w:after="0"/>
        <w:rPr>
          <w:lang w:val="el" w:eastAsia="el"/>
        </w:rPr>
      </w:pPr>
      <w:r>
        <w:rPr>
          <w:b/>
          <w:bCs/>
          <w:lang w:val="el" w:eastAsia="el"/>
        </w:rPr>
        <w:t>α)</w:t>
      </w:r>
      <w:r>
        <w:rPr>
          <w:b/>
          <w:bCs/>
          <w:lang w:val="en" w:eastAsia="en"/>
        </w:rPr>
        <w:tab/>
      </w:r>
      <w:r>
        <w:rPr>
          <w:b/>
          <w:bCs/>
          <w:lang w:val="el" w:eastAsia="el"/>
        </w:rPr>
        <w:t>λογαριασμούς πληρωμής,</w:t>
      </w:r>
      <w:r>
        <w:rPr>
          <w:rStyle w:val="Hyperlink"/>
          <w:b/>
          <w:bCs/>
          <w:color w:val="000000"/>
          <w:sz w:val="20"/>
          <w:szCs w:val="20"/>
          <w:u w:val="none" w:color="0000EE"/>
          <w:vertAlign w:val="superscript"/>
          <w:lang w:val="el" w:eastAsia="el"/>
        </w:rPr>
        <w:footnoteReference w:id="283"/>
      </w:r>
    </w:p>
    <w:p>
      <w:pPr>
        <w:pStyle w:val="StructureList1"/>
        <w:spacing w:before="120" w:after="0"/>
        <w:rPr>
          <w:lang w:val="el" w:eastAsia="el"/>
        </w:rPr>
      </w:pPr>
      <w:r>
        <w:rPr>
          <w:b/>
          <w:bCs/>
          <w:lang w:val="el" w:eastAsia="el"/>
        </w:rPr>
        <w:t>β)</w:t>
      </w:r>
      <w:r>
        <w:rPr>
          <w:b/>
          <w:bCs/>
          <w:lang w:val="en" w:eastAsia="en"/>
        </w:rPr>
        <w:tab/>
      </w:r>
      <w:r>
        <w:rPr>
          <w:b/>
          <w:bCs/>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γ)</w:t>
      </w:r>
      <w:r>
        <w:rPr>
          <w:b/>
          <w:bCs/>
          <w:lang w:val="en" w:eastAsia="en"/>
        </w:rPr>
        <w:tab/>
      </w:r>
      <w:r>
        <w:rPr>
          <w:b/>
          <w:bCs/>
          <w:lang w:val="el" w:eastAsia="el"/>
        </w:rPr>
        <w:t>θυρίδες ασφαλείας, και</w:t>
      </w:r>
      <w:r>
        <w:rPr>
          <w:rStyle w:val="Hyperlink"/>
          <w:b/>
          <w:bCs/>
          <w:color w:val="000000"/>
          <w:sz w:val="20"/>
          <w:szCs w:val="20"/>
          <w:u w:val="none" w:color="0000EE"/>
          <w:vertAlign w:val="superscript"/>
          <w:lang w:val="el" w:eastAsia="el"/>
        </w:rPr>
        <w:footnoteReference w:id="285"/>
      </w:r>
    </w:p>
    <w:p>
      <w:pPr>
        <w:pStyle w:val="StructureList1"/>
        <w:spacing w:before="120" w:after="0"/>
        <w:rPr>
          <w:lang w:val="el" w:eastAsia="el"/>
        </w:rPr>
      </w:pPr>
      <w:r>
        <w:rPr>
          <w:b/>
          <w:bCs/>
          <w:lang w:val="el" w:eastAsia="el"/>
        </w:rPr>
        <w:t>δ)</w:t>
      </w:r>
      <w:r>
        <w:rPr>
          <w:b/>
          <w:bCs/>
          <w:lang w:val="en" w:eastAsia="en"/>
        </w:rPr>
        <w:tab/>
      </w:r>
      <w:r>
        <w:rPr>
          <w:b/>
          <w:bCs/>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b/>
          <w:bCs/>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b/>
          <w:bCs/>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b/>
          <w:bCs/>
          <w:color w:val="000000"/>
          <w:sz w:val="20"/>
          <w:szCs w:val="20"/>
          <w:u w:val="none" w:color="0000EE"/>
          <w:vertAlign w:val="superscript"/>
          <w:lang w:val="el" w:eastAsia="el"/>
        </w:rPr>
        <w:footnoteReference w:id="289"/>
      </w:r>
    </w:p>
    <w:p>
      <w:pPr>
        <w:pStyle w:val="StructureList1"/>
        <w:spacing w:before="120" w:after="0"/>
        <w:rPr>
          <w:lang w:val="el" w:eastAsia="el"/>
        </w:rPr>
      </w:pPr>
      <w:r>
        <w:rPr>
          <w:b/>
          <w:bCs/>
          <w:lang w:val="el" w:eastAsia="el"/>
        </w:rPr>
        <w:t>α)</w:t>
      </w:r>
      <w:r>
        <w:rPr>
          <w:b/>
          <w:bCs/>
          <w:lang w:val="en" w:eastAsia="en"/>
        </w:rPr>
        <w:tab/>
      </w:r>
      <w:r>
        <w:rPr>
          <w:b/>
          <w:bCs/>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b/>
          <w:bCs/>
          <w:color w:val="000000"/>
          <w:sz w:val="20"/>
          <w:szCs w:val="20"/>
          <w:u w:val="none" w:color="0000EE"/>
          <w:vertAlign w:val="superscript"/>
          <w:lang w:val="el" w:eastAsia="el"/>
        </w:rPr>
        <w:footnoteReference w:id="290"/>
      </w:r>
    </w:p>
    <w:p>
      <w:pPr>
        <w:pStyle w:val="StructureList1"/>
        <w:spacing w:before="120" w:after="0"/>
        <w:rPr>
          <w:lang w:val="el" w:eastAsia="el"/>
        </w:rPr>
      </w:pPr>
      <w:r>
        <w:rPr>
          <w:b/>
          <w:bCs/>
          <w:lang w:val="el" w:eastAsia="el"/>
        </w:rPr>
        <w:t>β)</w:t>
      </w:r>
      <w:r>
        <w:rPr>
          <w:b/>
          <w:bCs/>
          <w:lang w:val="en" w:eastAsia="en"/>
        </w:rPr>
        <w:tab/>
      </w:r>
      <w:r>
        <w:rPr>
          <w:b/>
          <w:bCs/>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γ)</w:t>
      </w:r>
      <w:r>
        <w:rPr>
          <w:b/>
          <w:bCs/>
          <w:lang w:val="en" w:eastAsia="en"/>
        </w:rPr>
        <w:tab/>
      </w:r>
      <w:r>
        <w:rPr>
          <w:b/>
          <w:bCs/>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b/>
          <w:bCs/>
          <w:color w:val="000000"/>
          <w:sz w:val="20"/>
          <w:szCs w:val="20"/>
          <w:u w:val="none" w:color="0000EE"/>
          <w:vertAlign w:val="superscript"/>
          <w:lang w:val="el" w:eastAsia="el"/>
        </w:rPr>
        <w:footnoteReference w:id="292"/>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b/>
          <w:bCs/>
          <w:color w:val="000000"/>
          <w:sz w:val="20"/>
          <w:szCs w:val="20"/>
          <w:u w:val="none" w:color="0000EE"/>
          <w:vertAlign w:val="superscript"/>
          <w:lang w:val="el" w:eastAsia="el"/>
        </w:rPr>
        <w:footnoteReference w:id="293"/>
      </w:r>
    </w:p>
    <w:p>
      <w:pPr>
        <w:pStyle w:val="StructureList1"/>
        <w:spacing w:before="120" w:after="0"/>
        <w:rPr>
          <w:lang w:val="el" w:eastAsia="el"/>
        </w:rPr>
      </w:pPr>
      <w:r>
        <w:rPr>
          <w:b/>
          <w:bCs/>
          <w:lang w:val="el" w:eastAsia="el"/>
        </w:rPr>
        <w:t>ε)</w:t>
      </w:r>
      <w:r>
        <w:rPr>
          <w:b/>
          <w:bCs/>
          <w:lang w:val="en" w:eastAsia="en"/>
        </w:rPr>
        <w:tab/>
      </w:r>
      <w:r>
        <w:rPr>
          <w:b/>
          <w:bCs/>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w:t>
      </w:r>
      <w:r>
        <w:rPr>
          <w:b/>
          <w:bCs/>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b/>
          <w:bCs/>
          <w:color w:val="000000"/>
          <w:sz w:val="20"/>
          <w:szCs w:val="20"/>
          <w:u w:val="none" w:color="0000EE"/>
          <w:vertAlign w:val="superscript"/>
          <w:lang w:val="el" w:eastAsia="el"/>
        </w:rPr>
        <w:footnoteReference w:id="296"/>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b/>
          <w:bCs/>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b/>
          <w:bCs/>
          <w:lang w:val="el" w:eastAsia="el"/>
        </w:rPr>
        <w:t>α)</w:t>
      </w:r>
      <w:r>
        <w:rPr>
          <w:b/>
          <w:bCs/>
          <w:lang w:val="en" w:eastAsia="en"/>
        </w:rPr>
        <w:tab/>
      </w:r>
      <w:r>
        <w:rPr>
          <w:b/>
          <w:bCs/>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b/>
          <w:bCs/>
          <w:lang w:val="el" w:eastAsia="el"/>
        </w:rPr>
        <w:t>β)</w:t>
      </w:r>
      <w:r>
        <w:rPr>
          <w:b/>
          <w:bCs/>
          <w:lang w:val="en" w:eastAsia="en"/>
        </w:rPr>
        <w:tab/>
      </w:r>
      <w:r>
        <w:rPr>
          <w:b/>
          <w:bCs/>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b/>
          <w:bCs/>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b/>
          <w:bCs/>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b/>
          <w:bCs/>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Αποχή από συναλλαγές (άρθρο 35 της Οδηγίας 2015/849) </w:t>
      </w:r>
    </w:p>
    <w:p>
      <w:pPr>
        <w:spacing w:before="240" w:after="240"/>
        <w:rPr>
          <w:lang w:val="el" w:eastAsia="el"/>
        </w:rPr>
      </w:pPr>
      <w:r>
        <w:rPr>
          <w:b/>
          <w:bCs/>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b/>
          <w:bCs/>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b/>
          <w:bCs/>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b/>
          <w:bCs/>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b/>
          <w:bCs/>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b/>
          <w:bCs/>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b/>
          <w:bCs/>
          <w:lang w:val="el" w:eastAsia="el"/>
        </w:rPr>
        <w:t>γ)</w:t>
      </w:r>
      <w:r>
        <w:rPr>
          <w:b/>
          <w:bCs/>
          <w:lang w:val="en" w:eastAsia="en"/>
        </w:rPr>
        <w:tab/>
      </w:r>
      <w:r>
        <w:rPr>
          <w:b/>
          <w:bCs/>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b/>
          <w:bCs/>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b/>
          <w:bCs/>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b/>
          <w:bCs/>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b/>
          <w:bCs/>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b/>
          <w:bCs/>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b/>
          <w:bCs/>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b/>
          <w:bCs/>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b/>
          <w:bCs/>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b/>
          <w:bCs/>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b/>
          <w:bCs/>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Επιτροπή Δικηγόρων (άρθρο 34 παρ. 1 της Οδηγίας 2015/849) </w:t>
      </w:r>
    </w:p>
    <w:p>
      <w:pPr>
        <w:spacing w:before="240" w:after="240"/>
        <w:rPr>
          <w:lang w:val="el" w:eastAsia="el"/>
        </w:rPr>
      </w:pPr>
      <w:r>
        <w:rPr>
          <w:b/>
          <w:bCs/>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b/>
          <w:bCs/>
          <w:color w:val="000000"/>
          <w:sz w:val="20"/>
          <w:szCs w:val="20"/>
          <w:u w:val="none" w:color="0000EE"/>
          <w:vertAlign w:val="superscript"/>
          <w:lang w:val="el" w:eastAsia="el"/>
        </w:rPr>
        <w:footnoteReference w:id="301"/>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b/>
          <w:bCs/>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b/>
          <w:bCs/>
          <w:lang w:val="el" w:eastAsia="el"/>
        </w:rPr>
        <w:t>α)</w:t>
      </w:r>
      <w:r>
        <w:rPr>
          <w:b/>
          <w:bCs/>
          <w:lang w:val="en" w:eastAsia="en"/>
        </w:rPr>
        <w:tab/>
      </w:r>
      <w:r>
        <w:rPr>
          <w:b/>
          <w:bCs/>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b/>
          <w:bCs/>
          <w:color w:val="000000"/>
          <w:sz w:val="20"/>
          <w:szCs w:val="20"/>
          <w:u w:val="none" w:color="0000EE"/>
          <w:vertAlign w:val="superscript"/>
          <w:lang w:val="el" w:eastAsia="el"/>
        </w:rPr>
        <w:footnoteReference w:id="302"/>
      </w:r>
    </w:p>
    <w:p>
      <w:pPr>
        <w:pStyle w:val="StructureList1"/>
        <w:spacing w:before="120" w:after="0"/>
        <w:rPr>
          <w:lang w:val="el" w:eastAsia="el"/>
        </w:rPr>
      </w:pPr>
      <w:r>
        <w:rPr>
          <w:b/>
          <w:bCs/>
          <w:lang w:val="el" w:eastAsia="el"/>
        </w:rPr>
        <w:t>β)</w:t>
      </w:r>
      <w:r>
        <w:rPr>
          <w:b/>
          <w:bCs/>
          <w:lang w:val="en" w:eastAsia="en"/>
        </w:rPr>
        <w:tab/>
      </w:r>
      <w:r>
        <w:rPr>
          <w:b/>
          <w:bCs/>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b/>
          <w:bCs/>
          <w:lang w:val="el" w:eastAsia="el"/>
        </w:rPr>
        <w:t>δ)</w:t>
      </w:r>
      <w:r>
        <w:rPr>
          <w:b/>
          <w:bCs/>
          <w:lang w:val="en" w:eastAsia="en"/>
        </w:rPr>
        <w:tab/>
      </w:r>
      <w:r>
        <w:rPr>
          <w:b/>
          <w:bCs/>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b/>
          <w:bCs/>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b/>
          <w:bCs/>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4.</w:t>
      </w:r>
      <w:r>
        <w:rPr>
          <w:b/>
          <w:bCs/>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b/>
          <w:bCs/>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b/>
          <w:bCs/>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w:t>
      </w:r>
      <w:r>
        <w:rPr>
          <w:b/>
          <w:bCs/>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b/>
          <w:bCs/>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b/>
          <w:bCs/>
          <w:lang w:val="el" w:eastAsia="el"/>
        </w:rPr>
        <w:t xml:space="preserve"> Οι εμπλεκόμενες δημόσιες αρχές, περιλαμβανομένων του Υπουργείου Δικαιοσύνης,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Η συγκέντρωση των στατιστικών στοιχείων μπορεί να γίνει και εκτάκτως εντός του έτους από τον Κεντρικό Συντονιστικό Φορέα εφόσον αυτό απαιτηθεί στο πλαίσιο εθνικών, ευρωπαϊκών και διεθνών υποχρεώσεων της χώρας για τους σκοπούς του παρόντος. Οι αρχές του πρώτου εδαφίου καταχωρίζουν τα στατιστικά στοιχεία σε ψηφιακή πλατφόρμα συλλογής, τήρησης και επεξεργασίας στατιστικών στοιχείων. Η ψηφιακή πλατφόρμα, με χρήση διαδικτυακής ηλεκτρονικής εφαρμογής, σχεδιάζεται, αναπτύσσεται και λειτουργεί παραγωγικά στις υποδομές της Γενικής Γραμματείας Πληροφοριακών Συστημάτων και Ψηφιακής Διακυβέρνησης (Γ.Γ.Π.Σ.Ψ.Δ.) του Υπουργείου Ψηφιακής Διακυβέρνησης, η οποία μεριμνά για την εύρυθμη και ασφαλή λειτουργία του πληροφοριακού συστήματος. Ο Κεντρικός Συντονιστικός Φορέας ενημερώνει τη Γενική Γραμματεία Πληροφοριακών Συστημάτων και Ψηφιακής Διακυβέρνησης για κάθε νέα απαίτηση που χρήζει ενσωμάτωσης στις διαδικτυακές εφαρμογές της ψηφιακής πλατφόρμας. Η έναρξη λειτουργίας της ψηφιακής πλατφόρμας διαπιστώνεται με κοινή απόφαση του Γενικού Γραμματέα Οικονομικής Πολιτικής και Στρατηγικής του Υπουργείου Εθνικής Οικονομίας και Οικονομικών και του Γενικού Γραμματέα Πληροφοριακών Συστημάτων και Ψηφιακής Διακυβέρνησης του Υπουργείου Ψηφιακής Διακυβέρνησης. Η ψηφιακή πλατφόρμα μπορεί να τίθεται εκτός λειτουργίας, μετά από αίτημα του Κεντρικού Συντονιστικού Φορέα ή της Γ.Γ.Π.Σ.Ψ.Δ. του Υπουργείου Ψηφιακής Διακυβέρνησης για λόγους συντήρησης, αναβάθμισης και προσαρμογής στις αλλαγές της νομοθεσίας.</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b/>
          <w:bCs/>
          <w:lang w:val="el" w:eastAsia="el"/>
        </w:rPr>
        <w:t xml:space="preserve"> Τα στατιστικά στοιχεία καλύπτουν τουλάχιστον:</w:t>
      </w:r>
      <w:r>
        <w:rPr>
          <w:rStyle w:val="Hyperlink"/>
          <w:b/>
          <w:bCs/>
          <w:color w:val="000000"/>
          <w:sz w:val="20"/>
          <w:szCs w:val="20"/>
          <w:u w:val="none" w:color="0000EE"/>
          <w:vertAlign w:val="superscript"/>
          <w:lang w:val="el" w:eastAsia="el"/>
        </w:rPr>
        <w:footnoteReference w:id="307"/>
      </w:r>
    </w:p>
    <w:p>
      <w:pPr>
        <w:pStyle w:val="StructureList1"/>
        <w:spacing w:before="120" w:after="0"/>
        <w:rPr>
          <w:lang w:val="el" w:eastAsia="el"/>
        </w:rPr>
      </w:pPr>
      <w:r>
        <w:rPr>
          <w:b/>
          <w:bCs/>
          <w:lang w:val="el" w:eastAsia="el"/>
        </w:rPr>
        <w:t>α)</w:t>
      </w:r>
      <w:r>
        <w:rPr>
          <w:b/>
          <w:bCs/>
          <w:lang w:val="en" w:eastAsia="en"/>
        </w:rPr>
        <w:tab/>
      </w:r>
      <w:r>
        <w:rPr>
          <w:b/>
          <w:bCs/>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r>
        <w:rPr>
          <w:rStyle w:val="Hyperlink"/>
          <w:b/>
          <w:bCs/>
          <w:color w:val="000000"/>
          <w:sz w:val="20"/>
          <w:szCs w:val="20"/>
          <w:u w:val="none" w:color="0000EE"/>
          <w:vertAlign w:val="superscript"/>
          <w:lang w:val="el" w:eastAsia="el"/>
        </w:rPr>
        <w:footnoteReference w:id="308"/>
      </w:r>
    </w:p>
    <w:p>
      <w:pPr>
        <w:pStyle w:val="StructureList1"/>
        <w:spacing w:before="120" w:after="0"/>
        <w:rPr>
          <w:lang w:val="el" w:eastAsia="el"/>
        </w:rPr>
      </w:pPr>
      <w:r>
        <w:rPr>
          <w:b/>
          <w:bCs/>
          <w:lang w:val="el" w:eastAsia="el"/>
        </w:rPr>
        <w:t>β)</w:t>
      </w:r>
      <w:r>
        <w:rPr>
          <w:b/>
          <w:bCs/>
          <w:lang w:val="en" w:eastAsia="en"/>
        </w:rPr>
        <w:tab/>
      </w:r>
      <w:r>
        <w:rPr>
          <w:b/>
          <w:bCs/>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βα)</w:t>
      </w:r>
      <w:r>
        <w:rPr>
          <w:b/>
          <w:bCs/>
          <w:lang w:val="en" w:eastAsia="en"/>
        </w:rPr>
        <w:tab/>
      </w:r>
      <w:r>
        <w:rPr>
          <w:b/>
          <w:bCs/>
          <w:lang w:val="el" w:eastAsia="el"/>
        </w:rPr>
        <w:t>ο αριθμός των αναφορών ύποπτων ή ασύνηθων συναλλαγών ή δραστηριοτήτων που υποβλήθηκαν στην Αρχή,</w:t>
      </w:r>
      <w:r>
        <w:rPr>
          <w:rStyle w:val="Hyperlink"/>
          <w:b/>
          <w:bCs/>
          <w:color w:val="000000"/>
          <w:sz w:val="20"/>
          <w:szCs w:val="20"/>
          <w:u w:val="none" w:color="0000EE"/>
          <w:vertAlign w:val="superscript"/>
          <w:lang w:val="el" w:eastAsia="el"/>
        </w:rPr>
        <w:footnoteReference w:id="310"/>
      </w:r>
    </w:p>
    <w:p>
      <w:pPr>
        <w:pStyle w:val="StructureList1"/>
        <w:spacing w:before="120" w:after="0"/>
        <w:rPr>
          <w:lang w:val="el" w:eastAsia="el"/>
        </w:rPr>
      </w:pPr>
      <w:r>
        <w:rPr>
          <w:b/>
          <w:bCs/>
          <w:lang w:val="el" w:eastAsia="el"/>
        </w:rPr>
        <w:t>ββ)</w:t>
      </w:r>
      <w:r>
        <w:rPr>
          <w:b/>
          <w:bCs/>
          <w:lang w:val="en" w:eastAsia="en"/>
        </w:rPr>
        <w:tab/>
      </w:r>
      <w:r>
        <w:rPr>
          <w:b/>
          <w:bCs/>
          <w:lang w:val="el" w:eastAsia="el"/>
        </w:rPr>
        <w:t>η κατηγοριοποίηση αυτών των αναφορών ανάλογα με τους αποστέλλοντες,</w:t>
      </w:r>
      <w:r>
        <w:rPr>
          <w:rStyle w:val="Hyperlink"/>
          <w:b/>
          <w:bCs/>
          <w:color w:val="000000"/>
          <w:sz w:val="20"/>
          <w:szCs w:val="20"/>
          <w:u w:val="none" w:color="0000EE"/>
          <w:vertAlign w:val="superscript"/>
          <w:lang w:val="el" w:eastAsia="el"/>
        </w:rPr>
        <w:footnoteReference w:id="311"/>
      </w:r>
    </w:p>
    <w:p>
      <w:pPr>
        <w:pStyle w:val="StructureList1"/>
        <w:spacing w:before="120" w:after="0"/>
        <w:rPr>
          <w:lang w:val="el" w:eastAsia="el"/>
        </w:rPr>
      </w:pPr>
      <w:r>
        <w:rPr>
          <w:b/>
          <w:bCs/>
          <w:lang w:val="el" w:eastAsia="el"/>
        </w:rPr>
        <w:t>βγ)</w:t>
      </w:r>
      <w:r>
        <w:rPr>
          <w:b/>
          <w:bCs/>
          <w:lang w:val="en" w:eastAsia="en"/>
        </w:rPr>
        <w:tab/>
      </w:r>
      <w:r>
        <w:rPr>
          <w:b/>
          <w:bCs/>
          <w:lang w:val="el" w:eastAsia="el"/>
        </w:rPr>
        <w:t>ο αριθμός των υποθέσεων που έχουν διερευνηθεί,</w:t>
      </w:r>
      <w:r>
        <w:rPr>
          <w:rStyle w:val="Hyperlink"/>
          <w:b/>
          <w:bCs/>
          <w:color w:val="000000"/>
          <w:sz w:val="20"/>
          <w:szCs w:val="20"/>
          <w:u w:val="none" w:color="0000EE"/>
          <w:vertAlign w:val="superscript"/>
          <w:lang w:val="el" w:eastAsia="el"/>
        </w:rPr>
        <w:footnoteReference w:id="312"/>
      </w:r>
    </w:p>
    <w:p>
      <w:pPr>
        <w:pStyle w:val="StructureList1"/>
        <w:spacing w:before="120" w:after="0"/>
        <w:rPr>
          <w:lang w:val="el" w:eastAsia="el"/>
        </w:rPr>
      </w:pPr>
      <w:r>
        <w:rPr>
          <w:b/>
          <w:bCs/>
          <w:lang w:val="el" w:eastAsia="el"/>
        </w:rPr>
        <w:t>βδ)</w:t>
      </w:r>
      <w:r>
        <w:rPr>
          <w:b/>
          <w:bCs/>
          <w:lang w:val="en" w:eastAsia="en"/>
        </w:rPr>
        <w:tab/>
      </w:r>
      <w:r>
        <w:rPr>
          <w:b/>
          <w:bCs/>
          <w:lang w:val="el" w:eastAsia="el"/>
        </w:rPr>
        <w:t>ο αριθμός των υποθέσεων που έχουν τεθεί στο αρχείο,</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βε)</w:t>
      </w:r>
      <w:r>
        <w:rPr>
          <w:b/>
          <w:bCs/>
          <w:lang w:val="en" w:eastAsia="en"/>
        </w:rPr>
        <w:tab/>
      </w:r>
      <w:r>
        <w:rPr>
          <w:b/>
          <w:bCs/>
          <w:lang w:val="el" w:eastAsia="el"/>
        </w:rPr>
        <w:t>ο αριθμός των πορισμάτων που έχουν υποβληθεί στον Εισαγγελέα,</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βστ)</w:t>
      </w:r>
      <w:r>
        <w:rPr>
          <w:b/>
          <w:bCs/>
          <w:lang w:val="en" w:eastAsia="en"/>
        </w:rPr>
        <w:tab/>
      </w:r>
      <w:r>
        <w:rPr>
          <w:b/>
          <w:bCs/>
          <w:lang w:val="el" w:eastAsia="el"/>
        </w:rPr>
        <w:t>τα είδη των βασικών αδικημάτων που έχουν εντοπιστεί,</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βζ)</w:t>
      </w:r>
      <w:r>
        <w:rPr>
          <w:b/>
          <w:bCs/>
          <w:lang w:val="en" w:eastAsia="en"/>
        </w:rPr>
        <w:tab/>
      </w:r>
      <w:r>
        <w:rPr>
          <w:b/>
          <w:bCs/>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r>
        <w:rPr>
          <w:rStyle w:val="Hyperlink"/>
          <w:b/>
          <w:bCs/>
          <w:color w:val="000000"/>
          <w:sz w:val="20"/>
          <w:szCs w:val="20"/>
          <w:u w:val="none" w:color="0000EE"/>
          <w:vertAlign w:val="superscript"/>
          <w:lang w:val="el" w:eastAsia="el"/>
        </w:rPr>
        <w:footnoteReference w:id="316"/>
      </w:r>
    </w:p>
    <w:p>
      <w:pPr>
        <w:pStyle w:val="StructureList1"/>
        <w:spacing w:before="120" w:after="0"/>
        <w:rPr>
          <w:lang w:val="el" w:eastAsia="el"/>
        </w:rPr>
      </w:pPr>
      <w:r>
        <w:rPr>
          <w:b/>
          <w:bCs/>
          <w:lang w:val="el" w:eastAsia="el"/>
        </w:rPr>
        <w:t>βη)</w:t>
      </w:r>
      <w:r>
        <w:rPr>
          <w:b/>
          <w:bCs/>
          <w:lang w:val="en" w:eastAsia="en"/>
        </w:rPr>
        <w:tab/>
      </w:r>
      <w:r>
        <w:rPr>
          <w:b/>
          <w:bCs/>
          <w:lang w:val="el" w:eastAsia="el"/>
        </w:rPr>
        <w:t>ο αριθμός των προσώπων που έχουν καταδικαστεί για τα ανωτέρω αδικήματα,</w:t>
      </w:r>
      <w:r>
        <w:rPr>
          <w:rStyle w:val="Hyperlink"/>
          <w:b/>
          <w:bCs/>
          <w:color w:val="000000"/>
          <w:sz w:val="20"/>
          <w:szCs w:val="20"/>
          <w:u w:val="none" w:color="0000EE"/>
          <w:vertAlign w:val="superscript"/>
          <w:lang w:val="el" w:eastAsia="el"/>
        </w:rPr>
        <w:footnoteReference w:id="317"/>
      </w:r>
    </w:p>
    <w:p>
      <w:pPr>
        <w:pStyle w:val="StructureList1"/>
        <w:spacing w:before="120" w:after="0"/>
        <w:rPr>
          <w:lang w:val="el" w:eastAsia="el"/>
        </w:rPr>
      </w:pPr>
      <w:r>
        <w:rPr>
          <w:b/>
          <w:bCs/>
          <w:lang w:val="el" w:eastAsia="el"/>
        </w:rPr>
        <w:t>βθ)</w:t>
      </w:r>
      <w:r>
        <w:rPr>
          <w:b/>
          <w:bCs/>
          <w:lang w:val="en" w:eastAsia="en"/>
        </w:rPr>
        <w:tab/>
      </w:r>
      <w:r>
        <w:rPr>
          <w:b/>
          <w:bCs/>
          <w:lang w:val="el" w:eastAsia="el"/>
        </w:rPr>
        <w:t>η αξία των περιουσιακών στοιχείων που έχουν δεσμευθεί, κατασχεθεί ή δημευθεί,</w:t>
      </w:r>
      <w:r>
        <w:rPr>
          <w:rStyle w:val="Hyperlink"/>
          <w:b/>
          <w:bCs/>
          <w:color w:val="000000"/>
          <w:sz w:val="20"/>
          <w:szCs w:val="20"/>
          <w:u w:val="none" w:color="0000EE"/>
          <w:vertAlign w:val="superscript"/>
          <w:lang w:val="el" w:eastAsia="el"/>
        </w:rPr>
        <w:footnoteReference w:id="318"/>
      </w:r>
    </w:p>
    <w:p>
      <w:pPr>
        <w:pStyle w:val="StructureList1"/>
        <w:spacing w:before="120" w:after="0"/>
        <w:rPr>
          <w:lang w:val="el" w:eastAsia="el"/>
        </w:rPr>
      </w:pPr>
      <w:r>
        <w:rPr>
          <w:b/>
          <w:bCs/>
          <w:lang w:val="el" w:eastAsia="el"/>
        </w:rPr>
        <w:t>γ)</w:t>
      </w:r>
      <w:r>
        <w:rPr>
          <w:b/>
          <w:bCs/>
          <w:lang w:val="en" w:eastAsia="en"/>
        </w:rPr>
        <w:tab/>
      </w:r>
      <w:r>
        <w:rPr>
          <w:b/>
          <w:bCs/>
          <w:lang w:val="el" w:eastAsia="el"/>
        </w:rPr>
        <w:t>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b/>
          <w:bCs/>
          <w:color w:val="000000"/>
          <w:sz w:val="20"/>
          <w:szCs w:val="20"/>
          <w:u w:val="none" w:color="0000EE"/>
          <w:vertAlign w:val="superscript"/>
          <w:lang w:val="el" w:eastAsia="el"/>
        </w:rPr>
        <w:footnoteReference w:id="319"/>
      </w:r>
    </w:p>
    <w:p>
      <w:pPr>
        <w:pStyle w:val="StructureList1"/>
        <w:spacing w:before="120" w:after="0"/>
        <w:rPr>
          <w:lang w:val="el" w:eastAsia="el"/>
        </w:rPr>
      </w:pPr>
      <w:r>
        <w:rPr>
          <w:b/>
          <w:bCs/>
          <w:lang w:val="el" w:eastAsia="el"/>
        </w:rPr>
        <w:t>δ)</w:t>
      </w:r>
      <w:r>
        <w:rPr>
          <w:b/>
          <w:bCs/>
          <w:lang w:val="en" w:eastAsia="en"/>
        </w:rPr>
        <w:tab/>
      </w:r>
      <w:r>
        <w:rPr>
          <w:b/>
          <w:bCs/>
          <w:lang w:val="el" w:eastAsia="el"/>
        </w:rPr>
        <w:t>τη συλλογή, ταξινόμηση και επεξεργασία των στοιχείων του άρθρου 33,</w:t>
      </w:r>
      <w:r>
        <w:rPr>
          <w:rStyle w:val="Hyperlink"/>
          <w:b/>
          <w:bCs/>
          <w:color w:val="000000"/>
          <w:sz w:val="20"/>
          <w:szCs w:val="20"/>
          <w:u w:val="none" w:color="0000EE"/>
          <w:vertAlign w:val="superscript"/>
          <w:lang w:val="el" w:eastAsia="el"/>
        </w:rPr>
        <w:footnoteReference w:id="320"/>
      </w:r>
    </w:p>
    <w:p>
      <w:pPr>
        <w:pStyle w:val="StructureList1"/>
        <w:spacing w:before="120" w:after="0"/>
        <w:rPr>
          <w:lang w:val="el" w:eastAsia="el"/>
        </w:rPr>
      </w:pPr>
      <w:r>
        <w:rPr>
          <w:b/>
          <w:bCs/>
          <w:lang w:val="el" w:eastAsia="el"/>
        </w:rPr>
        <w:t>ε)</w:t>
      </w:r>
      <w:r>
        <w:rPr>
          <w:b/>
          <w:bCs/>
          <w:lang w:val="en" w:eastAsia="en"/>
        </w:rPr>
        <w:tab/>
      </w:r>
      <w:r>
        <w:rPr>
          <w:b/>
          <w:bCs/>
          <w:lang w:val="el" w:eastAsia="el"/>
        </w:rPr>
        <w:t>τα στατιστικά στοιχεία τα οποία αναφέρονται στην παρ. 7 του άρθρου 6 και περιλαμβάνονται στις εκθέσεις των αρμόδιων αρχών,</w:t>
      </w:r>
      <w:r>
        <w:rPr>
          <w:rStyle w:val="Hyperlink"/>
          <w:b/>
          <w:bCs/>
          <w:color w:val="000000"/>
          <w:sz w:val="20"/>
          <w:szCs w:val="20"/>
          <w:u w:val="none" w:color="0000EE"/>
          <w:vertAlign w:val="superscript"/>
          <w:lang w:val="el" w:eastAsia="el"/>
        </w:rPr>
        <w:footnoteReference w:id="321"/>
      </w:r>
    </w:p>
    <w:p>
      <w:pPr>
        <w:pStyle w:val="StructureList1"/>
        <w:spacing w:before="120" w:after="0"/>
        <w:rPr>
          <w:lang w:val="el" w:eastAsia="el"/>
        </w:rPr>
      </w:pPr>
      <w:r>
        <w:rPr>
          <w:b/>
          <w:bCs/>
          <w:lang w:val="el" w:eastAsia="el"/>
        </w:rPr>
        <w:t>στ)</w:t>
      </w:r>
      <w:r>
        <w:rPr>
          <w:b/>
          <w:bCs/>
          <w:lang w:val="en" w:eastAsia="en"/>
        </w:rPr>
        <w:tab/>
      </w:r>
      <w:r>
        <w:rPr>
          <w:b/>
          <w:bCs/>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b/>
          <w:bCs/>
          <w:color w:val="000000"/>
          <w:sz w:val="20"/>
          <w:szCs w:val="20"/>
          <w:u w:val="none" w:color="0000EE"/>
          <w:vertAlign w:val="superscript"/>
          <w:lang w:val="el" w:eastAsia="el"/>
        </w:rPr>
        <w:footnoteReference w:id="322"/>
      </w:r>
    </w:p>
    <w:p>
      <w:pPr>
        <w:pStyle w:val="StructureList1"/>
        <w:spacing w:before="120" w:after="0"/>
        <w:rPr>
          <w:lang w:val="el" w:eastAsia="el"/>
        </w:rPr>
      </w:pPr>
      <w:r>
        <w:rPr>
          <w:b/>
          <w:bCs/>
          <w:lang w:val="el" w:eastAsia="el"/>
        </w:rPr>
        <w:t>ζ)</w:t>
      </w:r>
      <w:r>
        <w:rPr>
          <w:b/>
          <w:bCs/>
          <w:lang w:val="en" w:eastAsia="en"/>
        </w:rPr>
        <w:tab/>
      </w:r>
      <w:r>
        <w:rPr>
          <w:b/>
          <w:bCs/>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 και</w:t>
      </w:r>
      <w:r>
        <w:rPr>
          <w:rStyle w:val="Hyperlink"/>
          <w:b/>
          <w:bCs/>
          <w:color w:val="000000"/>
          <w:sz w:val="20"/>
          <w:szCs w:val="20"/>
          <w:u w:val="none" w:color="0000EE"/>
          <w:vertAlign w:val="superscript"/>
          <w:lang w:val="el" w:eastAsia="el"/>
        </w:rPr>
        <w:footnoteReference w:id="323"/>
      </w:r>
    </w:p>
    <w:p>
      <w:pPr>
        <w:pStyle w:val="StructureList1"/>
        <w:spacing w:before="120" w:after="0"/>
        <w:rPr>
          <w:lang w:val="el" w:eastAsia="el"/>
        </w:rPr>
      </w:pPr>
      <w:r>
        <w:rPr>
          <w:b/>
          <w:bCs/>
          <w:lang w:val="el" w:eastAsia="el"/>
        </w:rPr>
        <w:t>η)</w:t>
      </w:r>
      <w:r>
        <w:rPr>
          <w:b/>
          <w:bCs/>
          <w:lang w:val="en" w:eastAsia="en"/>
        </w:rPr>
        <w:tab/>
      </w:r>
      <w:r>
        <w:rPr>
          <w:b/>
          <w:bCs/>
          <w:lang w:val="el" w:eastAsia="el"/>
        </w:rPr>
        <w:t>μετρήσιμα δεδομένα που αφορούν στο Κεντρικό Μητρώο Πραγματικών Δικαιούχων του άρθρου 20, ιδίως τον αριθμό των υπόχρεων καταχώρισης, των καταχωρίσεων, των παραβάσεων που διαπιστώθηκαν βάσει ελέγχων, των κυρώσεων που επιβλήθηκαν, των αναντιστοιχιών και των εξαιρέσεων πρόσβασης σε πληροφορίες που έχουν καταχωρισθεί.</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3.</w:t>
      </w:r>
      <w:r>
        <w:rPr>
          <w:b/>
          <w:bCs/>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b/>
          <w:bCs/>
          <w:color w:val="000000"/>
          <w:sz w:val="20"/>
          <w:szCs w:val="20"/>
          <w:u w:val="none" w:color="0000EE"/>
          <w:vertAlign w:val="superscript"/>
          <w:lang w:val="el" w:eastAsia="el"/>
        </w:rPr>
        <w:footnoteReference w:id="325"/>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Συλλογή δικαστικών δεδομένων και στοιχείων</w:t>
      </w:r>
    </w:p>
    <w:p>
      <w:pPr>
        <w:spacing w:before="240" w:after="240"/>
        <w:rPr>
          <w:lang w:val="el" w:eastAsia="el"/>
        </w:rPr>
      </w:pPr>
      <w:r>
        <w:rPr>
          <w:b/>
          <w:bCs/>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b/>
          <w:bCs/>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b/>
          <w:bCs/>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b/>
          <w:bCs/>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b/>
          <w:bCs/>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w:t>
      </w:r>
      <w:r>
        <w:rPr>
          <w:b/>
          <w:bCs/>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b/>
          <w:bCs/>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5.</w:t>
      </w:r>
      <w:r>
        <w:rPr>
          <w:b/>
          <w:bCs/>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b/>
          <w:bCs/>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b/>
          <w:bCs/>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8.</w:t>
      </w:r>
      <w:r>
        <w:rPr>
          <w:b/>
          <w:bCs/>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b/>
          <w:bCs/>
          <w:color w:val="000000"/>
          <w:sz w:val="20"/>
          <w:szCs w:val="20"/>
          <w:u w:val="none" w:color="0000EE"/>
          <w:vertAlign w:val="superscript"/>
          <w:lang w:val="el" w:eastAsia="el"/>
        </w:rPr>
        <w:footnoteReference w:id="329"/>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b/>
          <w:bCs/>
          <w:color w:val="000000"/>
          <w:sz w:val="20"/>
          <w:szCs w:val="20"/>
          <w:u w:val="none" w:color="0000EE"/>
          <w:vertAlign w:val="superscript"/>
          <w:lang w:val="el" w:eastAsia="el"/>
        </w:rPr>
        <w:footnoteReference w:id="331"/>
      </w:r>
    </w:p>
    <w:p>
      <w:pPr>
        <w:pStyle w:val="StructureList1"/>
        <w:spacing w:before="120" w:after="0"/>
        <w:rPr>
          <w:lang w:val="el" w:eastAsia="el"/>
        </w:rPr>
      </w:pPr>
      <w:r>
        <w:rPr>
          <w:b/>
          <w:bCs/>
          <w:lang w:val="el" w:eastAsia="el"/>
        </w:rPr>
        <w:t>α)</w:t>
      </w:r>
      <w:r>
        <w:rPr>
          <w:b/>
          <w:bCs/>
          <w:lang w:val="en" w:eastAsia="en"/>
        </w:rPr>
        <w:tab/>
      </w:r>
      <w:r>
        <w:rPr>
          <w:b/>
          <w:bCs/>
          <w:lang w:val="el" w:eastAsia="el"/>
        </w:rPr>
        <w:t>το αίτημα θεωρείται ότι περιλαμβάνει επίσης φορολογικά θέματα,</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β)</w:t>
      </w:r>
      <w:r>
        <w:rPr>
          <w:b/>
          <w:bCs/>
          <w:lang w:val="en" w:eastAsia="en"/>
        </w:rPr>
        <w:tab/>
      </w:r>
      <w:r>
        <w:rPr>
          <w:b/>
          <w:bCs/>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γ)</w:t>
      </w:r>
      <w:r>
        <w:rPr>
          <w:b/>
          <w:bCs/>
          <w:lang w:val="en" w:eastAsia="en"/>
        </w:rPr>
        <w:tab/>
      </w:r>
      <w:r>
        <w:rPr>
          <w:b/>
          <w:bCs/>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b/>
          <w:bCs/>
          <w:color w:val="000000"/>
          <w:sz w:val="20"/>
          <w:szCs w:val="20"/>
          <w:u w:val="none" w:color="0000EE"/>
          <w:vertAlign w:val="superscript"/>
          <w:lang w:val="el" w:eastAsia="el"/>
        </w:rPr>
        <w:footnoteReference w:id="335"/>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b/>
          <w:bCs/>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2.</w:t>
      </w:r>
      <w:r>
        <w:rPr>
          <w:b/>
          <w:bCs/>
          <w:lang w:val="el" w:eastAsia="el"/>
        </w:rPr>
        <w:t xml:space="preserve"> Οι διατάξεις της παρ. 1 δεν εμποδίζουν την ανταλλαγή πληροφοριών μεταξύ:</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α)</w:t>
      </w:r>
      <w:r>
        <w:rPr>
          <w:b/>
          <w:bCs/>
          <w:lang w:val="en" w:eastAsia="en"/>
        </w:rPr>
        <w:tab/>
      </w:r>
      <w:r>
        <w:rPr>
          <w:b/>
          <w:bCs/>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β)</w:t>
      </w:r>
      <w:r>
        <w:rPr>
          <w:b/>
          <w:bCs/>
          <w:lang w:val="en" w:eastAsia="en"/>
        </w:rPr>
        <w:tab/>
      </w:r>
      <w:r>
        <w:rPr>
          <w:b/>
          <w:bCs/>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b/>
          <w:bCs/>
          <w:color w:val="000000"/>
          <w:sz w:val="20"/>
          <w:szCs w:val="20"/>
          <w:u w:val="none" w:color="0000EE"/>
          <w:vertAlign w:val="superscript"/>
          <w:lang w:val="el" w:eastAsia="el"/>
        </w:rPr>
        <w:footnoteReference w:id="340"/>
      </w:r>
    </w:p>
    <w:p>
      <w:pPr>
        <w:spacing w:before="240" w:after="240"/>
        <w:rPr>
          <w:lang w:val="el" w:eastAsia="el"/>
        </w:rPr>
      </w:pPr>
      <w:r>
        <w:rPr>
          <w:b/>
          <w:bCs/>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3.</w:t>
      </w:r>
      <w:r>
        <w:rPr>
          <w:b/>
          <w:bCs/>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την άσκηση προσφυγής κατά απόφασής τους, συμπεριλαμβανομένης δικαστικής διαδικασίας,</w:t>
      </w:r>
      <w:r>
        <w:rPr>
          <w:rStyle w:val="Hyperlink"/>
          <w:b/>
          <w:bCs/>
          <w:color w:val="000000"/>
          <w:sz w:val="20"/>
          <w:szCs w:val="20"/>
          <w:u w:val="none" w:color="0000EE"/>
          <w:vertAlign w:val="superscript"/>
          <w:lang w:val="el" w:eastAsia="el"/>
        </w:rPr>
        <w:footnoteReference w:id="344"/>
      </w:r>
    </w:p>
    <w:p>
      <w:pPr>
        <w:pStyle w:val="StructureList1"/>
        <w:spacing w:before="120" w:after="0"/>
        <w:rPr>
          <w:lang w:val="el" w:eastAsia="el"/>
        </w:rPr>
      </w:pPr>
      <w:r>
        <w:rPr>
          <w:b/>
          <w:bCs/>
          <w:lang w:val="el" w:eastAsia="el"/>
        </w:rPr>
        <w:t>γ)</w:t>
      </w:r>
      <w:r>
        <w:rPr>
          <w:b/>
          <w:bCs/>
          <w:lang w:val="en" w:eastAsia="en"/>
        </w:rPr>
        <w:tab/>
      </w:r>
      <w:r>
        <w:rPr>
          <w:b/>
          <w:bCs/>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4.</w:t>
      </w:r>
      <w:r>
        <w:rPr>
          <w:b/>
          <w:bCs/>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5.</w:t>
      </w:r>
      <w:r>
        <w:rPr>
          <w:b/>
          <w:bCs/>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b/>
          <w:bCs/>
          <w:color w:val="000000"/>
          <w:sz w:val="20"/>
          <w:szCs w:val="20"/>
          <w:u w:val="none" w:color="0000EE"/>
          <w:vertAlign w:val="superscript"/>
          <w:lang w:val="el" w:eastAsia="el"/>
        </w:rPr>
        <w:footnoteReference w:id="348"/>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w:t>
      </w:r>
      <w:r>
        <w:rPr>
          <w:b/>
          <w:bCs/>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b/>
          <w:bCs/>
          <w:color w:val="000000"/>
          <w:sz w:val="20"/>
          <w:szCs w:val="20"/>
          <w:u w:val="none" w:color="0000EE"/>
          <w:vertAlign w:val="superscript"/>
          <w:lang w:val="el" w:eastAsia="el"/>
        </w:rPr>
        <w:footnoteReference w:id="350"/>
      </w:r>
    </w:p>
    <w:p>
      <w:pPr>
        <w:pStyle w:val="StructureList1"/>
        <w:spacing w:before="120" w:after="0"/>
        <w:rPr>
          <w:lang w:val="el" w:eastAsia="el"/>
        </w:rPr>
      </w:pPr>
      <w:r>
        <w:rPr>
          <w:b/>
          <w:bCs/>
          <w:lang w:val="el" w:eastAsia="el"/>
        </w:rPr>
        <w:t>α)</w:t>
      </w:r>
      <w:r>
        <w:rPr>
          <w:b/>
          <w:bCs/>
          <w:lang w:val="en" w:eastAsia="en"/>
        </w:rPr>
        <w:tab/>
      </w:r>
      <w:r>
        <w:rPr>
          <w:b/>
          <w:bCs/>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β)</w:t>
      </w:r>
      <w:r>
        <w:rPr>
          <w:b/>
          <w:bCs/>
          <w:lang w:val="en" w:eastAsia="en"/>
        </w:rPr>
        <w:tab/>
      </w:r>
      <w:r>
        <w:rPr>
          <w:b/>
          <w:bCs/>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γ)</w:t>
      </w:r>
      <w:r>
        <w:rPr>
          <w:b/>
          <w:bCs/>
          <w:lang w:val="en" w:eastAsia="en"/>
        </w:rPr>
        <w:tab/>
      </w:r>
      <w:r>
        <w:rPr>
          <w:b/>
          <w:bCs/>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w:t>
      </w:r>
      <w:r>
        <w:rPr>
          <w:b/>
          <w:bCs/>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είναι απολύτως αναγκαίες για την εκπλήρωση της εντολής που αναφέρεται στην περ. α) ή</w:t>
      </w:r>
      <w:r>
        <w:rPr>
          <w:rStyle w:val="Hyperlink"/>
          <w:b/>
          <w:bCs/>
          <w:color w:val="000000"/>
          <w:sz w:val="20"/>
          <w:szCs w:val="20"/>
          <w:u w:val="none" w:color="0000EE"/>
          <w:vertAlign w:val="superscript"/>
          <w:lang w:val="el" w:eastAsia="el"/>
        </w:rPr>
        <w:footnoteReference w:id="357"/>
      </w:r>
    </w:p>
    <w:p>
      <w:pPr>
        <w:pStyle w:val="StructureList1"/>
        <w:spacing w:before="120" w:after="0"/>
        <w:rPr>
          <w:lang w:val="el" w:eastAsia="el"/>
        </w:rPr>
      </w:pPr>
      <w:r>
        <w:rPr>
          <w:b/>
          <w:bCs/>
          <w:lang w:val="el" w:eastAsia="el"/>
        </w:rPr>
        <w:t>γ)</w:t>
      </w:r>
      <w:r>
        <w:rPr>
          <w:b/>
          <w:bCs/>
          <w:lang w:val="en" w:eastAsia="en"/>
        </w:rPr>
        <w:tab/>
      </w:r>
      <w:r>
        <w:rPr>
          <w:b/>
          <w:bCs/>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δ)</w:t>
      </w:r>
      <w:r>
        <w:rPr>
          <w:b/>
          <w:bCs/>
          <w:lang w:val="en" w:eastAsia="en"/>
        </w:rPr>
        <w:tab/>
      </w:r>
      <w:r>
        <w:rPr>
          <w:b/>
          <w:bCs/>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b/>
          <w:bCs/>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b/>
          <w:bCs/>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b/>
          <w:bCs/>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b/>
          <w:bCs/>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b/>
          <w:bCs/>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b/>
          <w:bCs/>
          <w:lang w:val="el" w:eastAsia="el"/>
        </w:rPr>
        <w:t>β)</w:t>
      </w:r>
      <w:r>
        <w:rPr>
          <w:b/>
          <w:bCs/>
          <w:lang w:val="en" w:eastAsia="en"/>
        </w:rPr>
        <w:tab/>
      </w:r>
      <w:r>
        <w:rPr>
          <w:b/>
          <w:bCs/>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b/>
          <w:bCs/>
          <w:lang w:val="el" w:eastAsia="el"/>
        </w:rPr>
        <w:t>Επιπρόσθετα, τα υπόχρεα πρόσωπα θεσπίζουν διαδικασίες που επιτρέπουν στους εργαζομένους τους να καταγγέλλουν παραβάσεις του παρόντος και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4.</w:t>
      </w:r>
      <w:r>
        <w:rPr>
          <w:b/>
          <w:bCs/>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b/>
          <w:bCs/>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b/>
          <w:bCs/>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b/>
          <w:bCs/>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b/>
          <w:bCs/>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b/>
          <w:bCs/>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5.</w:t>
      </w:r>
      <w:r>
        <w:rPr>
          <w:b/>
          <w:bCs/>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6.</w:t>
      </w:r>
      <w:r>
        <w:rPr>
          <w:b/>
          <w:bCs/>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b/>
          <w:bCs/>
          <w:color w:val="000000"/>
          <w:sz w:val="20"/>
          <w:szCs w:val="20"/>
          <w:u w:val="none" w:color="0000EE"/>
          <w:vertAlign w:val="superscript"/>
          <w:lang w:val="el" w:eastAsia="el"/>
        </w:rPr>
        <w:footnoteReference w:id="363"/>
      </w:r>
    </w:p>
    <w:p>
      <w:pPr>
        <w:spacing w:before="240" w:after="240"/>
        <w:rPr>
          <w:lang w:val="el" w:eastAsia="el"/>
        </w:rPr>
      </w:pPr>
      <w:r>
        <w:rPr>
          <w:b/>
          <w:bCs/>
          <w:lang w:val="el" w:eastAsia="el"/>
        </w:rPr>
        <w:t>Οι πάροχοι υπηρεσιών κρυπτοστοιχείων που είναι εγκατεστημένοι στην Ελλάδα με μορφή διαφορετική από υποκατάστημα και των οποίων η έδρα βρίσκεται σε άλλο κράτος μέλος της Ευρωπαϊκής Ένωσης ορίζουν ένα κεντρικό σημείο επαφής στην Ελλάδα, το οποίο είναι αρμόδιο να εξασφαλίζει για λογαριασμό τους τη συμμόρφωση στον παρόντα και να διευκολύνει την εποπτεία από την Επιτροπή Κεφαλαιαγοράς και την Τράπεζα της Ελλάδος, συμπεριλαμβανομένης της παροχής εγγράφων και πληροφοριών προς αυτές ύστερα από σχετικό αίτημα.</w:t>
      </w:r>
      <w:r>
        <w:rPr>
          <w:rStyle w:val="Hyperlink"/>
          <w:b/>
          <w:bCs/>
          <w:color w:val="000000"/>
          <w:sz w:val="20"/>
          <w:szCs w:val="20"/>
          <w:u w:val="none" w:color="0000EE"/>
          <w:vertAlign w:val="superscript"/>
          <w:lang w:val="el" w:eastAsia="el"/>
        </w:rPr>
        <w:footnoteReference w:id="364"/>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Κατάρτιση και εκπαίδευση (άρθρο 46 παρ. 1 εδάφια α΄ και β΄ της Οδηγίας 2015/849) </w:t>
      </w:r>
    </w:p>
    <w:p>
      <w:pPr>
        <w:spacing w:before="240" w:after="240"/>
        <w:rPr>
          <w:lang w:val="el" w:eastAsia="el"/>
        </w:rPr>
      </w:pPr>
      <w:r>
        <w:rPr>
          <w:b/>
          <w:bCs/>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b/>
          <w:bCs/>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b/>
          <w:bCs/>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b/>
          <w:bCs/>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2Α.</w:t>
      </w:r>
      <w:r>
        <w:rPr>
          <w:b/>
          <w:bCs/>
          <w:lang w:val="el" w:eastAsia="el"/>
        </w:rPr>
        <w:t xml:space="preserve"> Τα υπόχρεα πρόσωπα ορίζουν το μέλος του διοικητικού συμβουλίου που είναι αρμόδιο για την εφαρμογή του παρόντος, του Κανονισμού (ΕΕ) 2015/847 του Ευρωπαϊκού Κοινοβουλίου και του Συμβουλίου, της 20ής Μαΐου 2015, περί στοιχείων που συνοδεύουν τις μεταφορές χρηματικών ποσών και περί κατάργησης του Κανονισμού (ΕΚ) 1781/2006 του Ευρωπαϊκού Κοινοβουλίου και του Συμβουλίου, της 15ης Νοεμβρίου 2006, περί των πληροφοριών για τον πληρωτή που συνοδεύει τις μεταφορές χρηματικών ποσών (L 345) και των κανονιστικών πράξεων που εκδίδονται κατ’ εξουσιοδότησή τους.</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3.</w:t>
      </w:r>
      <w:r>
        <w:rPr>
          <w:b/>
          <w:bCs/>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Ποινικές κυρώσεις</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1.</w:t>
      </w:r>
      <w:r>
        <w:rPr>
          <w:b/>
          <w:bCs/>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β)</w:t>
      </w:r>
      <w:r>
        <w:rPr>
          <w:b/>
          <w:bCs/>
          <w:lang w:val="en" w:eastAsia="en"/>
        </w:rPr>
        <w:tab/>
      </w:r>
      <w:r>
        <w:rPr>
          <w:b/>
          <w:bCs/>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αα)</w:t>
      </w:r>
      <w:r>
        <w:rPr>
          <w:b/>
          <w:bCs/>
          <w:lang w:val="en" w:eastAsia="en"/>
        </w:rPr>
        <w:tab/>
      </w:r>
      <w:r>
        <w:rPr>
          <w:b/>
          <w:bCs/>
          <w:lang w:val="el" w:eastAsia="el"/>
        </w:rPr>
        <w:t>αν το αντικείμενο της νομιμοποίησης υπερβαίνει συνολικά σε αξία το ποσό των εκατό είκοσι χιλιάδων (120.000) ευρώ, ή</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ββ)</w:t>
      </w:r>
      <w:r>
        <w:rPr>
          <w:b/>
          <w:bCs/>
          <w:lang w:val="en" w:eastAsia="en"/>
        </w:rPr>
        <w:tab/>
      </w:r>
      <w:r>
        <w:rPr>
          <w:b/>
          <w:bCs/>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γγ)</w:t>
      </w:r>
      <w:r>
        <w:rPr>
          <w:b/>
          <w:bCs/>
          <w:lang w:val="en" w:eastAsia="en"/>
        </w:rPr>
        <w:tab/>
      </w:r>
      <w:r>
        <w:rPr>
          <w:b/>
          <w:bCs/>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γ)</w:t>
      </w:r>
      <w:r>
        <w:rPr>
          <w:b/>
          <w:bCs/>
          <w:lang w:val="en" w:eastAsia="en"/>
        </w:rPr>
        <w:tab/>
      </w:r>
      <w:r>
        <w:rPr>
          <w:b/>
          <w:bCs/>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δ)</w:t>
      </w:r>
      <w:r>
        <w:rPr>
          <w:b/>
          <w:bCs/>
          <w:lang w:val="en" w:eastAsia="en"/>
        </w:rPr>
        <w:tab/>
      </w:r>
      <w:r>
        <w:rPr>
          <w:b/>
          <w:bCs/>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ε)</w:t>
      </w:r>
      <w:r>
        <w:rPr>
          <w:b/>
          <w:bCs/>
          <w:lang w:val="en" w:eastAsia="en"/>
        </w:rPr>
        <w:tab/>
      </w:r>
      <w:r>
        <w:rPr>
          <w:b/>
          <w:bCs/>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στ)</w:t>
      </w:r>
      <w:r>
        <w:rPr>
          <w:b/>
          <w:bCs/>
          <w:lang w:val="en" w:eastAsia="en"/>
        </w:rPr>
        <w:tab/>
      </w:r>
      <w:r>
        <w:rPr>
          <w:b/>
          <w:bCs/>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ζ)</w:t>
      </w:r>
      <w:r>
        <w:rPr>
          <w:b/>
          <w:bCs/>
          <w:lang w:val="en" w:eastAsia="en"/>
        </w:rPr>
        <w:tab/>
      </w:r>
      <w:r>
        <w:rPr>
          <w:b/>
          <w:bCs/>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η)</w:t>
      </w:r>
      <w:r>
        <w:rPr>
          <w:b/>
          <w:bCs/>
          <w:lang w:val="en" w:eastAsia="en"/>
        </w:rPr>
        <w:tab/>
      </w:r>
      <w:r>
        <w:rPr>
          <w:b/>
          <w:bCs/>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2.</w:t>
      </w:r>
      <w:r>
        <w:rPr>
          <w:b/>
          <w:bCs/>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3.</w:t>
      </w:r>
      <w:r>
        <w:rPr>
          <w:b/>
          <w:bCs/>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4.</w:t>
      </w:r>
      <w:r>
        <w:rPr>
          <w:b/>
          <w:bCs/>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5.</w:t>
      </w:r>
      <w:r>
        <w:rPr>
          <w:b/>
          <w:bCs/>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6.</w:t>
      </w:r>
      <w:r>
        <w:rPr>
          <w:b/>
          <w:bCs/>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7.</w:t>
      </w:r>
      <w:r>
        <w:rPr>
          <w:b/>
          <w:bCs/>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b/>
          <w:bCs/>
          <w:color w:val="000000"/>
          <w:sz w:val="20"/>
          <w:szCs w:val="20"/>
          <w:u w:val="none" w:color="0000EE"/>
          <w:vertAlign w:val="superscript"/>
          <w:lang w:val="el" w:eastAsia="el"/>
        </w:rPr>
        <w:footnoteReference w:id="383"/>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Δήμευση περιουσιακών στοιχείων</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w:t>
      </w:r>
      <w:r>
        <w:rPr>
          <w:b/>
          <w:bCs/>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2.</w:t>
      </w:r>
      <w:r>
        <w:rPr>
          <w:b/>
          <w:bCs/>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3.</w:t>
      </w:r>
      <w:r>
        <w:rPr>
          <w:b/>
          <w:bCs/>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4.</w:t>
      </w:r>
      <w:r>
        <w:rPr>
          <w:b/>
          <w:bCs/>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5.</w:t>
      </w:r>
      <w:r>
        <w:rPr>
          <w:b/>
          <w:bCs/>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b/>
          <w:bCs/>
          <w:color w:val="000000"/>
          <w:sz w:val="20"/>
          <w:szCs w:val="20"/>
          <w:u w:val="none" w:color="0000EE"/>
          <w:vertAlign w:val="superscript"/>
          <w:lang w:val="el" w:eastAsia="el"/>
        </w:rPr>
        <w:footnoteReference w:id="389"/>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b/>
          <w:bCs/>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b/>
          <w:bCs/>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α)</w:t>
      </w:r>
      <w:r>
        <w:rPr>
          <w:b/>
          <w:bCs/>
          <w:lang w:val="en" w:eastAsia="en"/>
        </w:rPr>
        <w:tab/>
      </w:r>
      <w:r>
        <w:rPr>
          <w:b/>
          <w:bCs/>
          <w:lang w:val="el" w:eastAsia="el"/>
        </w:rPr>
        <w:t>των περ. α’, β’, γ’ και θ’ του άρθρου 4 του παρόντος, και των άρθρων 237Α, 323Α και 396 του Ποινικού Κώδικα (ΠΚ, 4619/2019, Α’ 95),</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207, 208, 208Α ΠΚ,</w:t>
      </w:r>
      <w:r>
        <w:rPr>
          <w:rStyle w:val="Hyperlink"/>
          <w:b/>
          <w:bCs/>
          <w:color w:val="000000"/>
          <w:sz w:val="20"/>
          <w:szCs w:val="20"/>
          <w:u w:val="none" w:color="0000EE"/>
          <w:vertAlign w:val="superscript"/>
          <w:lang w:val="el" w:eastAsia="el"/>
        </w:rPr>
        <w:footnoteReference w:id="392"/>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216, 372, 374, 375 και της παρ. 1 του άρθρου 394 ΠΚ, εφόσον αφορούν μέσα πληρωμής πλην των μετρητών,</w:t>
      </w:r>
      <w:r>
        <w:rPr>
          <w:rStyle w:val="Hyperlink"/>
          <w:b/>
          <w:bCs/>
          <w:color w:val="000000"/>
          <w:sz w:val="20"/>
          <w:szCs w:val="20"/>
          <w:u w:val="none" w:color="0000EE"/>
          <w:vertAlign w:val="superscript"/>
          <w:lang w:val="el" w:eastAsia="el"/>
        </w:rPr>
        <w:footnoteReference w:id="393"/>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348Α, 348Β, 348Γ, 349 ΠΚ,</w:t>
      </w:r>
      <w:r>
        <w:rPr>
          <w:rStyle w:val="Hyperlink"/>
          <w:b/>
          <w:bCs/>
          <w:color w:val="000000"/>
          <w:sz w:val="20"/>
          <w:szCs w:val="20"/>
          <w:u w:val="none" w:color="0000EE"/>
          <w:vertAlign w:val="superscript"/>
          <w:lang w:val="el" w:eastAsia="el"/>
        </w:rPr>
        <w:footnoteReference w:id="394"/>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292Β ΠΚ.</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3.</w:t>
      </w:r>
      <w:r>
        <w:rPr>
          <w:b/>
          <w:bCs/>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Δέσμευση και απαγόρευση εκποίησης περιουσιακών στοιχείων - Εξουσιοδοτική διάταξη</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w:t>
      </w:r>
      <w:r>
        <w:rPr>
          <w:b/>
          <w:bCs/>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w:t>
      </w:r>
      <w:r>
        <w:rPr>
          <w:b/>
          <w:bCs/>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3.</w:t>
      </w:r>
      <w:r>
        <w:rPr>
          <w:b/>
          <w:bCs/>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4.</w:t>
      </w:r>
      <w:r>
        <w:rPr>
          <w:b/>
          <w:bCs/>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5.</w:t>
      </w:r>
      <w:r>
        <w:rPr>
          <w:b/>
          <w:bCs/>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6.</w:t>
      </w:r>
      <w:r>
        <w:rPr>
          <w:b/>
          <w:bCs/>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7.</w:t>
      </w:r>
      <w:r>
        <w:rPr>
          <w:b/>
          <w:bCs/>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8.</w:t>
      </w:r>
      <w:r>
        <w:rPr>
          <w:b/>
          <w:bCs/>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αρμόδια δικαστική αρχή ενώπιον της οποία εκκρεμεί η υπόθεση ή με την προσφυγή ή την αίτηση που προβλέπεται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9.</w:t>
      </w:r>
      <w:r>
        <w:rPr>
          <w:b/>
          <w:bCs/>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10.</w:t>
      </w:r>
      <w:r>
        <w:rPr>
          <w:b/>
          <w:bCs/>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11.</w:t>
      </w:r>
      <w:r>
        <w:rPr>
          <w:b/>
          <w:bCs/>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12.</w:t>
      </w:r>
      <w:r>
        <w:rPr>
          <w:b/>
          <w:bCs/>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13.</w:t>
      </w:r>
      <w:r>
        <w:rPr>
          <w:b/>
          <w:bCs/>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b/>
          <w:bCs/>
          <w:color w:val="000000"/>
          <w:sz w:val="20"/>
          <w:szCs w:val="20"/>
          <w:u w:val="none" w:color="0000EE"/>
          <w:vertAlign w:val="superscript"/>
          <w:lang w:val="el" w:eastAsia="el"/>
        </w:rPr>
        <w:footnoteReference w:id="409"/>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b/>
          <w:bCs/>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b/>
          <w:bCs/>
          <w:lang w:val="el" w:eastAsia="el"/>
        </w:rPr>
        <w:t>β)</w:t>
      </w:r>
      <w:r>
        <w:rPr>
          <w:b/>
          <w:bCs/>
          <w:lang w:val="en" w:eastAsia="en"/>
        </w:rPr>
        <w:tab/>
      </w:r>
      <w:r>
        <w:rPr>
          <w:b/>
          <w:bCs/>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b/>
          <w:bCs/>
          <w:lang w:val="el" w:eastAsia="el"/>
        </w:rPr>
        <w:t>γ)</w:t>
      </w:r>
      <w:r>
        <w:rPr>
          <w:b/>
          <w:bCs/>
          <w:lang w:val="en" w:eastAsia="en"/>
        </w:rPr>
        <w:tab/>
      </w:r>
      <w:r>
        <w:rPr>
          <w:b/>
          <w:bCs/>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b/>
          <w:bCs/>
          <w:lang w:val="el" w:eastAsia="el"/>
        </w:rPr>
        <w:t>ε)</w:t>
      </w:r>
      <w:r>
        <w:rPr>
          <w:b/>
          <w:bCs/>
          <w:lang w:val="en" w:eastAsia="en"/>
        </w:rPr>
        <w:tab/>
      </w:r>
      <w:r>
        <w:rPr>
          <w:b/>
          <w:bCs/>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b/>
          <w:bCs/>
          <w:lang w:val="el" w:eastAsia="el"/>
        </w:rPr>
        <w:t>στ)</w:t>
      </w:r>
      <w:r>
        <w:rPr>
          <w:b/>
          <w:bCs/>
          <w:lang w:val="en" w:eastAsia="en"/>
        </w:rPr>
        <w:tab/>
      </w:r>
      <w:r>
        <w:rPr>
          <w:b/>
          <w:bCs/>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b/>
          <w:bCs/>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b/>
          <w:bCs/>
          <w:lang w:val="el" w:eastAsia="el"/>
        </w:rPr>
        <w:t>η)</w:t>
      </w:r>
      <w:r>
        <w:rPr>
          <w:b/>
          <w:bCs/>
          <w:lang w:val="en" w:eastAsia="en"/>
        </w:rPr>
        <w:tab/>
      </w:r>
      <w:r>
        <w:rPr>
          <w:b/>
          <w:bCs/>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b/>
          <w:bCs/>
          <w:lang w:val="el" w:eastAsia="el"/>
        </w:rPr>
        <w:t>θ)</w:t>
      </w:r>
      <w:r>
        <w:rPr>
          <w:b/>
          <w:bCs/>
          <w:lang w:val="en" w:eastAsia="en"/>
        </w:rPr>
        <w:tab/>
      </w:r>
      <w:r>
        <w:rPr>
          <w:b/>
          <w:bCs/>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b/>
          <w:bCs/>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Πρόσβαση δικαστικών αρχών σε αρχεία και στοιχεία </w:t>
      </w:r>
    </w:p>
    <w:p>
      <w:pPr>
        <w:spacing w:before="240" w:after="240"/>
        <w:rPr>
          <w:lang w:val="el" w:eastAsia="el"/>
        </w:rPr>
      </w:pPr>
      <w:r>
        <w:rPr>
          <w:b/>
          <w:bCs/>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Ευθύνη νομικών προσώπων και οντοτήτων</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w:t>
      </w:r>
      <w:r>
        <w:rPr>
          <w:b/>
          <w:bCs/>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τέσσερα εκατομμύρια (4.000.000) ευρώ.</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β)</w:t>
      </w:r>
      <w:r>
        <w:rPr>
          <w:b/>
          <w:bCs/>
          <w:lang w:val="en" w:eastAsia="en"/>
        </w:rPr>
        <w:tab/>
      </w:r>
      <w:r>
        <w:rPr>
          <w:b/>
          <w:bCs/>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γ)</w:t>
      </w:r>
      <w:r>
        <w:rPr>
          <w:b/>
          <w:bCs/>
          <w:lang w:val="en" w:eastAsia="en"/>
        </w:rPr>
        <w:tab/>
      </w:r>
      <w:r>
        <w:rPr>
          <w:b/>
          <w:bCs/>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b/>
          <w:bCs/>
          <w:lang w:val="el" w:eastAsia="el"/>
        </w:rPr>
        <w:t>δ)</w:t>
      </w:r>
      <w:r>
        <w:rPr>
          <w:b/>
          <w:bCs/>
          <w:lang w:val="en" w:eastAsia="en"/>
        </w:rPr>
        <w:tab/>
      </w:r>
      <w:r>
        <w:rPr>
          <w:b/>
          <w:bCs/>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δημοσίου τομέα υπό την έννοια της περ. α’ της παρ. 1 του άρθρου 14 του ν. 4270/2014 (Α’ 143), με την επιφύλαξη των άρθρων 73 και 74 του ν. 4412/2016 (Α’ 147) και 39 και 42 του ν. 4413/2016 (Α’ 148).</w:t>
      </w:r>
      <w:r>
        <w:rPr>
          <w:rStyle w:val="Hyperlink"/>
          <w:b/>
          <w:bCs/>
          <w:color w:val="000000"/>
          <w:sz w:val="20"/>
          <w:szCs w:val="20"/>
          <w:u w:val="none" w:color="0000EE"/>
          <w:vertAlign w:val="superscript"/>
          <w:lang w:val="el" w:eastAsia="el"/>
        </w:rPr>
        <w:footnoteReference w:id="413"/>
      </w:r>
    </w:p>
    <w:p>
      <w:pPr>
        <w:spacing w:before="240" w:after="240"/>
        <w:rPr>
          <w:lang w:val="el" w:eastAsia="el"/>
        </w:rPr>
      </w:pPr>
      <w:r>
        <w:rPr>
          <w:b/>
          <w:bCs/>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b/>
          <w:bCs/>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Διοικητικό πρόστιμο από δέκα χιλιάδες (10.000) ευρώ έως πέντε εκατομμύρια (5.000.000) ευρώ.</w:t>
      </w:r>
    </w:p>
    <w:p>
      <w:pPr>
        <w:spacing w:before="240" w:after="240"/>
        <w:rPr>
          <w:lang w:val="el" w:eastAsia="el"/>
        </w:rPr>
      </w:pPr>
      <w:r>
        <w:rPr>
          <w:b/>
          <w:bCs/>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δυόμιση εκατομμύρια (2.500.000) ευρώ.</w:t>
      </w:r>
      <w:r>
        <w:rPr>
          <w:rStyle w:val="Hyperlink"/>
          <w:b/>
          <w:bCs/>
          <w:color w:val="000000"/>
          <w:sz w:val="20"/>
          <w:szCs w:val="20"/>
          <w:u w:val="none" w:color="0000EE"/>
          <w:vertAlign w:val="superscript"/>
          <w:lang w:val="el" w:eastAsia="el"/>
        </w:rPr>
        <w:footnoteReference w:id="414"/>
      </w:r>
    </w:p>
    <w:p>
      <w:pPr>
        <w:pStyle w:val="StructureList1"/>
        <w:spacing w:before="120" w:after="0"/>
        <w:rPr>
          <w:lang w:val="el" w:eastAsia="el"/>
        </w:rPr>
      </w:pPr>
      <w:r>
        <w:rPr>
          <w:b/>
          <w:bCs/>
          <w:lang w:val="el" w:eastAsia="el"/>
        </w:rPr>
        <w:t>β)</w:t>
      </w:r>
      <w:r>
        <w:rPr>
          <w:b/>
          <w:bCs/>
          <w:lang w:val="en" w:eastAsia="en"/>
        </w:rPr>
        <w:tab/>
      </w:r>
      <w:r>
        <w:rPr>
          <w:b/>
          <w:bCs/>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b/>
          <w:bCs/>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b/>
          <w:bCs/>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η βαρύτητα και η διάρκεια της παράβασης,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ο βαθμός ευθύνης του νομικού προσώπου ή της οντότητας,</w:t>
      </w:r>
    </w:p>
    <w:p>
      <w:pPr>
        <w:pStyle w:val="StructureList1"/>
        <w:spacing w:before="120" w:after="0"/>
        <w:rPr>
          <w:lang w:val="el" w:eastAsia="el"/>
        </w:rPr>
      </w:pPr>
      <w:r>
        <w:rPr>
          <w:b/>
          <w:bCs/>
          <w:lang w:val="el" w:eastAsia="el"/>
        </w:rPr>
        <w:t>γ)</w:t>
      </w:r>
      <w:r>
        <w:rPr>
          <w:b/>
          <w:bCs/>
          <w:lang w:val="en" w:eastAsia="en"/>
        </w:rPr>
        <w:tab/>
      </w:r>
      <w:r>
        <w:rPr>
          <w:b/>
          <w:bCs/>
          <w:lang w:val="el" w:eastAsia="el"/>
        </w:rPr>
        <w:t>η οικονομική επιφάνεια του νομικού προσώπου ή της οντότητας,</w:t>
      </w:r>
    </w:p>
    <w:p>
      <w:pPr>
        <w:pStyle w:val="StructureList1"/>
        <w:spacing w:before="120" w:after="0"/>
        <w:rPr>
          <w:lang w:val="el" w:eastAsia="el"/>
        </w:rPr>
      </w:pPr>
      <w:r>
        <w:rPr>
          <w:b/>
          <w:bCs/>
          <w:lang w:val="el" w:eastAsia="el"/>
        </w:rPr>
        <w:t>δ)</w:t>
      </w:r>
      <w:r>
        <w:rPr>
          <w:b/>
          <w:bCs/>
          <w:lang w:val="en" w:eastAsia="en"/>
        </w:rPr>
        <w:tab/>
      </w:r>
      <w:r>
        <w:rPr>
          <w:b/>
          <w:bCs/>
          <w:lang w:val="el" w:eastAsia="el"/>
        </w:rPr>
        <w:t>το ύψος των παράνομων εσόδων ή του προκύψαντος οφέλους,</w:t>
      </w:r>
    </w:p>
    <w:p>
      <w:pPr>
        <w:pStyle w:val="StructureList1"/>
        <w:spacing w:before="120" w:after="0"/>
        <w:rPr>
          <w:lang w:val="el" w:eastAsia="el"/>
        </w:rPr>
      </w:pPr>
      <w:r>
        <w:rPr>
          <w:b/>
          <w:bCs/>
          <w:lang w:val="el" w:eastAsia="el"/>
        </w:rPr>
        <w:t>ε)</w:t>
      </w:r>
      <w:r>
        <w:rPr>
          <w:b/>
          <w:bCs/>
          <w:lang w:val="en" w:eastAsia="en"/>
        </w:rPr>
        <w:tab/>
      </w:r>
      <w:r>
        <w:rPr>
          <w:b/>
          <w:bCs/>
          <w:lang w:val="el" w:eastAsia="el"/>
        </w:rPr>
        <w:t>οι ζημίες τρίτων που προέκυψαν από το αδίκημα,</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b/>
          <w:bCs/>
          <w:lang w:val="el" w:eastAsia="el"/>
        </w:rPr>
        <w:t>ζ)</w:t>
      </w:r>
      <w:r>
        <w:rPr>
          <w:b/>
          <w:bCs/>
          <w:lang w:val="en" w:eastAsia="en"/>
        </w:rPr>
        <w:tab/>
      </w:r>
      <w:r>
        <w:rPr>
          <w:b/>
          <w:bCs/>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b/>
          <w:bCs/>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b/>
          <w:bCs/>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b/>
          <w:bCs/>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b/>
          <w:bCs/>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b/>
          <w:bCs/>
          <w:color w:val="000000"/>
          <w:sz w:val="20"/>
          <w:szCs w:val="20"/>
          <w:u w:val="none" w:color="0000EE"/>
          <w:vertAlign w:val="superscript"/>
          <w:lang w:val="el" w:eastAsia="el"/>
        </w:rPr>
        <w:footnoteReference w:id="415"/>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b/>
          <w:bCs/>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υπόχρεα νομικά πρόσωπα ή οντότητες:</w:t>
      </w:r>
    </w:p>
    <w:p>
      <w:pPr>
        <w:pStyle w:val="StructureList1"/>
        <w:spacing w:before="120" w:after="0"/>
        <w:rPr>
          <w:lang w:val="el" w:eastAsia="el"/>
        </w:rPr>
      </w:pPr>
      <w:r>
        <w:rPr>
          <w:b/>
          <w:bCs/>
          <w:lang w:val="el" w:eastAsia="el"/>
        </w:rPr>
        <w:t>αα)</w:t>
      </w:r>
      <w:r>
        <w:rPr>
          <w:b/>
          <w:bCs/>
          <w:lang w:val="en" w:eastAsia="en"/>
        </w:rPr>
        <w:tab/>
      </w:r>
      <w:r>
        <w:rPr>
          <w:b/>
          <w:bCs/>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b/>
          <w:bCs/>
          <w:lang w:val="el" w:eastAsia="el"/>
        </w:rPr>
        <w:t>γγ)</w:t>
      </w:r>
      <w:r>
        <w:rPr>
          <w:b/>
          <w:bCs/>
          <w:lang w:val="en" w:eastAsia="en"/>
        </w:rPr>
        <w:tab/>
      </w:r>
      <w:r>
        <w:rPr>
          <w:b/>
          <w:bCs/>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b/>
          <w:bCs/>
          <w:lang w:val="el" w:eastAsia="el"/>
        </w:rPr>
        <w:t>δδ)</w:t>
      </w:r>
      <w:r>
        <w:rPr>
          <w:b/>
          <w:bCs/>
          <w:lang w:val="en" w:eastAsia="en"/>
        </w:rPr>
        <w:tab/>
      </w:r>
      <w:r>
        <w:rPr>
          <w:b/>
          <w:bCs/>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b/>
          <w:bCs/>
          <w:lang w:val="el" w:eastAsia="el"/>
        </w:rPr>
        <w:t>εε)</w:t>
      </w:r>
      <w:r>
        <w:rPr>
          <w:b/>
          <w:bCs/>
          <w:lang w:val="en" w:eastAsia="en"/>
        </w:rPr>
        <w:tab/>
      </w:r>
      <w:r>
        <w:rPr>
          <w:b/>
          <w:bCs/>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b/>
          <w:bCs/>
          <w:lang w:val="el" w:eastAsia="el"/>
        </w:rPr>
        <w:t>στστ)</w:t>
      </w:r>
      <w:r>
        <w:rPr>
          <w:b/>
          <w:bCs/>
          <w:lang w:val="en" w:eastAsia="en"/>
        </w:rPr>
        <w:tab/>
      </w:r>
      <w:r>
        <w:rPr>
          <w:b/>
          <w:bCs/>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υπόχρεα φυσικά πρόσωπα:</w:t>
      </w:r>
    </w:p>
    <w:p>
      <w:pPr>
        <w:pStyle w:val="StructureList1"/>
        <w:spacing w:before="120" w:after="0"/>
        <w:rPr>
          <w:lang w:val="el" w:eastAsia="el"/>
        </w:rPr>
      </w:pPr>
      <w:r>
        <w:rPr>
          <w:b/>
          <w:bCs/>
          <w:lang w:val="el" w:eastAsia="el"/>
        </w:rPr>
        <w:t>αα)</w:t>
      </w:r>
      <w:r>
        <w:rPr>
          <w:b/>
          <w:bCs/>
          <w:lang w:val="en" w:eastAsia="en"/>
        </w:rPr>
        <w:tab/>
      </w:r>
      <w:r>
        <w:rPr>
          <w:b/>
          <w:bCs/>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b/>
          <w:bCs/>
          <w:lang w:val="el" w:eastAsia="el"/>
        </w:rPr>
        <w:t>ββ)</w:t>
      </w:r>
      <w:r>
        <w:rPr>
          <w:b/>
          <w:bCs/>
          <w:lang w:val="en" w:eastAsia="en"/>
        </w:rPr>
        <w:tab/>
      </w:r>
      <w:r>
        <w:rPr>
          <w:b/>
          <w:bCs/>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b/>
          <w:bCs/>
          <w:lang w:val="el" w:eastAsia="el"/>
        </w:rPr>
        <w:t>γγ)</w:t>
      </w:r>
      <w:r>
        <w:rPr>
          <w:b/>
          <w:bCs/>
          <w:lang w:val="en" w:eastAsia="en"/>
        </w:rPr>
        <w:tab/>
      </w:r>
      <w:r>
        <w:rPr>
          <w:b/>
          <w:bCs/>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b/>
          <w:bCs/>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b/>
          <w:bCs/>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b/>
          <w:bCs/>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Οι κυρώσεις που επιβάλλονται σε νομικά πρόσωπα, δημοσιοποιούνται χωρίς αδικαιολόγητη καθυστέρηση. Αν έχει ασκηθεί ένδικο βοήθημα ενώπιον του αρμοδίου δικαστηρίου, η δημοσίευση περιλαμβάνει και τις πληροφορίες για το περιεχόμενο αυτού και για την έκβασή του, έως και την έκδοση αμετάκλητης δικαστικής απόφασης. Οι κυρώσεις που επιβάλλονται σε φυσικά πρόσωπα δημοσιοποιούνται αν έχει παρέλθει η προθεσμία άσκησης ενδίκου βοηθήματος, ενώπιον του αρμοδίου δικαστηρίου, ή αν αυτό έχει απορριφθεί αμετακλήτως. Από τη δημοσιοποίηση των κυρώσεων εις βάρος φυσικών και νομικών προσώπων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4.</w:t>
      </w:r>
      <w:r>
        <w:rPr>
          <w:b/>
          <w:bCs/>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b/>
          <w:bCs/>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b/>
          <w:bCs/>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b/>
          <w:bCs/>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b/>
          <w:bCs/>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b/>
          <w:bCs/>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b/>
          <w:bCs/>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b/>
          <w:bCs/>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b/>
          <w:bCs/>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6.</w:t>
      </w:r>
      <w:r>
        <w:rPr>
          <w:b/>
          <w:bCs/>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b/>
          <w:bCs/>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b/>
          <w:bCs/>
          <w:lang w:val="el" w:eastAsia="el"/>
        </w:rPr>
        <w:t xml:space="preserve"> Α΄ Μονάδα Διερεύνησης Χρηματοοικονομικών Πληροφοριών</w:t>
      </w:r>
    </w:p>
    <w:p>
      <w:pPr>
        <w:pStyle w:val="StructureList1"/>
        <w:spacing w:before="120" w:after="0"/>
        <w:rPr>
          <w:lang w:val="el" w:eastAsia="el"/>
        </w:rPr>
      </w:pPr>
      <w:r>
        <w:rPr>
          <w:b/>
          <w:bCs/>
          <w:lang w:val="el" w:eastAsia="el"/>
        </w:rPr>
        <w:t>α)</w:t>
      </w:r>
      <w:r>
        <w:rPr>
          <w:b/>
          <w:bCs/>
          <w:lang w:val="en" w:eastAsia="en"/>
        </w:rPr>
        <w:tab/>
      </w:r>
      <w:r>
        <w:rPr>
          <w:b/>
          <w:bCs/>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Γραμματεία Οικονομικής Πολιτικής και Στρατηγικής του Υπουργείου Εθνικής Οικονομίας και Οικονομικών που προτείνονται από τον αρμόδιο Υπουργό,</w:t>
      </w:r>
      <w:r>
        <w:rPr>
          <w:rStyle w:val="Hyperlink"/>
          <w:b/>
          <w:bCs/>
          <w:color w:val="000000"/>
          <w:sz w:val="20"/>
          <w:szCs w:val="20"/>
          <w:u w:val="none" w:color="0000EE"/>
          <w:vertAlign w:val="superscript"/>
          <w:lang w:val="el" w:eastAsia="el"/>
        </w:rPr>
        <w:footnoteReference w:id="418"/>
      </w:r>
    </w:p>
    <w:p>
      <w:pPr>
        <w:pStyle w:val="StructureList1"/>
        <w:spacing w:before="120" w:after="0"/>
        <w:rPr>
          <w:lang w:val="el" w:eastAsia="el"/>
        </w:rPr>
      </w:pPr>
      <w:r>
        <w:rPr>
          <w:b/>
          <w:bCs/>
          <w:lang w:val="el" w:eastAsia="el"/>
        </w:rPr>
        <w:t>ββ)</w:t>
      </w:r>
      <w:r>
        <w:rPr>
          <w:b/>
          <w:bCs/>
          <w:lang w:val="en" w:eastAsia="en"/>
        </w:rPr>
        <w:tab/>
      </w:r>
      <w:r>
        <w:rPr>
          <w:b/>
          <w:bCs/>
          <w:lang w:val="el" w:eastAsia="el"/>
        </w:rPr>
        <w:t>ένα στέλεχος από την Α.Α.Δ.Ε. που προτείνεται από τον Διοικητή της,</w:t>
      </w:r>
    </w:p>
    <w:p>
      <w:pPr>
        <w:pStyle w:val="StructureList1"/>
        <w:spacing w:before="120" w:after="0"/>
        <w:rPr>
          <w:lang w:val="el" w:eastAsia="el"/>
        </w:rPr>
      </w:pPr>
      <w:r>
        <w:rPr>
          <w:b/>
          <w:bCs/>
          <w:lang w:val="el" w:eastAsia="el"/>
        </w:rPr>
        <w:t>γγ)</w:t>
      </w:r>
      <w:r>
        <w:rPr>
          <w:b/>
          <w:bCs/>
          <w:lang w:val="en" w:eastAsia="en"/>
        </w:rPr>
        <w:tab/>
      </w:r>
      <w:r>
        <w:rPr>
          <w:b/>
          <w:bCs/>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b/>
          <w:bCs/>
          <w:lang w:val="el" w:eastAsia="el"/>
        </w:rPr>
        <w:t>δδ)</w:t>
      </w:r>
      <w:r>
        <w:rPr>
          <w:b/>
          <w:bCs/>
          <w:lang w:val="en" w:eastAsia="en"/>
        </w:rPr>
        <w:tab/>
      </w:r>
      <w:r>
        <w:rPr>
          <w:b/>
          <w:bCs/>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b/>
          <w:bCs/>
          <w:lang w:val="el" w:eastAsia="el"/>
        </w:rPr>
        <w:t>εε)</w:t>
      </w:r>
      <w:r>
        <w:rPr>
          <w:b/>
          <w:bCs/>
          <w:lang w:val="en" w:eastAsia="en"/>
        </w:rPr>
        <w:tab/>
      </w:r>
      <w:r>
        <w:rPr>
          <w:b/>
          <w:bCs/>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b/>
          <w:bCs/>
          <w:lang w:val="el" w:eastAsia="el"/>
        </w:rPr>
        <w:t>στστ)</w:t>
      </w:r>
      <w:r>
        <w:rPr>
          <w:b/>
          <w:bCs/>
          <w:lang w:val="en" w:eastAsia="en"/>
        </w:rPr>
        <w:tab/>
      </w:r>
      <w:r>
        <w:rPr>
          <w:b/>
          <w:bCs/>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b/>
          <w:bCs/>
          <w:lang w:val="el" w:eastAsia="el"/>
        </w:rPr>
        <w:t>ζζ)</w:t>
      </w:r>
      <w:r>
        <w:rPr>
          <w:b/>
          <w:bCs/>
          <w:lang w:val="en" w:eastAsia="en"/>
        </w:rPr>
        <w:tab/>
      </w:r>
      <w:r>
        <w:rPr>
          <w:b/>
          <w:bCs/>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b/>
          <w:bCs/>
          <w:lang w:val="el" w:eastAsia="el"/>
        </w:rPr>
        <w:t>ηη)</w:t>
      </w:r>
      <w:r>
        <w:rPr>
          <w:b/>
          <w:bCs/>
          <w:lang w:val="en" w:eastAsia="en"/>
        </w:rPr>
        <w:tab/>
      </w:r>
      <w:r>
        <w:rPr>
          <w:b/>
          <w:bCs/>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b/>
          <w:bCs/>
          <w:lang w:val="el" w:eastAsia="el"/>
        </w:rPr>
        <w:t>θθ)</w:t>
      </w:r>
      <w:r>
        <w:rPr>
          <w:b/>
          <w:bCs/>
          <w:lang w:val="en" w:eastAsia="en"/>
        </w:rPr>
        <w:tab/>
      </w:r>
      <w:r>
        <w:rPr>
          <w:b/>
          <w:bCs/>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γ)</w:t>
      </w:r>
      <w:r>
        <w:rPr>
          <w:b/>
          <w:bCs/>
          <w:lang w:val="en" w:eastAsia="en"/>
        </w:rPr>
        <w:tab/>
      </w:r>
      <w:r>
        <w:rPr>
          <w:b/>
          <w:bCs/>
          <w:lang w:val="el" w:eastAsia="el"/>
        </w:rPr>
        <w:t>Το προσωπικό της Μονάδας είναι αρμόδιο για:</w:t>
      </w:r>
    </w:p>
    <w:p>
      <w:pPr>
        <w:pStyle w:val="StructureList1"/>
        <w:spacing w:before="120" w:after="0"/>
        <w:rPr>
          <w:lang w:val="el" w:eastAsia="el"/>
        </w:rPr>
      </w:pPr>
      <w:r>
        <w:rPr>
          <w:b/>
          <w:bCs/>
          <w:lang w:val="el" w:eastAsia="el"/>
        </w:rPr>
        <w:t>αα)</w:t>
      </w:r>
      <w:r>
        <w:rPr>
          <w:b/>
          <w:bCs/>
          <w:lang w:val="en" w:eastAsia="en"/>
        </w:rPr>
        <w:tab/>
      </w:r>
      <w:r>
        <w:rPr>
          <w:b/>
          <w:bCs/>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b/>
          <w:bCs/>
          <w:lang w:val="el" w:eastAsia="el"/>
        </w:rPr>
        <w:t>ββ)</w:t>
      </w:r>
      <w:r>
        <w:rPr>
          <w:b/>
          <w:bCs/>
          <w:lang w:val="en" w:eastAsia="en"/>
        </w:rPr>
        <w:tab/>
      </w:r>
      <w:r>
        <w:rPr>
          <w:b/>
          <w:bCs/>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b/>
          <w:bCs/>
          <w:lang w:val="el" w:eastAsia="el"/>
        </w:rPr>
        <w:t>γγ)</w:t>
      </w:r>
      <w:r>
        <w:rPr>
          <w:b/>
          <w:bCs/>
          <w:lang w:val="en" w:eastAsia="en"/>
        </w:rPr>
        <w:tab/>
      </w:r>
      <w:r>
        <w:rPr>
          <w:b/>
          <w:bCs/>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b/>
          <w:bCs/>
          <w:lang w:val="el" w:eastAsia="el"/>
        </w:rPr>
        <w:t>δδ)</w:t>
      </w:r>
      <w:r>
        <w:rPr>
          <w:b/>
          <w:bCs/>
          <w:lang w:val="en" w:eastAsia="en"/>
        </w:rPr>
        <w:tab/>
      </w:r>
      <w:r>
        <w:rPr>
          <w:b/>
          <w:bCs/>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b/>
          <w:bCs/>
          <w:lang w:val="el" w:eastAsia="el"/>
        </w:rPr>
        <w:t>εε)</w:t>
      </w:r>
      <w:r>
        <w:rPr>
          <w:b/>
          <w:bCs/>
          <w:lang w:val="en" w:eastAsia="en"/>
        </w:rPr>
        <w:tab/>
      </w:r>
      <w:r>
        <w:rPr>
          <w:b/>
          <w:bCs/>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b/>
          <w:bCs/>
          <w:lang w:val="el" w:eastAsia="el"/>
        </w:rPr>
        <w:t>δ)</w:t>
      </w:r>
      <w:r>
        <w:rPr>
          <w:b/>
          <w:bCs/>
          <w:lang w:val="en" w:eastAsia="en"/>
        </w:rPr>
        <w:tab/>
      </w:r>
      <w:r>
        <w:rPr>
          <w:b/>
          <w:bCs/>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ε)</w:t>
      </w:r>
      <w:r>
        <w:rPr>
          <w:b/>
          <w:bCs/>
          <w:lang w:val="en" w:eastAsia="en"/>
        </w:rPr>
        <w:tab/>
      </w:r>
      <w:r>
        <w:rPr>
          <w:b/>
          <w:bCs/>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b/>
          <w:bCs/>
          <w:lang w:val="el" w:eastAsia="el"/>
        </w:rPr>
        <w:t>στ)</w:t>
      </w:r>
      <w:r>
        <w:rPr>
          <w:b/>
          <w:bCs/>
          <w:lang w:val="en" w:eastAsia="en"/>
        </w:rPr>
        <w:tab/>
      </w:r>
      <w:r>
        <w:rPr>
          <w:b/>
          <w:bCs/>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b/>
          <w:bCs/>
          <w:lang w:val="el" w:eastAsia="el"/>
        </w:rPr>
        <w:t xml:space="preserve"> Β΄ Μονάδα Χρηματοοικονομικών Κυρώσεων</w:t>
      </w:r>
    </w:p>
    <w:p>
      <w:pPr>
        <w:pStyle w:val="StructureList1"/>
        <w:spacing w:before="120" w:after="0"/>
        <w:rPr>
          <w:lang w:val="el" w:eastAsia="el"/>
        </w:rPr>
      </w:pPr>
      <w:r>
        <w:rPr>
          <w:b/>
          <w:bCs/>
          <w:lang w:val="el" w:eastAsia="el"/>
        </w:rPr>
        <w:t>α)</w:t>
      </w:r>
      <w:r>
        <w:rPr>
          <w:b/>
          <w:bCs/>
          <w:lang w:val="en" w:eastAsia="en"/>
        </w:rPr>
        <w:tab/>
      </w:r>
      <w:r>
        <w:rPr>
          <w:b/>
          <w:bCs/>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ένα στέλεχος της Ελληνικής Αστυνομίας που προτείνεται από τον Υπουργό Προστασίας του Πολίτη,</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ββ)</w:t>
      </w:r>
      <w:r>
        <w:rPr>
          <w:b/>
          <w:bCs/>
          <w:lang w:val="en" w:eastAsia="en"/>
        </w:rPr>
        <w:tab/>
      </w:r>
      <w:r>
        <w:rPr>
          <w:b/>
          <w:bCs/>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γ)</w:t>
      </w:r>
      <w:r>
        <w:rPr>
          <w:b/>
          <w:bCs/>
          <w:lang w:val="en" w:eastAsia="en"/>
        </w:rPr>
        <w:tab/>
      </w:r>
      <w:r>
        <w:rPr>
          <w:b/>
          <w:bCs/>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στα άρθρα 187Α και 187Β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δ)</w:t>
      </w:r>
      <w:r>
        <w:rPr>
          <w:b/>
          <w:bCs/>
          <w:lang w:val="en" w:eastAsia="en"/>
        </w:rPr>
        <w:tab/>
      </w:r>
      <w:r>
        <w:rPr>
          <w:b/>
          <w:bCs/>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b/>
          <w:bCs/>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b/>
          <w:bCs/>
          <w:lang w:val="el" w:eastAsia="el"/>
        </w:rPr>
        <w:t>ε)</w:t>
      </w:r>
      <w:r>
        <w:rPr>
          <w:b/>
          <w:bCs/>
          <w:lang w:val="en" w:eastAsia="en"/>
        </w:rPr>
        <w:tab/>
      </w:r>
      <w:r>
        <w:rPr>
          <w:b/>
          <w:bCs/>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StructureList1"/>
        <w:spacing w:before="120" w:after="0"/>
        <w:rPr>
          <w:lang w:val="el" w:eastAsia="el"/>
        </w:rPr>
      </w:pPr>
      <w:r>
        <w:rPr>
          <w:b/>
          <w:bCs/>
          <w:lang w:val="el" w:eastAsia="el"/>
        </w:rPr>
        <w:t>στ)</w:t>
      </w:r>
      <w:r>
        <w:rPr>
          <w:b/>
          <w:bCs/>
          <w:lang w:val="en" w:eastAsia="en"/>
        </w:rPr>
        <w:tab/>
      </w:r>
      <w:r>
        <w:rPr>
          <w:b/>
          <w:bCs/>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4.</w:t>
      </w:r>
      <w:r>
        <w:rPr>
          <w:b/>
          <w:bCs/>
          <w:lang w:val="el" w:eastAsia="el"/>
        </w:rPr>
        <w:t xml:space="preserve"> Γ΄ Μονάδα Ελέγχου Δηλώσεων Περιουσιακής Κατάστασης</w:t>
      </w:r>
    </w:p>
    <w:p>
      <w:pPr>
        <w:pStyle w:val="StructureList1"/>
        <w:spacing w:before="120" w:after="0"/>
        <w:rPr>
          <w:lang w:val="el" w:eastAsia="el"/>
        </w:rPr>
      </w:pPr>
      <w:r>
        <w:rPr>
          <w:b/>
          <w:bCs/>
          <w:lang w:val="el" w:eastAsia="el"/>
        </w:rPr>
        <w:t>α)</w:t>
      </w:r>
      <w:r>
        <w:rPr>
          <w:b/>
          <w:bCs/>
          <w:lang w:val="en" w:eastAsia="en"/>
        </w:rPr>
        <w:tab/>
      </w:r>
      <w:r>
        <w:rPr>
          <w:b/>
          <w:bCs/>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ββ)</w:t>
      </w:r>
      <w:r>
        <w:rPr>
          <w:b/>
          <w:bCs/>
          <w:lang w:val="en" w:eastAsia="en"/>
        </w:rPr>
        <w:tab/>
      </w:r>
      <w:r>
        <w:rPr>
          <w:b/>
          <w:bCs/>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b/>
          <w:bCs/>
          <w:lang w:val="el" w:eastAsia="el"/>
        </w:rPr>
        <w:t>γγ)</w:t>
      </w:r>
      <w:r>
        <w:rPr>
          <w:b/>
          <w:bCs/>
          <w:lang w:val="en" w:eastAsia="en"/>
        </w:rPr>
        <w:tab/>
      </w:r>
      <w:r>
        <w:rPr>
          <w:b/>
          <w:bCs/>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b/>
          <w:bCs/>
          <w:lang w:val="el" w:eastAsia="el"/>
        </w:rPr>
        <w:t>δδ)</w:t>
      </w:r>
      <w:r>
        <w:rPr>
          <w:b/>
          <w:bCs/>
          <w:lang w:val="en" w:eastAsia="en"/>
        </w:rPr>
        <w:tab/>
      </w:r>
      <w:r>
        <w:rPr>
          <w:b/>
          <w:bCs/>
          <w:lang w:val="el" w:eastAsia="el"/>
        </w:rPr>
        <w:t>ένα στέλεχος από το Υπουργείο Δικαιοσύνης, που προτείνεται από τον αρμόδιο Υπουργό.</w:t>
      </w:r>
      <w:r>
        <w:rPr>
          <w:rStyle w:val="Hyperlink"/>
          <w:b/>
          <w:bCs/>
          <w:color w:val="000000"/>
          <w:sz w:val="20"/>
          <w:szCs w:val="20"/>
          <w:u w:val="none" w:color="0000EE"/>
          <w:vertAlign w:val="superscript"/>
          <w:lang w:val="el" w:eastAsia="el"/>
        </w:rPr>
        <w:footnoteReference w:id="426"/>
      </w:r>
    </w:p>
    <w:p>
      <w:pPr>
        <w:pStyle w:val="StructureList1"/>
        <w:spacing w:before="120" w:after="0"/>
        <w:rPr>
          <w:lang w:val="el" w:eastAsia="el"/>
        </w:rPr>
      </w:pPr>
      <w:r>
        <w:rPr>
          <w:b/>
          <w:bCs/>
          <w:lang w:val="el" w:eastAsia="el"/>
        </w:rPr>
        <w:t>β)</w:t>
      </w:r>
      <w:r>
        <w:rPr>
          <w:b/>
          <w:bCs/>
          <w:lang w:val="en" w:eastAsia="en"/>
        </w:rPr>
        <w:tab/>
      </w:r>
      <w:r>
        <w:rPr>
          <w:b/>
          <w:bCs/>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w:t>
      </w:r>
      <w:r>
        <w:rPr>
          <w:rStyle w:val="Hyperlink"/>
          <w:b/>
          <w:bCs/>
          <w:color w:val="000000"/>
          <w:sz w:val="20"/>
          <w:szCs w:val="20"/>
          <w:u w:val="none" w:color="0000EE"/>
          <w:vertAlign w:val="superscript"/>
          <w:lang w:val="el" w:eastAsia="el"/>
        </w:rPr>
        <w:footnoteReference w:id="427"/>
      </w:r>
    </w:p>
    <w:p>
      <w:pPr>
        <w:pStyle w:val="StructureList1"/>
        <w:spacing w:before="120" w:after="0"/>
        <w:rPr>
          <w:lang w:val="el" w:eastAsia="el"/>
        </w:rPr>
      </w:pPr>
      <w:r>
        <w:rPr>
          <w:b/>
          <w:bCs/>
          <w:lang w:val="el" w:eastAsia="el"/>
        </w:rPr>
        <w:t>γ)</w:t>
      </w:r>
      <w:r>
        <w:rPr>
          <w:b/>
          <w:bCs/>
          <w:lang w:val="en" w:eastAsia="en"/>
        </w:rPr>
        <w:tab/>
      </w:r>
      <w:r>
        <w:rPr>
          <w:b/>
          <w:bCs/>
          <w:lang w:val="el" w:eastAsia="el"/>
        </w:rPr>
        <w:t>Η Μονάδα δέχεται τις δηλώσεις περιουσιακής κατάστασης των προσώπων που αναφέρονται στην παρ. 1 του άρθρου 3 του ν. 5026/2023 (Α' 45), όπως έχουν κατανεμηθεί σε αυτήν με απόφαση της Επιτροπής Ελέγχου του άρθρου 25 του ίδιου νόμου, σύμφωνα με όσα ορίζονται στο άρθρο 27 του ίδιου νόμου,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 1 του άρθρου 28 του ν. 5026/2023 εφαρμόζεται αναλόγως, σύμφωνα με τη διαδικασία του άρθρου 29 του ίδιου νόμου.</w:t>
      </w:r>
      <w:r>
        <w:rPr>
          <w:rStyle w:val="Hyperlink"/>
          <w:b/>
          <w:bCs/>
          <w:color w:val="000000"/>
          <w:sz w:val="20"/>
          <w:szCs w:val="20"/>
          <w:u w:val="none" w:color="0000EE"/>
          <w:vertAlign w:val="superscript"/>
          <w:lang w:val="el" w:eastAsia="el"/>
        </w:rPr>
        <w:footnoteReference w:id="428"/>
      </w:r>
    </w:p>
    <w:p>
      <w:pPr>
        <w:spacing w:before="240" w:after="240"/>
        <w:rPr>
          <w:lang w:val="el" w:eastAsia="el"/>
        </w:rPr>
      </w:pPr>
      <w:r>
        <w:rPr>
          <w:b/>
          <w:bCs/>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b/>
          <w:bCs/>
          <w:lang w:val="el" w:eastAsia="el"/>
        </w:rPr>
        <w:t>αα)</w:t>
      </w:r>
      <w:r>
        <w:rPr>
          <w:b/>
          <w:bCs/>
          <w:lang w:val="en" w:eastAsia="en"/>
        </w:rPr>
        <w:tab/>
      </w:r>
      <w:r>
        <w:rPr>
          <w:b/>
          <w:bCs/>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b/>
          <w:bCs/>
          <w:lang w:val="el" w:eastAsia="el"/>
        </w:rPr>
        <w:t>γγ)</w:t>
      </w:r>
      <w:r>
        <w:rPr>
          <w:b/>
          <w:bCs/>
          <w:lang w:val="en" w:eastAsia="en"/>
        </w:rPr>
        <w:tab/>
      </w:r>
      <w:r>
        <w:rPr>
          <w:b/>
          <w:bCs/>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b/>
          <w:bCs/>
          <w:lang w:val="el" w:eastAsia="el"/>
        </w:rPr>
        <w:t>δδ)</w:t>
      </w:r>
      <w:r>
        <w:rPr>
          <w:b/>
          <w:bCs/>
          <w:lang w:val="en" w:eastAsia="en"/>
        </w:rPr>
        <w:tab/>
      </w:r>
      <w:r>
        <w:rPr>
          <w:b/>
          <w:bCs/>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εε)</w:t>
      </w:r>
      <w:r>
        <w:rPr>
          <w:b/>
          <w:bCs/>
          <w:lang w:val="en" w:eastAsia="en"/>
        </w:rPr>
        <w:tab/>
      </w:r>
      <w:r>
        <w:rPr>
          <w:b/>
          <w:bCs/>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στστ)</w:t>
      </w:r>
      <w:r>
        <w:rPr>
          <w:b/>
          <w:bCs/>
          <w:lang w:val="en" w:eastAsia="en"/>
        </w:rPr>
        <w:tab/>
      </w:r>
      <w:r>
        <w:rPr>
          <w:b/>
          <w:bCs/>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b/>
          <w:bCs/>
          <w:color w:val="000000"/>
          <w:sz w:val="20"/>
          <w:szCs w:val="20"/>
          <w:u w:val="none" w:color="0000EE"/>
          <w:vertAlign w:val="superscript"/>
          <w:lang w:val="el" w:eastAsia="el"/>
        </w:rPr>
        <w:footnoteReference w:id="431"/>
      </w:r>
    </w:p>
    <w:p>
      <w:pPr>
        <w:spacing w:before="240" w:after="240"/>
        <w:rPr>
          <w:lang w:val="el" w:eastAsia="el"/>
        </w:rPr>
      </w:pPr>
      <w:r>
        <w:rPr>
          <w:b/>
          <w:bCs/>
          <w:lang w:val="el" w:eastAsia="el"/>
        </w:rPr>
        <w:t>Σε εξαιρετικά σύνθετες περιπτώσεις ελέγχου δηλώσεων περιουσιακής κατάστασης, με απόφαση του Προέδρου της Αρχής, σύμφωνα με την παρ. 1 του άρθρου 31 και την παρ. 3 του άρθρου 26 του ν. 5026/2023,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Εθνικής Οικονομίας και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 1 του άρθρου 30 του ν. 5026/2023.</w:t>
      </w:r>
      <w:r>
        <w:rPr>
          <w:rStyle w:val="Hyperlink"/>
          <w:b/>
          <w:bCs/>
          <w:color w:val="000000"/>
          <w:sz w:val="20"/>
          <w:szCs w:val="20"/>
          <w:u w:val="none" w:color="0000EE"/>
          <w:vertAlign w:val="superscript"/>
          <w:lang w:val="el" w:eastAsia="el"/>
        </w:rPr>
        <w:footnoteReference w:id="432"/>
      </w:r>
    </w:p>
    <w:p>
      <w:pPr>
        <w:pStyle w:val="StructureList1"/>
        <w:spacing w:before="120" w:after="0"/>
        <w:rPr>
          <w:lang w:val="el" w:eastAsia="el"/>
        </w:rPr>
      </w:pPr>
      <w:r>
        <w:rPr>
          <w:b/>
          <w:bCs/>
          <w:lang w:val="el" w:eastAsia="el"/>
        </w:rPr>
        <w:t>δ)</w:t>
      </w:r>
      <w:r>
        <w:rPr>
          <w:b/>
          <w:bCs/>
          <w:lang w:val="en" w:eastAsia="en"/>
        </w:rPr>
        <w:tab/>
      </w:r>
      <w:r>
        <w:rPr>
          <w:b/>
          <w:bCs/>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b/>
          <w:bCs/>
          <w:lang w:val="el" w:eastAsia="el"/>
        </w:rPr>
        <w:t>ε)</w:t>
      </w:r>
      <w:r>
        <w:rPr>
          <w:b/>
          <w:bCs/>
          <w:lang w:val="en" w:eastAsia="en"/>
        </w:rPr>
        <w:tab/>
      </w:r>
      <w:r>
        <w:rPr>
          <w:b/>
          <w:bCs/>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b/>
          <w:bCs/>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2.</w:t>
      </w:r>
      <w:r>
        <w:rPr>
          <w:b/>
          <w:bCs/>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b/>
          <w:bCs/>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b/>
          <w:bCs/>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b/>
          <w:bCs/>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b/>
          <w:bCs/>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b/>
          <w:bCs/>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34"/>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b/>
          <w:bCs/>
          <w:lang w:val="el" w:eastAsia="el"/>
        </w:rPr>
        <w:t xml:space="preserve"> Η Αρχή δια της αρμόδιας Μονάδας της παρ.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 1 του άρθρου 187Β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στα άρθρα 187Α και 187Β ΠΚ. Ειδικότερα, στην Αρχή υποβάλλονται τα εξής:</w:t>
      </w:r>
      <w:r>
        <w:rPr>
          <w:rStyle w:val="Hyperlink"/>
          <w:b/>
          <w:bCs/>
          <w:color w:val="000000"/>
          <w:sz w:val="20"/>
          <w:szCs w:val="20"/>
          <w:u w:val="none" w:color="0000EE"/>
          <w:vertAlign w:val="superscript"/>
          <w:lang w:val="el" w:eastAsia="el"/>
        </w:rPr>
        <w:footnoteReference w:id="435"/>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καταδικαστικές αποφάσεις για την τέλεση τρομοκρατικών πράξεων,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b/>
          <w:bCs/>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b/>
          <w:bCs/>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b/>
          <w:bCs/>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b/>
          <w:bCs/>
          <w:lang w:val="el" w:eastAsia="el"/>
        </w:rPr>
        <w:t xml:space="preserve"> Η Αρχή διαβιβάζει σε αρμόδιες αλλοδαπές αρχές πληροφορίες και στοιχεία, σύμφωνα με την έννοια της παρ. 1 σε βάρος των προσδιοριζόμενων ως σχετιζόμενων με την τρομοκρατία προσώπων που διαμένουν ή εδρεύουν ή κατέχουν περιουσία, σύμφωνα με την έννοια της παρ. 1 του άρθρου 187Β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5.</w:t>
      </w:r>
      <w:r>
        <w:rPr>
          <w:b/>
          <w:bCs/>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b/>
          <w:bCs/>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b/>
          <w:bCs/>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b/>
          <w:bCs/>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b/>
          <w:bCs/>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b/>
          <w:bCs/>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b/>
          <w:bCs/>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b/>
          <w:bCs/>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b/>
          <w:bCs/>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b/>
          <w:bCs/>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b/>
          <w:bCs/>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b/>
          <w:bCs/>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Προσωπικό και λειτουργία της Αρχής</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w:t>
      </w:r>
      <w:r>
        <w:rPr>
          <w:b/>
          <w:bCs/>
          <w:lang w:val="el" w:eastAsia="el"/>
        </w:rPr>
        <w:t xml:space="preserve"> Για τις ανάγκες των Μονάδων της Αρχής και του Αυτοτελούς Γραφείου Διοικητικής Υποστήριξης συστήνονται ενενήντα τρεις (93) οργανικές θέσεις και δύο (2) θέσεις συνεργατών - μετακλητών υπαλλήλων.</w:t>
      </w:r>
      <w:r>
        <w:rPr>
          <w:rStyle w:val="Hyperlink"/>
          <w:b/>
          <w:bCs/>
          <w:color w:val="000000"/>
          <w:sz w:val="20"/>
          <w:szCs w:val="20"/>
          <w:u w:val="none" w:color="0000EE"/>
          <w:vertAlign w:val="superscript"/>
          <w:lang w:val="el" w:eastAsia="el"/>
        </w:rPr>
        <w:footnoteReference w:id="438"/>
      </w:r>
    </w:p>
    <w:p>
      <w:pPr>
        <w:spacing w:before="240" w:after="240"/>
        <w:rPr>
          <w:lang w:val="el" w:eastAsia="el"/>
        </w:rPr>
      </w:pPr>
      <w:r>
        <w:rPr>
          <w:b/>
          <w:bCs/>
          <w:lang w:val="el" w:eastAsia="el"/>
        </w:rPr>
        <w:t>Οι θέσεις του πρώτου εδαφίου πληρούνται με πρόσληψη, διορισμό, μετάταξη και απόσπαση.</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2.</w:t>
      </w:r>
      <w:r>
        <w:rPr>
          <w:b/>
          <w:bCs/>
          <w:lang w:val="el" w:eastAsia="el"/>
        </w:rPr>
        <w:t xml:space="preserve"> Η Αρχή στελεχώνεται από μόνιμους δημοσίους υπαλλήλους, υπαλλήλους με σχέση εργασίας ιδιωτικού δικαίου αορίστου χρόνου και έως δύο (2) συνεργάτες μετακλητούς υπαλλήλους, οι οποίοι καταλαμβάνουν αντίστοιχες θέσεις της παρ. 1. Η πλήρωση των κενών οργανικών θέσεων γίνεται:</w:t>
      </w:r>
      <w:r>
        <w:rPr>
          <w:rStyle w:val="Hyperlink"/>
          <w:b/>
          <w:bCs/>
          <w:color w:val="000000"/>
          <w:sz w:val="20"/>
          <w:szCs w:val="20"/>
          <w:u w:val="none" w:color="0000EE"/>
          <w:vertAlign w:val="superscript"/>
          <w:lang w:val="el" w:eastAsia="el"/>
        </w:rPr>
        <w:footnoteReference w:id="440"/>
      </w:r>
    </w:p>
    <w:p>
      <w:pPr>
        <w:pStyle w:val="StructureList1"/>
        <w:spacing w:before="120" w:after="0"/>
        <w:rPr>
          <w:lang w:val="el" w:eastAsia="el"/>
        </w:rPr>
      </w:pPr>
      <w:r>
        <w:rPr>
          <w:b/>
          <w:bCs/>
          <w:lang w:val="el" w:eastAsia="el"/>
        </w:rPr>
        <w:t>α)</w:t>
      </w:r>
      <w:r>
        <w:rPr>
          <w:b/>
          <w:bCs/>
          <w:lang w:val="en" w:eastAsia="en"/>
        </w:rPr>
        <w:tab/>
      </w:r>
      <w:r>
        <w:rPr>
          <w:b/>
          <w:bCs/>
          <w:lang w:val="el" w:eastAsia="el"/>
        </w:rPr>
        <w:t>με διορισμό ή πρόσληψη, μετά από εισήγηση του Προέδρου της Αρχής, σύμφωνα με τον ν. 4765/2021 (Α' 6) και το άρθρο 51 του ν. 4622/2019 (Α' 133), περί ετήσιου προγραμματισμού ανθρώπινου δυναμικού του δημόσιου τομέα, με εξαίρεση τον διορισμό των συνεργατών - μετακλητών υπαλλήλων. Για την πρόσληψη ειδικού επιστημονικού προσωπικού εφαρμόζεται, κατ' αναλογία, το άρθρο 57 του ν. 5043/2023 (Α' 91), περί πρόσληψης προσωπικού. Οι συνεργάτες - μετακλητοί υπάλληλοι διαθέτουν πέντε (5) τουλάχιστον έτη εμπειρίας στα αντικείμενα της Αρχής Καταπολέμησης της Νομιμοποίησης Εσόδων από Εγκληματικές Δραστηριότητες και προσλαμβάνονται κατ' επιλογή του Προέδρου, εφαρμοζομένων κατά τα λοιπά αναλογικά των άρθρων 46 έως 48 του ν. 4622/2019, περί της στελέχωσης των ιδιαίτερων γραφείων.</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β)</w:t>
      </w:r>
      <w:r>
        <w:rPr>
          <w:b/>
          <w:bCs/>
          <w:lang w:val="en" w:eastAsia="en"/>
        </w:rPr>
        <w:tab/>
      </w:r>
      <w:r>
        <w:rPr>
          <w:b/>
          <w:bCs/>
          <w:lang w:val="el" w:eastAsia="el"/>
        </w:rPr>
        <w:t>με μετάταξη ή απόσπαση μόνιμου προσωπικού και προσωπικού με σχέση εργασίας ιδιωτικού δικαίου αορίστου χρόνου που υπηρετεί σε φορείς στον δημόσιο τομέα, όπως αυτός οριοθετείται στην περ. α) της παρ. 1 του άρθρου 14 του ν. 4270/2014 (Α' 143).</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w:t>
      </w:r>
      <w:r>
        <w:rPr>
          <w:b/>
          <w:bCs/>
          <w:lang w:val="el" w:eastAsia="el"/>
        </w:rPr>
        <w:t xml:space="preserve"> Πέραν του ανωτέρω προσωπικού, στην Αρχή δύναται να αποσπάται προσωπικό ως εξής:</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α)</w:t>
      </w:r>
      <w:r>
        <w:rPr>
          <w:b/>
          <w:bCs/>
          <w:lang w:val="en" w:eastAsia="en"/>
        </w:rPr>
        <w:tab/>
      </w:r>
      <w:r>
        <w:rPr>
          <w:b/>
          <w:bCs/>
          <w:lang w:val="el" w:eastAsia="el"/>
        </w:rPr>
        <w:t>ένστολοι από την Ελληνική Αστυνομία, το Πυροσβεστικό Σώμα και το Λιμενικό Σώμα - Ελληνική Ακτοφυλακή,</w:t>
      </w:r>
      <w:r>
        <w:rPr>
          <w:rStyle w:val="Hyperlink"/>
          <w:b/>
          <w:bCs/>
          <w:color w:val="000000"/>
          <w:sz w:val="20"/>
          <w:szCs w:val="20"/>
          <w:u w:val="none" w:color="0000EE"/>
          <w:vertAlign w:val="superscript"/>
          <w:lang w:val="el" w:eastAsia="el"/>
        </w:rPr>
        <w:footnoteReference w:id="444"/>
      </w:r>
    </w:p>
    <w:p>
      <w:pPr>
        <w:pStyle w:val="StructureList1"/>
        <w:spacing w:before="120" w:after="0"/>
        <w:rPr>
          <w:lang w:val="el" w:eastAsia="el"/>
        </w:rPr>
      </w:pPr>
      <w:r>
        <w:rPr>
          <w:b/>
          <w:bCs/>
          <w:lang w:val="el" w:eastAsia="el"/>
        </w:rPr>
        <w:t>β)</w:t>
      </w:r>
      <w:r>
        <w:rPr>
          <w:b/>
          <w:bCs/>
          <w:lang w:val="en" w:eastAsia="en"/>
        </w:rPr>
        <w:tab/>
      </w:r>
      <w:r>
        <w:rPr>
          <w:b/>
          <w:bCs/>
          <w:lang w:val="el" w:eastAsia="el"/>
        </w:rPr>
        <w:t>δικαστικοί υπάλληλοι των δικαστηρίων και των εισαγγελιών, η απόσπαση των οποίων διενεργείται, ύστερα από πρόταση του Προέδρου της Αρχής, σύμφωνα με τον Κώδικα Δικαστικών Υπαλλήλων (ν. 4798/2021, Α' 68) και</w:t>
      </w:r>
      <w:r>
        <w:rPr>
          <w:rStyle w:val="Hyperlink"/>
          <w:b/>
          <w:bCs/>
          <w:color w:val="000000"/>
          <w:sz w:val="20"/>
          <w:szCs w:val="20"/>
          <w:u w:val="none" w:color="0000EE"/>
          <w:vertAlign w:val="superscript"/>
          <w:lang w:val="el" w:eastAsia="el"/>
        </w:rPr>
        <w:footnoteReference w:id="445"/>
      </w:r>
    </w:p>
    <w:p>
      <w:pPr>
        <w:pStyle w:val="StructureList1"/>
        <w:spacing w:before="120" w:after="0"/>
        <w:rPr>
          <w:lang w:val="el" w:eastAsia="el"/>
        </w:rPr>
      </w:pPr>
      <w:r>
        <w:rPr>
          <w:b/>
          <w:bCs/>
          <w:lang w:val="el" w:eastAsia="el"/>
        </w:rPr>
        <w:t>γ)</w:t>
      </w:r>
      <w:r>
        <w:rPr>
          <w:b/>
          <w:bCs/>
          <w:lang w:val="en" w:eastAsia="en"/>
        </w:rPr>
        <w:tab/>
      </w:r>
      <w:r>
        <w:rPr>
          <w:b/>
          <w:bCs/>
          <w:lang w:val="el" w:eastAsia="el"/>
        </w:rPr>
        <w:t>στελέχη της Τράπεζας της Ελλάδος, της Επιτροπής Κεφαλαιαγοράς και της Επιτροπής Λογιστικής Τυποποίησης και Ελέγχου.</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4.</w:t>
      </w:r>
      <w:r>
        <w:rPr>
          <w:b/>
          <w:bCs/>
          <w:lang w:val="el" w:eastAsia="el"/>
        </w:rPr>
        <w:t xml:space="preserve"> Οι αποσπάσεις της περ. β) της παρ. 2 και των περ. α) και γ) της παρ. 3 διενεργούνται με απόφαση του Προέδρου της Αρχής, ύστερα από σύμφωνη γνώμη του αρμόδιου φορέα προέλευσης, κατά παρέκκλιση κάθε άλλης γενικής ή ειδικής διάταξης περί αποσπάσεων. Οι αποσπάσεις των ενστόλων της Ελληνικής Αστυνομίας, της περ. α, της παρ. 3, διενεργούνται με απόφαση του προέδρου της Αρχής ύστερα από σύμφωνη γνώμη του Υπουργού Προστασίας του Πολίτη. Το σύνολο των θέσεων των αποσπασμένων υπαλλήλων των παρ. 2 και 3 δεν δύναται να υπερβαίνει το τριάντα τοις εκατό (30%) των θέσεων της παρ. 1. Οι υπάλληλοι της παρ. 3 δύνανται να καταλαμβάνουν θέσεις προϊσταμένων εντός της Αρχής, σύμφωνα με την περ. δ) της παρ. 13.</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5.</w:t>
      </w:r>
      <w:r>
        <w:rPr>
          <w:b/>
          <w:bCs/>
          <w:lang w:val="el" w:eastAsia="el"/>
        </w:rPr>
        <w:t xml:space="preserve"> Η χρονική διάρκεια των αποσπάσεων στην Αρχή ορίζεται σε τρία (3) έτη με δυνατότητα ισόχρονης ανανέωσης για μία (1) φορά και αρχίζει από την ημερομηνία ανάληψης υπηρεσίας του αποσπασμένου υπαλλήλου στην Αρχή. Η διαδικασία της απόσπασης των παρ. 2 και 3 ολοκληρώνεται μέσα σε προθεσμία ενός (1) μηνός από τη διαβίβαση της απόφασης του Προέδρου της Αρχής στον φορέα προέλευσης, με την επιφύλαξη των αποσπάσεων των υπαλλήλων της περ. β) της παρ. 3.</w:t>
      </w:r>
      <w:r>
        <w:rPr>
          <w:rStyle w:val="Hyperlink"/>
          <w:b/>
          <w:bCs/>
          <w:color w:val="000000"/>
          <w:sz w:val="20"/>
          <w:szCs w:val="20"/>
          <w:u w:val="none" w:color="0000EE"/>
          <w:vertAlign w:val="superscript"/>
          <w:lang w:val="el" w:eastAsia="el"/>
        </w:rPr>
        <w:footnoteReference w:id="448"/>
      </w:r>
    </w:p>
    <w:p>
      <w:pPr>
        <w:spacing w:before="240" w:after="240"/>
        <w:rPr>
          <w:lang w:val="el" w:eastAsia="el"/>
        </w:rPr>
      </w:pPr>
      <w:r>
        <w:rPr>
          <w:b/>
          <w:bCs/>
          <w:lang w:val="el" w:eastAsia="el"/>
        </w:rPr>
        <w:t>Η απόσπαση ανανεώνεται, με την ίδια ως άνω διαδικασία δύο (2) μήνες πριν από τη λήξη της και λήγει οποτεδήποτε για λόγους αναγόμενους αποκλειστικά στην άσκηση των καθηκόντων του αποσπώμενου προσωπικού ή κατόπιν αίτησής του, ύστερα από απόφαση του Προέδρου της Αρχής.</w:t>
      </w:r>
      <w:r>
        <w:rPr>
          <w:rStyle w:val="Hyperlink"/>
          <w:b/>
          <w:bCs/>
          <w:color w:val="000000"/>
          <w:sz w:val="20"/>
          <w:szCs w:val="20"/>
          <w:u w:val="none" w:color="0000EE"/>
          <w:vertAlign w:val="superscript"/>
          <w:lang w:val="el" w:eastAsia="el"/>
        </w:rPr>
        <w:footnoteReference w:id="449"/>
      </w:r>
    </w:p>
    <w:p>
      <w:pPr>
        <w:spacing w:before="240" w:after="240"/>
        <w:rPr>
          <w:lang w:val="el" w:eastAsia="el"/>
        </w:rPr>
      </w:pPr>
      <w:r>
        <w:rPr>
          <w:b/>
          <w:bCs/>
          <w:lang w:val="el" w:eastAsia="el"/>
        </w:rPr>
        <w:t>Ο χρόνος υπηρεσίας των αποσπασμένων υπαλλήλων λογίζεται ως χρόνος πραγματικής υπηρεσίας στην οργανική τους θέση για τη βαθμολογική και μισθολογική τους εξέλιξη, καθώς και για κάθε άλλη συνέπεια.</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6.</w:t>
      </w:r>
      <w:r>
        <w:rPr>
          <w:b/>
          <w:bCs/>
          <w:lang w:val="el" w:eastAsia="el"/>
        </w:rPr>
        <w:t xml:space="preserve"> Υπάλληλος που προσλαμβάνεται, διορίζεται ή μετατάσσεται στην Αρχή, σύμφωνα με την παρ. 2, δεν μπορεί να μεταταχθεί ή αποσπαστεί σε άλλο φορέα πριν παρέλθει χρονικό διάστημα έξι (6) ετών από την πράξη πρόσληψης, διορισμού ή μετάταξης. Το προηγούμενο εδάφιο δεν εφαρμόζεται για αποσπάσεις στην Ευρωπαϊκή Αρχή για την καταπολέμηση της νομιμοποίησης εσόδων από παράνομες δραστηριότητες και της χρηματοδότησης της τρομοκρατίας (ΑΜLΑ), που έχει συσταθεί δυνάμει του Κανονισμού (ΕΕ) 2024/1620 του Ευρωπαϊκού Κοινοβουλίου και του Συμβουλίου, της 31ης Μαΐου 2024, σχετικά με τη σύσταση της Αρχής για την καταπολέμηση της νομιμοποίησης εσόδων από παράνομες δραστηριότητες και της χρηματοδότησης της τρομοκρατίας και την τροποποίηση των Κανονισμών (ΕΕ) 1093/2010, (ΕΕ) 1094/2010 και (ΕΕ) 1095/2010 (Σειρά L/19.6.2024).</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7.</w:t>
      </w:r>
      <w:r>
        <w:rPr>
          <w:b/>
          <w:bCs/>
          <w:lang w:val="el" w:eastAsia="el"/>
        </w:rPr>
        <w:t xml:space="preserve"> Τα προσόντα που απαιτούνται για την πρόσληψη, τον διορισμό ή τη μετάταξη στην Αρχή ορίζονται στο π.δ. 85/2022 (Α' 237), με την επιφύλαξη όσων προβλέπονται στον Οργανισμό της Αρχής. Το προσωπικό της Αρχής διαθέτει την απαιτούμενη επιστημονική κατάρτιση, ακεραιότητα, υπηρεσιακή εμπειρία και ικανότητα για την ανάληψη θέσης σε Μονάδα της Αρχής, καθώς και άριστο υπηρεσιακό μητρώο, κατά προτίμηση δε και γνώση της αγγλικής γλώσσας. Δεν πρέπει να συντρέχουν σε αυτό τα κωλύματα διορισμού του Κώδικα Κατάστασης Δημοσίων Πολιτικών Διοικητικών Υπαλλήλων και Υπαλλήλων Ν.Π.Δ.Δ. (ν. 3528/2007, Α' 26). Η κάλυψη των θέσεων ευθύνης, σύμφωνα με τα όσα ορίζονται στην κείμενη νομοθεσία, γίνεται μόνο από υπαλλήλους που κατέχουν οργανική θέση στην Αρχή.</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8.</w:t>
      </w:r>
      <w:r>
        <w:rPr>
          <w:b/>
          <w:bCs/>
          <w:lang w:val="el" w:eastAsia="el"/>
        </w:rPr>
        <w:t xml:space="preserve"> Για τις αποδοχές του προσωπικού της Αρχής, εφαρμόζεται το άρθρο 51Α.</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9.</w:t>
      </w:r>
      <w:r>
        <w:rPr>
          <w:b/>
          <w:bCs/>
          <w:lang w:val="el" w:eastAsia="el"/>
        </w:rPr>
        <w:t xml:space="preserve"> Ο Πρόεδρος της Αρχής αποφασίζει για την κατανομή των υποθέσεων, καθώς και τις περιπτώσεις στις οποίες είναι αναγκαία η εμπλοκή δύο (2) ή και όλων των Μονάδων στην έρευνα της ίδιας υπόθεσης.</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10.</w:t>
      </w:r>
      <w:r>
        <w:rPr>
          <w:b/>
          <w:bCs/>
          <w:lang w:val="el" w:eastAsia="el"/>
        </w:rPr>
        <w:t xml:space="preserve"> Για τη διοικητική και γραμματειακή υποστήριξη του έργου του Προέδρου της Αρχής, συνιστάται Αυτοτελές Γραφείο Διοικητικής Υποστήριξης, στο οποίο κατανέμονται έως δέκα (10) εκ των θέσεων της παρ. 1, υπάγεται απευθείας στον Πρόεδρο και στελεχώνεται, σύμφωνα με το παρόν.</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11.</w:t>
      </w:r>
      <w:r>
        <w:rPr>
          <w:b/>
          <w:bCs/>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για την απόδοση και τη συμπεριφορά κάθε υπαλλήλου της Αρχής, την οποία, για τους αποσπασμένους υπαλλήλους, αποστέλλει στον φορέα προέλευσης του υπαλλήλου. Η αξιολόγηση του προσωπικού και των προϊσταμένων διενεργείται κατ' ανάλογη εφαρμογή του ν. 4940/2022 (Α' 112) και επέχει θέση αξιολόγησης που εφαρμόζεται στον δημόσιο τομέα.</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12.</w:t>
      </w:r>
      <w:r>
        <w:rPr>
          <w:b/>
          <w:bCs/>
          <w:lang w:val="el" w:eastAsia="el"/>
        </w:rPr>
        <w:t xml:space="preserve"> Κατά την εκτέλεση των καθηκόντων τους, ο Πρόεδρος, τα μέλη και το προσωπικό της Αρχής τηρούν τις αρχές της αντικειμενικότητας και της αμεροληψίας και απέχουν από την εξέταση υποθέσεων για τις οποίες υπάρχει πιθανότητα σύγκρουσης συμφερόντων ή στις οποίες εμπλέκονται πρόσωπα συγγενικά ή οικεία. Επιπλέον,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Η παράβαση του καθήκοντος εχεμύθειας τιμωρείται με φυλάκιση τουλάχιστον τριών (3) μηνών.</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13.</w:t>
      </w:r>
      <w:r>
        <w:rPr>
          <w:b/>
          <w:bCs/>
          <w:lang w:val="el" w:eastAsia="el"/>
        </w:rPr>
        <w:t xml:space="preserve"> Με απόφαση του Προέδρου της Αρχής:</w:t>
      </w:r>
      <w:r>
        <w:rPr>
          <w:rStyle w:val="Hyperlink"/>
          <w:b/>
          <w:bCs/>
          <w:color w:val="000000"/>
          <w:sz w:val="20"/>
          <w:szCs w:val="20"/>
          <w:u w:val="none" w:color="0000EE"/>
          <w:vertAlign w:val="superscript"/>
          <w:lang w:val="el" w:eastAsia="el"/>
        </w:rPr>
        <w:footnoteReference w:id="458"/>
      </w:r>
    </w:p>
    <w:p>
      <w:pPr>
        <w:pStyle w:val="StructureList1"/>
        <w:spacing w:before="120" w:after="0"/>
        <w:rPr>
          <w:lang w:val="el" w:eastAsia="el"/>
        </w:rPr>
      </w:pPr>
      <w:r>
        <w:rPr>
          <w:b/>
          <w:bCs/>
          <w:lang w:val="el" w:eastAsia="el"/>
        </w:rPr>
        <w:t>α)</w:t>
      </w:r>
      <w:r>
        <w:rPr>
          <w:b/>
          <w:bCs/>
          <w:lang w:val="en" w:eastAsia="en"/>
        </w:rPr>
        <w:tab/>
      </w:r>
      <w:r>
        <w:rPr>
          <w:b/>
          <w:bCs/>
          <w:lang w:val="el" w:eastAsia="el"/>
        </w:rPr>
        <w:t>καθορίζεται ο Οργανισμός της Αρχής, κατανέμονται και ανακατανέμονται οι θέσεις της παρ. 1 ανά κατηγορία εκπαίδευσης, ανά εργασιακή σχέση, κλάδο και ειδικότητα, προς κάλυψη των επιχειρησιακών αναγκών της Αρχής,</w:t>
      </w:r>
      <w:r>
        <w:rPr>
          <w:rStyle w:val="Hyperlink"/>
          <w:b/>
          <w:bCs/>
          <w:color w:val="000000"/>
          <w:sz w:val="20"/>
          <w:szCs w:val="20"/>
          <w:u w:val="none" w:color="0000EE"/>
          <w:vertAlign w:val="superscript"/>
          <w:lang w:val="el" w:eastAsia="el"/>
        </w:rPr>
        <w:footnoteReference w:id="459"/>
      </w:r>
    </w:p>
    <w:p>
      <w:pPr>
        <w:pStyle w:val="StructureList1"/>
        <w:spacing w:before="120" w:after="0"/>
        <w:rPr>
          <w:lang w:val="el" w:eastAsia="el"/>
        </w:rPr>
      </w:pPr>
      <w:r>
        <w:rPr>
          <w:b/>
          <w:bCs/>
          <w:lang w:val="el" w:eastAsia="el"/>
        </w:rPr>
        <w:t>β)</w:t>
      </w:r>
      <w:r>
        <w:rPr>
          <w:b/>
          <w:bCs/>
          <w:lang w:val="en" w:eastAsia="en"/>
        </w:rPr>
        <w:tab/>
      </w:r>
      <w:r>
        <w:rPr>
          <w:b/>
          <w:bCs/>
          <w:lang w:val="el" w:eastAsia="el"/>
        </w:rPr>
        <w:t>τοποθετούνται ή μετακινούνται οι υπάλληλοι στις επιμέρους μονάδες της Αρχής,</w:t>
      </w:r>
      <w:r>
        <w:rPr>
          <w:rStyle w:val="Hyperlink"/>
          <w:b/>
          <w:bCs/>
          <w:color w:val="000000"/>
          <w:sz w:val="20"/>
          <w:szCs w:val="20"/>
          <w:u w:val="none" w:color="0000EE"/>
          <w:vertAlign w:val="superscript"/>
          <w:lang w:val="el" w:eastAsia="el"/>
        </w:rPr>
        <w:footnoteReference w:id="460"/>
      </w:r>
    </w:p>
    <w:p>
      <w:pPr>
        <w:pStyle w:val="StructureList1"/>
        <w:spacing w:before="120" w:after="0"/>
        <w:rPr>
          <w:lang w:val="el" w:eastAsia="el"/>
        </w:rPr>
      </w:pPr>
      <w:r>
        <w:rPr>
          <w:b/>
          <w:bCs/>
          <w:lang w:val="el" w:eastAsia="el"/>
        </w:rPr>
        <w:t>γ)</w:t>
      </w:r>
      <w:r>
        <w:rPr>
          <w:b/>
          <w:bCs/>
          <w:lang w:val="en" w:eastAsia="en"/>
        </w:rPr>
        <w:tab/>
      </w:r>
      <w:r>
        <w:rPr>
          <w:b/>
          <w:bCs/>
          <w:lang w:val="el" w:eastAsia="el"/>
        </w:rPr>
        <w:t>που εκδίδεται έως την 20ή Δεκεμβρίου κάθε έτους, καθορίζονται και κατανέμονται στις οργανικές μονάδες της Αρχής οι προτεραιότητες και οι στόχοι για το επόμενο έτος αναφοράς και</w:t>
      </w:r>
      <w:r>
        <w:rPr>
          <w:rStyle w:val="Hyperlink"/>
          <w:b/>
          <w:bCs/>
          <w:color w:val="000000"/>
          <w:sz w:val="20"/>
          <w:szCs w:val="20"/>
          <w:u w:val="none" w:color="0000EE"/>
          <w:vertAlign w:val="superscript"/>
          <w:lang w:val="el" w:eastAsia="el"/>
        </w:rPr>
        <w:footnoteReference w:id="461"/>
      </w:r>
    </w:p>
    <w:p>
      <w:pPr>
        <w:pStyle w:val="StructureList1"/>
        <w:spacing w:before="120" w:after="0"/>
        <w:rPr>
          <w:lang w:val="el" w:eastAsia="el"/>
        </w:rPr>
      </w:pPr>
      <w:r>
        <w:rPr>
          <w:b/>
          <w:bCs/>
          <w:lang w:val="el" w:eastAsia="el"/>
        </w:rPr>
        <w:t>δ)</w:t>
      </w:r>
      <w:r>
        <w:rPr>
          <w:b/>
          <w:bCs/>
          <w:lang w:val="en" w:eastAsia="en"/>
        </w:rPr>
        <w:tab/>
      </w:r>
      <w:r>
        <w:rPr>
          <w:b/>
          <w:bCs/>
          <w:lang w:val="el" w:eastAsia="el"/>
        </w:rPr>
        <w:t>ρυθμίζονται ειδικότερα θέματα που αφορούν στη λειτουργία της Αρχής και των επιμέρους μονάδων της, τον κανονισμό λειτουργίας, τη διαδικασία επιλογής προϊσταμένων,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άλλο θέμα αναγκαίο για την εύρυθμη λειτουργία της Αρχής.</w:t>
      </w:r>
      <w:r>
        <w:rPr>
          <w:rStyle w:val="Hyperlink"/>
          <w:b/>
          <w:bCs/>
          <w:color w:val="000000"/>
          <w:sz w:val="20"/>
          <w:szCs w:val="20"/>
          <w:u w:val="none" w:color="0000EE"/>
          <w:vertAlign w:val="superscript"/>
          <w:lang w:val="el" w:eastAsia="el"/>
        </w:rPr>
        <w:footnoteReference w:id="462"/>
      </w:r>
    </w:p>
    <w:p>
      <w:pPr>
        <w:pStyle w:val="Heading6"/>
        <w:spacing w:before="240" w:after="240"/>
        <w:rPr>
          <w:lang w:val="el" w:eastAsia="el"/>
        </w:rPr>
      </w:pPr>
      <w:r>
        <w:rPr>
          <w:b/>
          <w:bCs/>
          <w:lang w:val="el" w:eastAsia="el"/>
        </w:rPr>
        <w:t xml:space="preserve">Άρθρο 51A. </w:t>
      </w:r>
    </w:p>
    <w:p>
      <w:pPr>
        <w:pStyle w:val="Heading6"/>
        <w:spacing w:before="240" w:after="240"/>
        <w:rPr>
          <w:lang w:val="el" w:eastAsia="el"/>
        </w:rPr>
      </w:pPr>
      <w:r>
        <w:rPr>
          <w:b/>
          <w:bCs/>
          <w:lang w:val="el" w:eastAsia="el"/>
        </w:rPr>
        <w:t>Μισθολογικό καθεστώς Αρχής - Εξουσιοδοτική διάταξη</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1.</w:t>
      </w:r>
      <w:r>
        <w:rPr>
          <w:b/>
          <w:bCs/>
          <w:lang w:val="el" w:eastAsia="el"/>
        </w:rPr>
        <w:t xml:space="preserve"> Στον Πρόεδρο και τα μέλη της Αρχής καταβάλλεται αποζημίωση. Στο σύνολο του προσωπικού που υπηρετεί στην Αρχή καταβάλλονται, πέραν των αποδοχών της θέσης τους, πρόσθετες αμοιβές οι οποίες δεν υπόκεινται σε κρατήσεις υπέρ τρίτων.</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b/>
          <w:bCs/>
          <w:lang w:val="el" w:eastAsia="el"/>
        </w:rPr>
        <w:t xml:space="preserve"> Στους υπαλλήλους που υπηρετούν στην Αρχή εξακολουθεί να καταβάλλεται:</w:t>
      </w:r>
      <w:r>
        <w:rPr>
          <w:rStyle w:val="Hyperlink"/>
          <w:b/>
          <w:bCs/>
          <w:color w:val="000000"/>
          <w:sz w:val="20"/>
          <w:szCs w:val="20"/>
          <w:u w:val="none" w:color="0000EE"/>
          <w:vertAlign w:val="superscript"/>
          <w:lang w:val="el" w:eastAsia="el"/>
        </w:rPr>
        <w:footnoteReference w:id="465"/>
      </w:r>
    </w:p>
    <w:p>
      <w:pPr>
        <w:pStyle w:val="StructureList1"/>
        <w:spacing w:before="120" w:after="0"/>
        <w:rPr>
          <w:lang w:val="el" w:eastAsia="el"/>
        </w:rPr>
      </w:pPr>
      <w:r>
        <w:rPr>
          <w:b/>
          <w:bCs/>
          <w:lang w:val="el" w:eastAsia="el"/>
        </w:rPr>
        <w:t>α)</w:t>
      </w:r>
      <w:r>
        <w:rPr>
          <w:b/>
          <w:bCs/>
          <w:lang w:val="en" w:eastAsia="en"/>
        </w:rPr>
        <w:tab/>
      </w:r>
      <w:r>
        <w:rPr>
          <w:b/>
          <w:bCs/>
          <w:lang w:val="el" w:eastAsia="el"/>
        </w:rPr>
        <w:t>η προσωπική διαφορά του άρθρου 27 του ν. 4354/2015 (A' 176), περί διασφάλισης αποδοχών, στο ύψος που αυτή έχει προσδιοριστεί κατά την ημερομηνία ανάληψης υπηρεσίας στην Αρχή και</w:t>
      </w:r>
      <w:r>
        <w:rPr>
          <w:rStyle w:val="Hyperlink"/>
          <w:b/>
          <w:bCs/>
          <w:color w:val="000000"/>
          <w:sz w:val="20"/>
          <w:szCs w:val="20"/>
          <w:u w:val="none" w:color="0000EE"/>
          <w:vertAlign w:val="superscript"/>
          <w:lang w:val="el" w:eastAsia="el"/>
        </w:rPr>
        <w:footnoteReference w:id="466"/>
      </w:r>
    </w:p>
    <w:p>
      <w:pPr>
        <w:pStyle w:val="StructureList1"/>
        <w:spacing w:before="120" w:after="0"/>
        <w:rPr>
          <w:lang w:val="el" w:eastAsia="el"/>
        </w:rPr>
      </w:pPr>
      <w:r>
        <w:rPr>
          <w:b/>
          <w:bCs/>
          <w:lang w:val="el" w:eastAsia="el"/>
        </w:rPr>
        <w:t>β)</w:t>
      </w:r>
      <w:r>
        <w:rPr>
          <w:b/>
          <w:bCs/>
          <w:lang w:val="en" w:eastAsia="en"/>
        </w:rPr>
        <w:tab/>
      </w:r>
      <w:r>
        <w:rPr>
          <w:b/>
          <w:bCs/>
          <w:lang w:val="el" w:eastAsia="el"/>
        </w:rPr>
        <w:t>η οικογενειακή παροχή του άρθρου 15 του ν. 4354/2015.</w:t>
      </w:r>
      <w:r>
        <w:rPr>
          <w:rStyle w:val="Hyperlink"/>
          <w:b/>
          <w:bCs/>
          <w:color w:val="000000"/>
          <w:sz w:val="20"/>
          <w:szCs w:val="20"/>
          <w:u w:val="none" w:color="0000EE"/>
          <w:vertAlign w:val="superscript"/>
          <w:lang w:val="el" w:eastAsia="el"/>
        </w:rPr>
        <w:footnoteReference w:id="467"/>
      </w:r>
    </w:p>
    <w:p>
      <w:pPr>
        <w:spacing w:before="240" w:after="240"/>
        <w:rPr>
          <w:lang w:val="el" w:eastAsia="el"/>
        </w:rPr>
      </w:pPr>
      <w:r>
        <w:rPr>
          <w:b/>
          <w:bCs/>
          <w:lang w:val="el" w:eastAsia="el"/>
        </w:rPr>
        <w:t>Στους προϊστάμενους των οργανικών μονάδων της Αρχής καταβάλλεται, για όσο χρόνο ασκούν τα συγκεκριμένα καθήκοντα, το αντίστοιχο με τη θέση μηνιαίο επίδομα, όπως αυτό ορίζεται με τις ισχύουσες διατάξεις.</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3.</w:t>
      </w:r>
      <w:r>
        <w:rPr>
          <w:b/>
          <w:bCs/>
          <w:lang w:val="el" w:eastAsia="el"/>
        </w:rPr>
        <w:t xml:space="preserve"> Οι υπάλληλοι που υπηρετούν με απόσπαση στην Αρχή λαμβάνουν το σύνολο των αποδοχών και επιδομάτων της οργανικής τους θέσης σύμφωνα με την παρ. 1 του άρθρου 23 του ν. 4354/2015. Οι αποδοχές του αποσπασθέντος προσωπικού συνεχίζουν να καταβάλλονται από την υπηρεσία προέλευσής του, σύμφωνα με το άρθρο 54 του ν. 4407/2016 (Α' 134) κατ' εξαίρεση της παρ. 2 του άρθρου 23 του ν. 4354/2015.</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4.</w:t>
      </w:r>
      <w:r>
        <w:rPr>
          <w:b/>
          <w:bCs/>
          <w:lang w:val="el" w:eastAsia="el"/>
        </w:rPr>
        <w:t xml:space="preserve"> Με απόφαση του Υπουργού Εθνικής Οικονομίας και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της παρ. 1.</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5.</w:t>
      </w:r>
      <w:r>
        <w:rPr>
          <w:b/>
          <w:bCs/>
          <w:lang w:val="el" w:eastAsia="el"/>
        </w:rPr>
        <w:t xml:space="preserve"> Με απόφαση του Προέδρου, υπό τις προϋποθέσεις του άρθρου 20 του ν. 4354/2015, περί αποζημίωσης για εργασία καθ' υπέρβαση του υποχρεωτικού ωραρίου και αποζημίωσης για εργασία προς συμπλήρωση του υποχρεωτικού ωραρίου, το προσωπικό της Αρχής λαμβάνει αποζημίωση για υπερωριακή εργασία και εργασία κατά τις νυχτερινές ώρες ή κατά τις Κυριακές και εξαιρέσιμες ημέρες, σύμφωνα με τον ν. 4270/2014 (Α' 143) και το π.δ. 54/2018 (Α' 103).</w:t>
      </w:r>
      <w:r>
        <w:rPr>
          <w:rStyle w:val="Hyperlink"/>
          <w:b/>
          <w:bCs/>
          <w:color w:val="000000"/>
          <w:sz w:val="20"/>
          <w:szCs w:val="20"/>
          <w:u w:val="none" w:color="0000EE"/>
          <w:vertAlign w:val="superscript"/>
          <w:lang w:val="el" w:eastAsia="el"/>
        </w:rPr>
        <w:footnoteReference w:id="471"/>
      </w:r>
    </w:p>
    <w:p>
      <w:pPr>
        <w:pStyle w:val="Heading6"/>
        <w:spacing w:before="240" w:after="240"/>
        <w:rPr>
          <w:lang w:val="el" w:eastAsia="el"/>
        </w:rPr>
      </w:pPr>
      <w:r>
        <w:rPr>
          <w:b/>
          <w:bCs/>
          <w:lang w:val="el" w:eastAsia="el"/>
        </w:rPr>
        <w:t xml:space="preserve">Άρθρο 51B. </w:t>
      </w:r>
    </w:p>
    <w:p>
      <w:pPr>
        <w:pStyle w:val="Heading6"/>
        <w:spacing w:before="240" w:after="240"/>
        <w:rPr>
          <w:lang w:val="el" w:eastAsia="el"/>
        </w:rPr>
      </w:pPr>
      <w:r>
        <w:rPr>
          <w:b/>
          <w:bCs/>
          <w:lang w:val="el" w:eastAsia="el"/>
        </w:rPr>
        <w:t>Πειθαρχικά συμβούλια - Εξουσιοδοτική διάταξη</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1.</w:t>
      </w:r>
      <w:r>
        <w:rPr>
          <w:b/>
          <w:bCs/>
          <w:lang w:val="el" w:eastAsia="el"/>
        </w:rPr>
        <w:t xml:space="preserve"> Ο Πρόεδρος, τα μέλη και οι υπάλληλοι κάθε Μονάδας, που παραβαίνουν υπαίτια τα καθήκοντα και τις υποχρεώσεις τους, υπέχουν, ανεξάρτητα από την ποινική, και πειθαρχική ευθύνη. Η πειθαρχική διαδικασία που ακολουθείται, έχει ως εξής:</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υπαλλήλους που υπηρετούν στην Αρχή, εφαρμόζονται τα άρθρα 103 έως 151 του Κώδικα Κατάστασης Δημοσίων Πολιτικών Διοικητικών Υπαλλήλων και Υπαλλήλων Ν.Π.Δ.Δ. (ν. 3528/2007, Α' 26), με την επιφύλαξη των περ. β) και γ) της παρούσας,</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β)</w:t>
      </w:r>
      <w:r>
        <w:rPr>
          <w:b/>
          <w:bCs/>
          <w:lang w:val="en" w:eastAsia="en"/>
        </w:rPr>
        <w:tab/>
      </w:r>
      <w:r>
        <w:rPr>
          <w:b/>
          <w:bCs/>
          <w:lang w:val="el" w:eastAsia="el"/>
        </w:rPr>
        <w:t>ειδικά για τους αποσπασμένους υπαλλήλους, οι οποίοι προέρχονται από φορείς εκτός του πεδίου εφαρμογής του Κώδικα Κατάστασης Δημοσίων Πολιτικών Διοικητικών Υπαλλήλων και Υπαλλήλων Ν.Π.Δ.Δ., η πειθαρχική δίωξη ασκείται και η υπόθεση εκδικάζεται από τα αρμόδια πειθαρχικά όργανα των φορέων από τους οποίους προέρχονται, ύστερα από αναφορά του Προέδρου της Αρχής προς αυτά,</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Προϊσταμένους των Α', Β' και Γ' Μονάδων, την πειθαρχική δίωξη ασκεί ο Πρόεδρος της Αρχής,</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μέλη των Μονάδων, η πειθαρχική δίωξη ασκείται, κατά περίπτωση, από τον εποπτεύοντα Υπουργό ή Διοικητή ή Πρόεδρο του φορέα προέλευσης, ύστερα από αναφορά του Προέδρου της Αρχής προς τα πειθαρχικά συμβούλια των φορέων προέλευσης και η υπόθεση εκδικάζεται από τα αρμόδια πειθαρχικά όργανα των φορέων αυτών,</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ε)</w:t>
      </w:r>
      <w:r>
        <w:rPr>
          <w:b/>
          <w:bCs/>
          <w:lang w:val="en" w:eastAsia="en"/>
        </w:rPr>
        <w:tab/>
      </w:r>
      <w:r>
        <w:rPr>
          <w:b/>
          <w:bCs/>
          <w:lang w:val="el" w:eastAsia="el"/>
        </w:rPr>
        <w:t>για τον Πρόεδρο, η πειθαρχική δίωξη ασκείται και η υπόθεση εκδικάζεται από τα όργανα που προβλέπονται στο Σύνταγμα και τον Κώδικα Δικαστικών Λειτουργών (ν. 4938/2022, Α' 109).</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2.</w:t>
      </w:r>
      <w:r>
        <w:rPr>
          <w:b/>
          <w:bCs/>
          <w:lang w:val="el" w:eastAsia="el"/>
        </w:rPr>
        <w:t xml:space="preserve"> Με απόφαση του Προέδρου, η οποία δημοσιεύεται στην Εφημερίδα της Κυβερνήσεως, συστήνεται και συγκροτείται το Πειθαρχικό Συμβούλιο της Αρχής, στη σύνθεση του οποίου μετέχουν:</w:t>
      </w:r>
      <w:r>
        <w:rPr>
          <w:rStyle w:val="Hyperlink"/>
          <w:b/>
          <w:bCs/>
          <w:color w:val="000000"/>
          <w:sz w:val="20"/>
          <w:szCs w:val="20"/>
          <w:u w:val="none" w:color="0000EE"/>
          <w:vertAlign w:val="superscript"/>
          <w:lang w:val="el" w:eastAsia="el"/>
        </w:rPr>
        <w:footnoteReference w:id="479"/>
      </w:r>
    </w:p>
    <w:p>
      <w:pPr>
        <w:pStyle w:val="StructureList1"/>
        <w:spacing w:before="120" w:after="0"/>
        <w:rPr>
          <w:lang w:val="el" w:eastAsia="el"/>
        </w:rPr>
      </w:pPr>
      <w:r>
        <w:rPr>
          <w:b/>
          <w:bCs/>
          <w:lang w:val="el" w:eastAsia="el"/>
        </w:rPr>
        <w:t>α)</w:t>
      </w:r>
      <w:r>
        <w:rPr>
          <w:b/>
          <w:bCs/>
          <w:lang w:val="en" w:eastAsia="en"/>
        </w:rPr>
        <w:tab/>
      </w:r>
      <w:r>
        <w:rPr>
          <w:b/>
          <w:bCs/>
          <w:lang w:val="el" w:eastAsia="el"/>
        </w:rPr>
        <w:t>ο Προϊστάμενος της Α' Μονάδας της Αρχής με τον αναπληρωτή του που ορίζεται με απόφαση του Προέδρου της Αρχής και</w:t>
      </w:r>
      <w:r>
        <w:rPr>
          <w:rStyle w:val="Hyperlink"/>
          <w:b/>
          <w:bCs/>
          <w:color w:val="000000"/>
          <w:sz w:val="20"/>
          <w:szCs w:val="20"/>
          <w:u w:val="none" w:color="0000EE"/>
          <w:vertAlign w:val="superscript"/>
          <w:lang w:val="el" w:eastAsia="el"/>
        </w:rPr>
        <w:footnoteReference w:id="480"/>
      </w:r>
    </w:p>
    <w:p>
      <w:pPr>
        <w:pStyle w:val="StructureList1"/>
        <w:spacing w:before="120" w:after="0"/>
        <w:rPr>
          <w:lang w:val="el" w:eastAsia="el"/>
        </w:rPr>
      </w:pPr>
      <w:r>
        <w:rPr>
          <w:b/>
          <w:bCs/>
          <w:lang w:val="el" w:eastAsia="el"/>
        </w:rPr>
        <w:t>β)</w:t>
      </w:r>
      <w:r>
        <w:rPr>
          <w:b/>
          <w:bCs/>
          <w:lang w:val="en" w:eastAsia="en"/>
        </w:rPr>
        <w:tab/>
      </w:r>
      <w:r>
        <w:rPr>
          <w:b/>
          <w:bCs/>
          <w:lang w:val="el" w:eastAsia="el"/>
        </w:rPr>
        <w:t>δύο (2) Πάρεδροι του Νομικού Συμβουλίου του Κράτους, με τους αναπληρωτές τους, οι οποίοι ορίζονται από τον Πρόεδρο του Νομικού Συμβουλίου του Κράτους.</w:t>
      </w:r>
      <w:r>
        <w:rPr>
          <w:rStyle w:val="Hyperlink"/>
          <w:b/>
          <w:bCs/>
          <w:color w:val="000000"/>
          <w:sz w:val="20"/>
          <w:szCs w:val="20"/>
          <w:u w:val="none" w:color="0000EE"/>
          <w:vertAlign w:val="superscript"/>
          <w:lang w:val="el" w:eastAsia="el"/>
        </w:rPr>
        <w:footnoteReference w:id="481"/>
      </w:r>
    </w:p>
    <w:p>
      <w:pPr>
        <w:spacing w:before="240" w:after="240"/>
        <w:rPr>
          <w:lang w:val="el" w:eastAsia="el"/>
        </w:rPr>
      </w:pPr>
      <w:r>
        <w:rPr>
          <w:b/>
          <w:bCs/>
          <w:lang w:val="el" w:eastAsia="el"/>
        </w:rPr>
        <w:t>Η θητεία του Πειθαρχικού Συμβουλίου ορίζεται διετής. Με την ίδια απόφαση ορίζεται η αμοιβή των μελών του Πειθαρχικού Συμβουλίου.</w:t>
      </w:r>
      <w:r>
        <w:rPr>
          <w:rStyle w:val="Hyperlink"/>
          <w:b/>
          <w:bCs/>
          <w:color w:val="000000"/>
          <w:sz w:val="20"/>
          <w:szCs w:val="20"/>
          <w:u w:val="none" w:color="0000EE"/>
          <w:vertAlign w:val="superscript"/>
          <w:lang w:val="el" w:eastAsia="el"/>
        </w:rPr>
        <w:footnoteReference w:id="482"/>
      </w:r>
    </w:p>
    <w:p>
      <w:pPr>
        <w:spacing w:before="240" w:after="240"/>
        <w:rPr>
          <w:lang w:val="el" w:eastAsia="el"/>
        </w:rPr>
      </w:pPr>
      <w:r>
        <w:rPr>
          <w:b/>
          <w:bCs/>
          <w:lang w:val="el" w:eastAsia="el"/>
        </w:rPr>
        <w:t>Το Πειθαρχικό Συμβούλιο της Αρχής έχει αποκλειστική αρμοδιότητα για την άσκηση της πειθαρχικής εξουσίας στους υπαλλήλους που υπηρετούν με οργανική θέση στην Αρχή, καθώς και στους αποσπασμένους από φορείς εντός του πεδίου εφαρμογής του Κώδικα Κατάστασης Δημοσίων Πολιτικών Διοικητικών Υπαλλήλων και Υπαλλήλων Ν.Π.Δ.Δ., εκτός των Προϊσταμένων των Α', Β' και Γ' Μονάδων της Αρχής, για τους οποίους αρμόδιο πειθαρχικό όργανο σε πρώτο και τελευταίο βαθμό είναι το Δευτεροβάθμιο Πειθαρχικό Συμβούλιο του άρθρου 146Α του Κώδικα Κατάστασης Δημοσίων Πολιτικών Διοικητικών Υπαλλήλων και Υπαλλήλων Ν.Π.Δ.Δ.. Για την αρμοδιότητα του Πειθαρχικού Συμβουλίου της Αρχής εφαρμόζεται αναλόγως το άρθρο 120 του Κώδικα Κατάστασης Δημοσίων Πολιτικών Διοικητικών Υπαλλήλων και Υπαλλήλων Ν.Π.Δ.Δ..</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3.</w:t>
      </w:r>
      <w:r>
        <w:rPr>
          <w:b/>
          <w:bCs/>
          <w:lang w:val="el" w:eastAsia="el"/>
        </w:rPr>
        <w:t xml:space="preserve"> Αρμόδιο πειθαρχικό όργανο για να κρίνει σε δεύτερο βαθμό το λοιπό προσωπικό της Αρχής που υπάγεται στην αρμοδιότητα του Πειθαρχικού Συμβουλίου αυτής είναι το Δευτεροβάθμιο Πειθαρχικό Συμβούλιο του άρθρου 146Α του Κώδικα Κατάστασης Δημοσίων Πολιτικών Διοικητικών Υπαλλήλων και Υπαλλήλων Ν.Π.Δ.Δ.. Αν κρίνονται υπάλληλοι της Αρχής, στο ως άνω Πειθαρχικό Συμβούλιο μετέχει, αντί του μέλους που προβλέπεται στην περ. δ) της παρ. 1 του άρθρου 146Α, ο Πρόεδρος της Αρχής, ο οποίος, με απόφασή του, ορίζει ως αναπληρωτή του Προϊστάμενο Μονάδας της Αρχής, πριν από την έναρξη λειτουργίας του Συμβουλίου.</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4.</w:t>
      </w:r>
      <w:r>
        <w:rPr>
          <w:b/>
          <w:bCs/>
          <w:lang w:val="el" w:eastAsia="el"/>
        </w:rPr>
        <w:t xml:space="preserve"> Με κοινή απόφαση των Υπουργών Εθνικής Οικονομίας και Οικονομικών και Εσωτερικών καθορίζονται ο ειδικότερος τρόπος λειτουργίας του Πειθαρχικού Συμβουλίου της Αρχής, καθώς και κάθε άλλο σχετικό θέμα σχετικό με την εφαρμογή της παρ. 1.</w:t>
      </w:r>
      <w:r>
        <w:rPr>
          <w:rStyle w:val="Hyperlink"/>
          <w:b/>
          <w:bCs/>
          <w:color w:val="000000"/>
          <w:sz w:val="20"/>
          <w:szCs w:val="20"/>
          <w:u w:val="none" w:color="0000EE"/>
          <w:vertAlign w:val="superscript"/>
          <w:lang w:val="el" w:eastAsia="el"/>
        </w:rPr>
        <w:footnoteReference w:id="485"/>
      </w:r>
    </w:p>
    <w:p>
      <w:pPr>
        <w:pStyle w:val="Heading6"/>
        <w:spacing w:before="240" w:after="240"/>
        <w:rPr>
          <w:lang w:val="el" w:eastAsia="el"/>
        </w:rPr>
      </w:pPr>
      <w:r>
        <w:rPr>
          <w:b/>
          <w:bCs/>
          <w:lang w:val="el" w:eastAsia="el"/>
        </w:rPr>
        <w:t xml:space="preserve">Άρθρο 51Γ. </w:t>
      </w:r>
    </w:p>
    <w:p>
      <w:pPr>
        <w:pStyle w:val="Heading6"/>
        <w:spacing w:before="240" w:after="240"/>
        <w:rPr>
          <w:lang w:val="el" w:eastAsia="el"/>
        </w:rPr>
      </w:pPr>
      <w:r>
        <w:rPr>
          <w:b/>
          <w:bCs/>
          <w:lang w:val="el" w:eastAsia="el"/>
        </w:rPr>
        <w:t>Υπηρεσιακό Συμβούλιο</w:t>
      </w:r>
      <w:r>
        <w:rPr>
          <w:rStyle w:val="Hyperlink"/>
          <w:b/>
          <w:bCs/>
          <w:color w:val="000000"/>
          <w:sz w:val="20"/>
          <w:szCs w:val="20"/>
          <w:u w:val="none" w:color="0000EE"/>
          <w:vertAlign w:val="superscript"/>
          <w:lang w:val="el" w:eastAsia="el"/>
        </w:rPr>
        <w:footnoteReference w:id="486"/>
      </w:r>
    </w:p>
    <w:p>
      <w:pPr>
        <w:spacing w:before="240" w:after="240"/>
        <w:rPr>
          <w:lang w:val="el" w:eastAsia="el"/>
        </w:rPr>
      </w:pPr>
      <w:r>
        <w:rPr>
          <w:b/>
          <w:bCs/>
          <w:lang w:val="el" w:eastAsia="el"/>
        </w:rPr>
        <w:t>Συστήνεται και συγκροτείται, με απόφαση του Προέδρου της Αρχής, πενταμελές Υπηρεσιακό Συμβούλιο για το πάσης φύσεως προσωπικό που υπηρετεί στην Αρχή. Στη σύνθεση του Υπηρεσιακού Συμβουλίου μετέχουν με θητεία δύο (2) ετών:</w:t>
      </w:r>
      <w:r>
        <w:rPr>
          <w:rStyle w:val="Hyperlink"/>
          <w:b/>
          <w:bCs/>
          <w:color w:val="000000"/>
          <w:sz w:val="20"/>
          <w:szCs w:val="20"/>
          <w:u w:val="none" w:color="0000EE"/>
          <w:vertAlign w:val="superscript"/>
          <w:lang w:val="el" w:eastAsia="el"/>
        </w:rPr>
        <w:footnoteReference w:id="487"/>
      </w:r>
    </w:p>
    <w:p>
      <w:pPr>
        <w:pStyle w:val="StructureList1"/>
        <w:spacing w:before="120" w:after="0"/>
        <w:rPr>
          <w:lang w:val="el" w:eastAsia="el"/>
        </w:rPr>
      </w:pPr>
      <w:r>
        <w:rPr>
          <w:b/>
          <w:bCs/>
          <w:lang w:val="el" w:eastAsia="el"/>
        </w:rPr>
        <w:t>α)</w:t>
      </w:r>
      <w:r>
        <w:rPr>
          <w:b/>
          <w:bCs/>
          <w:lang w:val="en" w:eastAsia="en"/>
        </w:rPr>
        <w:tab/>
      </w:r>
      <w:r>
        <w:rPr>
          <w:b/>
          <w:bCs/>
          <w:lang w:val="el" w:eastAsia="el"/>
        </w:rPr>
        <w:t>Ο Προϊστάμενος της Α' Μονάδας της Αρχής, ως Πρόεδρος, με τον αναπληρωτή του που ορίζεται με απόφαση του Προέδρου της Αρχής,</w:t>
      </w:r>
      <w:r>
        <w:rPr>
          <w:rStyle w:val="Hyperlink"/>
          <w:b/>
          <w:bCs/>
          <w:color w:val="000000"/>
          <w:sz w:val="20"/>
          <w:szCs w:val="20"/>
          <w:u w:val="none" w:color="0000EE"/>
          <w:vertAlign w:val="superscript"/>
          <w:lang w:val="el" w:eastAsia="el"/>
        </w:rPr>
        <w:footnoteReference w:id="488"/>
      </w:r>
    </w:p>
    <w:p>
      <w:pPr>
        <w:pStyle w:val="StructureList1"/>
        <w:spacing w:before="120" w:after="0"/>
        <w:rPr>
          <w:lang w:val="el" w:eastAsia="el"/>
        </w:rPr>
      </w:pPr>
      <w:r>
        <w:rPr>
          <w:b/>
          <w:bCs/>
          <w:lang w:val="el" w:eastAsia="el"/>
        </w:rPr>
        <w:t>β)</w:t>
      </w:r>
      <w:r>
        <w:rPr>
          <w:b/>
          <w:bCs/>
          <w:lang w:val="en" w:eastAsia="en"/>
        </w:rPr>
        <w:tab/>
      </w:r>
      <w:r>
        <w:rPr>
          <w:b/>
          <w:bCs/>
          <w:lang w:val="el" w:eastAsia="el"/>
        </w:rPr>
        <w:t>ο Επικεφαλής του Τμήματος Διοικητικής και Οικονομικής Υποστήριξης της Α' Μονάδας της Αρχής με το νόμιμο αναπληρωτή του, που ορίζεται με απόφαση του Προέδρου,</w:t>
      </w:r>
      <w:r>
        <w:rPr>
          <w:rStyle w:val="Hyperlink"/>
          <w:b/>
          <w:bCs/>
          <w:color w:val="000000"/>
          <w:sz w:val="20"/>
          <w:szCs w:val="20"/>
          <w:u w:val="none" w:color="0000EE"/>
          <w:vertAlign w:val="superscript"/>
          <w:lang w:val="el" w:eastAsia="el"/>
        </w:rPr>
        <w:footnoteReference w:id="489"/>
      </w:r>
    </w:p>
    <w:p>
      <w:pPr>
        <w:pStyle w:val="StructureList1"/>
        <w:spacing w:before="120" w:after="0"/>
        <w:rPr>
          <w:lang w:val="el" w:eastAsia="el"/>
        </w:rPr>
      </w:pPr>
      <w:r>
        <w:rPr>
          <w:b/>
          <w:bCs/>
          <w:lang w:val="el" w:eastAsia="el"/>
        </w:rPr>
        <w:t>γ)</w:t>
      </w:r>
      <w:r>
        <w:rPr>
          <w:b/>
          <w:bCs/>
          <w:lang w:val="en" w:eastAsia="en"/>
        </w:rPr>
        <w:tab/>
      </w:r>
      <w:r>
        <w:rPr>
          <w:b/>
          <w:bCs/>
          <w:lang w:val="el" w:eastAsia="el"/>
        </w:rPr>
        <w:t>ο Προϊστάμενος άλλης Μονάδας που ορίζεται μαζί με τον αναπληρωτή του, με κλήρωση και</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δ)</w:t>
      </w:r>
      <w:r>
        <w:rPr>
          <w:b/>
          <w:bCs/>
          <w:lang w:val="en" w:eastAsia="en"/>
        </w:rPr>
        <w:tab/>
      </w:r>
      <w:r>
        <w:rPr>
          <w:b/>
          <w:bCs/>
          <w:lang w:val="el" w:eastAsia="el"/>
        </w:rPr>
        <w:t>δύο (2) αιρετοί εκπρόσωποι του προσωπικού της Αρχής που έχουν οργανική θέση στον φορέα με τους αναπληρωτές τους κατά τη σειρά εκλογής τους. Μέχρι τη διενέργεια εκλογών ανάδειξης αιρετών εκπροσώπων, το Υπηρεσιακό Συμβούλιο του παρόντος λειτουργεί νόμιμα με τα τρία (3) τακτικά μέλη.</w:t>
      </w:r>
      <w:r>
        <w:rPr>
          <w:rStyle w:val="Hyperlink"/>
          <w:b/>
          <w:bCs/>
          <w:color w:val="000000"/>
          <w:sz w:val="20"/>
          <w:szCs w:val="20"/>
          <w:u w:val="none" w:color="0000EE"/>
          <w:vertAlign w:val="superscript"/>
          <w:lang w:val="el" w:eastAsia="el"/>
        </w:rPr>
        <w:footnoteReference w:id="4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Άσκηση αρμοδιοτήτων από την Α.Α.Δ.Ε. ως αρχή του άρθρου 6 </w:t>
      </w:r>
    </w:p>
    <w:p>
      <w:pPr>
        <w:spacing w:before="240" w:after="240"/>
        <w:rPr>
          <w:lang w:val="el" w:eastAsia="el"/>
        </w:rPr>
      </w:pPr>
      <w:r>
        <w:rPr>
          <w:b/>
          <w:bCs/>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 xml:space="preserve">Μεταβατικές διατάξεις </w:t>
      </w:r>
    </w:p>
    <w:p>
      <w:pPr>
        <w:pStyle w:val="MainText"/>
        <w:spacing w:before="120" w:after="0"/>
        <w:rPr>
          <w:lang w:val="el" w:eastAsia="el"/>
        </w:rPr>
      </w:pPr>
      <w:r>
        <w:rPr>
          <w:b/>
          <w:bCs/>
          <w:lang w:val="el" w:eastAsia="el"/>
        </w:rPr>
        <w:t>1.</w:t>
      </w:r>
      <w:r>
        <w:rPr>
          <w:b/>
          <w:bCs/>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b/>
          <w:bCs/>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b/>
          <w:bCs/>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b/>
          <w:bCs/>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b/>
          <w:bCs/>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b/>
          <w:bCs/>
          <w:lang w:val="el" w:eastAsia="el"/>
        </w:rPr>
        <w:t xml:space="preserve"> Με την έναρξη ισχύος του παρόντος καταργούνται: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άρθρα 1 έως και 54 του Ν. 3691/2008,</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62Α του Ν. 4170/2013 (Α΄163),</w:t>
      </w:r>
    </w:p>
    <w:p>
      <w:pPr>
        <w:pStyle w:val="StructureList1"/>
        <w:spacing w:before="120" w:after="0"/>
        <w:rPr>
          <w:lang w:val="el" w:eastAsia="el"/>
        </w:rPr>
      </w:pPr>
      <w:r>
        <w:rPr>
          <w:b/>
          <w:bCs/>
          <w:lang w:val="el" w:eastAsia="el"/>
        </w:rPr>
        <w:t>γ)</w:t>
      </w:r>
      <w:r>
        <w:rPr>
          <w:b/>
          <w:bCs/>
          <w:lang w:val="en" w:eastAsia="en"/>
        </w:rPr>
        <w:tab/>
      </w:r>
      <w:r>
        <w:rPr>
          <w:b/>
          <w:bCs/>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b/>
          <w:bCs/>
          <w:lang w:val="el" w:eastAsia="el"/>
        </w:rPr>
        <w:t xml:space="preserve">Άρθρο 55. </w:t>
      </w:r>
    </w:p>
    <w:p>
      <w:pPr>
        <w:spacing w:before="240" w:after="240"/>
        <w:rPr>
          <w:lang w:val="el" w:eastAsia="el"/>
        </w:rPr>
      </w:pPr>
      <w:r>
        <w:rPr>
          <w:b/>
          <w:bCs/>
          <w:lang w:val="el" w:eastAsia="el"/>
        </w:rPr>
        <w:t>Μετά το άρθρο 3 του Ν. 4182/2013 (Α΄ 185) προστίθεται άρθρο 3Α, ως εξής:</w:t>
      </w:r>
    </w:p>
    <w:p>
      <w:pPr>
        <w:spacing w:before="240" w:after="240"/>
        <w:rPr>
          <w:lang w:val="el" w:eastAsia="el"/>
        </w:rPr>
      </w:pPr>
      <w:r>
        <w:rPr>
          <w:b/>
          <w:bCs/>
          <w:lang w:val="el" w:eastAsia="el"/>
        </w:rPr>
        <w:t>« Άρθρο 3Α</w:t>
      </w:r>
    </w:p>
    <w:p>
      <w:pPr>
        <w:spacing w:before="240" w:after="240"/>
        <w:rPr>
          <w:lang w:val="el" w:eastAsia="el"/>
        </w:rPr>
      </w:pPr>
      <w:r>
        <w:rPr>
          <w:b/>
          <w:bCs/>
          <w:lang w:val="el" w:eastAsia="el"/>
        </w:rPr>
        <w:t>Ρύθμιση θεμάτων δωρεών προς φορείς δημόσιου τομέα</w:t>
      </w:r>
    </w:p>
    <w:p>
      <w:pPr>
        <w:spacing w:before="240" w:after="240"/>
        <w:rPr>
          <w:lang w:val="el" w:eastAsia="el"/>
        </w:rPr>
      </w:pPr>
      <w:r>
        <w:rPr>
          <w:b/>
          <w:bCs/>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b/>
          <w:bCs/>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b/>
          <w:bCs/>
          <w:lang w:val="el" w:eastAsia="el"/>
        </w:rPr>
        <w:t>β. Η δαπάνη, η οποία καλύπτεται εξ ολοκλήρου από τον δωρητή.</w:t>
      </w:r>
    </w:p>
    <w:p>
      <w:pPr>
        <w:spacing w:before="240" w:after="240"/>
        <w:rPr>
          <w:lang w:val="el" w:eastAsia="el"/>
        </w:rPr>
      </w:pPr>
      <w:r>
        <w:rPr>
          <w:b/>
          <w:bCs/>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b/>
          <w:bCs/>
          <w:lang w:val="el" w:eastAsia="el"/>
        </w:rPr>
        <w:t>αα) η σύνταξη τεχνικών προδιαγραφών,</w:t>
      </w:r>
    </w:p>
    <w:p>
      <w:pPr>
        <w:spacing w:before="240" w:after="240"/>
        <w:rPr>
          <w:lang w:val="el" w:eastAsia="el"/>
        </w:rPr>
      </w:pPr>
      <w:r>
        <w:rPr>
          <w:b/>
          <w:bCs/>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b/>
          <w:bCs/>
          <w:lang w:val="el" w:eastAsia="el"/>
        </w:rPr>
        <w:t>γγ) η έρευνα αγοράς και η υποβολή στον δωρητή τουλάχιστον τριών (3) προσφορών,</w:t>
      </w:r>
    </w:p>
    <w:p>
      <w:pPr>
        <w:spacing w:before="240" w:after="240"/>
        <w:rPr>
          <w:lang w:val="el" w:eastAsia="el"/>
        </w:rPr>
      </w:pPr>
      <w:r>
        <w:rPr>
          <w:b/>
          <w:bCs/>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b/>
          <w:bCs/>
          <w:lang w:val="el" w:eastAsia="el"/>
        </w:rPr>
        <w:t>εε) η εφαρμογή κανόνων ακεραιότητας,</w:t>
      </w:r>
    </w:p>
    <w:p>
      <w:pPr>
        <w:spacing w:before="240" w:after="240"/>
        <w:rPr>
          <w:lang w:val="el" w:eastAsia="el"/>
        </w:rPr>
      </w:pPr>
      <w:r>
        <w:rPr>
          <w:b/>
          <w:bCs/>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b/>
          <w:bCs/>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b/>
          <w:bCs/>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b/>
          <w:bCs/>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b/>
          <w:bCs/>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b/>
          <w:bCs/>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b/>
          <w:bCs/>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b/>
          <w:bCs/>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b/>
          <w:bCs/>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b/>
          <w:bCs/>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b/>
          <w:bCs/>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b/>
          <w:bCs/>
          <w:lang w:val="el" w:eastAsia="el"/>
        </w:rPr>
        <w:t>Άρθρο 56.</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1.</w:t>
      </w:r>
      <w:r>
        <w:rPr>
          <w:b/>
          <w:bCs/>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b/>
          <w:bCs/>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2.</w:t>
      </w:r>
      <w:r>
        <w:rPr>
          <w:b/>
          <w:bCs/>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3.</w:t>
      </w:r>
      <w:r>
        <w:rPr>
          <w:b/>
          <w:bCs/>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4.</w:t>
      </w:r>
      <w:r>
        <w:rPr>
          <w:b/>
          <w:bCs/>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b/>
          <w:bCs/>
          <w:color w:val="000000"/>
          <w:sz w:val="20"/>
          <w:szCs w:val="20"/>
          <w:u w:val="none" w:color="0000EE"/>
          <w:vertAlign w:val="superscript"/>
          <w:lang w:val="el" w:eastAsia="el"/>
        </w:rPr>
        <w:footnoteReference w:id="496"/>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b/>
          <w:bCs/>
          <w:lang w:val="el" w:eastAsia="el"/>
        </w:rPr>
        <w:t xml:space="preserve"> Μετά το άρθρο 66 του π.δ. 21/31.10.1932 (Α΄ 387) προστίθεται νέο άρθρο 66Α, ως εξής:</w:t>
      </w:r>
    </w:p>
    <w:p>
      <w:pPr>
        <w:spacing w:before="240" w:after="240"/>
        <w:rPr>
          <w:lang w:val="el" w:eastAsia="el"/>
        </w:rPr>
      </w:pPr>
      <w:r>
        <w:rPr>
          <w:b/>
          <w:bCs/>
          <w:lang w:val="el" w:eastAsia="el"/>
        </w:rPr>
        <w:t>« Άρθρο 66Α</w:t>
      </w:r>
    </w:p>
    <w:p>
      <w:pPr>
        <w:spacing w:before="240" w:after="240"/>
        <w:rPr>
          <w:lang w:val="el" w:eastAsia="el"/>
        </w:rPr>
      </w:pPr>
      <w:r>
        <w:rPr>
          <w:b/>
          <w:bCs/>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b/>
          <w:bCs/>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b/>
          <w:bCs/>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b/>
          <w:bCs/>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b/>
          <w:bCs/>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b/>
          <w:bCs/>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b/>
          <w:bCs/>
          <w:lang w:val="el" w:eastAsia="el"/>
        </w:rPr>
        <w:t xml:space="preserve"> Στην παρ. 4 του άρθρου 70 του π.δ. 21/31.10.1932 προστίθεται δεύτερο εδάφιο, ως εξής:</w:t>
      </w:r>
    </w:p>
    <w:p>
      <w:pPr>
        <w:spacing w:before="240" w:after="240"/>
        <w:rPr>
          <w:lang w:val="el" w:eastAsia="el"/>
        </w:rPr>
      </w:pPr>
      <w:r>
        <w:rPr>
          <w:b/>
          <w:bCs/>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b/>
          <w:bCs/>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b/>
          <w:bCs/>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b/>
          <w:bCs/>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b/>
          <w:bCs/>
          <w:lang w:val="el" w:eastAsia="el"/>
        </w:rPr>
        <w:t>α. Υπάλληλοι Κατηγορίας Πανεπιστημιακής Εκπαίδευσης:</w:t>
      </w:r>
    </w:p>
    <w:p>
      <w:pPr>
        <w:spacing w:before="240" w:after="240"/>
        <w:rPr>
          <w:lang w:val="el" w:eastAsia="el"/>
        </w:rPr>
      </w:pPr>
      <w:r>
        <w:rPr>
          <w:b/>
          <w:bCs/>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b/>
          <w:bCs/>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b/>
          <w:bCs/>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b/>
          <w:bCs/>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b/>
          <w:bCs/>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b/>
          <w:bCs/>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b/>
          <w:bCs/>
          <w:lang w:val="el" w:eastAsia="el"/>
        </w:rPr>
        <w:t>β. Υπάλληλοι Κατηγορίας Τεχνολογικής Εκπαίδευσης:</w:t>
      </w:r>
    </w:p>
    <w:p>
      <w:pPr>
        <w:spacing w:before="240" w:after="240"/>
        <w:rPr>
          <w:lang w:val="el" w:eastAsia="el"/>
        </w:rPr>
      </w:pPr>
      <w:r>
        <w:rPr>
          <w:b/>
          <w:bCs/>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b/>
          <w:bCs/>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b/>
          <w:bCs/>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b/>
          <w:bCs/>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b/>
          <w:bCs/>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b/>
          <w:bCs/>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b/>
          <w:bCs/>
          <w:lang w:val="el" w:eastAsia="el"/>
        </w:rPr>
        <w:t>γ. Υπάλληλοι Κατηγορίας Δευτεροβάθμιας Εκπαίδευσης:</w:t>
      </w:r>
    </w:p>
    <w:p>
      <w:pPr>
        <w:spacing w:before="240" w:after="240"/>
        <w:rPr>
          <w:lang w:val="el" w:eastAsia="el"/>
        </w:rPr>
      </w:pPr>
      <w:r>
        <w:rPr>
          <w:b/>
          <w:bCs/>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b/>
          <w:bCs/>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b/>
          <w:bCs/>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b/>
          <w:bCs/>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b/>
          <w:bCs/>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b/>
          <w:bCs/>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b/>
          <w:bCs/>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Υπολογισμός καταβαλλόμενων μερισμάτων από το Μετοχικό Ταμείο Αεροπορίας</w:t>
      </w:r>
    </w:p>
    <w:p>
      <w:pPr>
        <w:spacing w:before="240" w:after="240"/>
        <w:rPr>
          <w:lang w:val="el" w:eastAsia="el"/>
        </w:rPr>
      </w:pPr>
      <w:r>
        <w:rPr>
          <w:b/>
          <w:bCs/>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b/>
          <w:bCs/>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b/>
          <w:bCs/>
          <w:lang w:val="el" w:eastAsia="el"/>
        </w:rPr>
        <w:t>αα. Α΄ Κατηγορία μισθολογικής κατάταξης:</w:t>
      </w:r>
    </w:p>
    <w:p>
      <w:pPr>
        <w:spacing w:before="240" w:after="240"/>
        <w:rPr>
          <w:lang w:val="el" w:eastAsia="el"/>
        </w:rPr>
      </w:pPr>
      <w:r>
        <w:rPr>
          <w:b/>
          <w:bCs/>
          <w:lang w:val="el" w:eastAsia="el"/>
        </w:rPr>
        <w:t>(1) Αρχηγός Γ.Ε.ΕΘ.Α. (Κλιμάκιο 1): μερίδια 36.</w:t>
      </w:r>
    </w:p>
    <w:p>
      <w:pPr>
        <w:spacing w:before="240" w:after="240"/>
        <w:rPr>
          <w:lang w:val="el" w:eastAsia="el"/>
        </w:rPr>
      </w:pPr>
      <w:r>
        <w:rPr>
          <w:b/>
          <w:bCs/>
          <w:lang w:val="el" w:eastAsia="el"/>
        </w:rPr>
        <w:t>(2) Αρχηγός Γ.Ε.Α. (Κλιμάκιο 2): μερίδια 35.</w:t>
      </w:r>
    </w:p>
    <w:p>
      <w:pPr>
        <w:spacing w:before="240" w:after="240"/>
        <w:rPr>
          <w:lang w:val="el" w:eastAsia="el"/>
        </w:rPr>
      </w:pPr>
      <w:r>
        <w:rPr>
          <w:b/>
          <w:bCs/>
          <w:lang w:val="el" w:eastAsia="el"/>
        </w:rPr>
        <w:t>(3) Αρχηγός Α.Τ.Α. (Κλιμάκιο 3): μερίδια 34.</w:t>
      </w:r>
    </w:p>
    <w:p>
      <w:pPr>
        <w:spacing w:before="240" w:after="240"/>
        <w:rPr>
          <w:lang w:val="el" w:eastAsia="el"/>
        </w:rPr>
      </w:pPr>
      <w:r>
        <w:rPr>
          <w:b/>
          <w:bCs/>
          <w:lang w:val="el" w:eastAsia="el"/>
        </w:rPr>
        <w:t>(4) Αντιπτέραρχος: μερίδια 33,5 για τα Κλιμάκια 4 και 5.</w:t>
      </w:r>
    </w:p>
    <w:p>
      <w:pPr>
        <w:spacing w:before="240" w:after="240"/>
        <w:rPr>
          <w:lang w:val="el" w:eastAsia="el"/>
        </w:rPr>
      </w:pPr>
      <w:r>
        <w:rPr>
          <w:b/>
          <w:bCs/>
          <w:lang w:val="el" w:eastAsia="el"/>
        </w:rPr>
        <w:t>(5) Υποπτέραρχος: μερίδια 32,3 για τα Κλιμάκια 5 και 6 και μερίδια 32 για τα Κλιμάκια 7 έως 9.</w:t>
      </w:r>
    </w:p>
    <w:p>
      <w:pPr>
        <w:spacing w:before="240" w:after="240"/>
        <w:rPr>
          <w:lang w:val="el" w:eastAsia="el"/>
        </w:rPr>
      </w:pPr>
      <w:r>
        <w:rPr>
          <w:b/>
          <w:bCs/>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b/>
          <w:bCs/>
          <w:lang w:val="el" w:eastAsia="el"/>
        </w:rPr>
        <w:t>(7) Σμήναρχος: μερίδια 30 για τα Κλιμάκια 7 έως 11, και μερίδια 28 για τα Κλιμάκια 12 έως 19.</w:t>
      </w:r>
    </w:p>
    <w:p>
      <w:pPr>
        <w:spacing w:before="240" w:after="240"/>
        <w:rPr>
          <w:lang w:val="el" w:eastAsia="el"/>
        </w:rPr>
      </w:pPr>
      <w:r>
        <w:rPr>
          <w:b/>
          <w:bCs/>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b/>
          <w:bCs/>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b/>
          <w:bCs/>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b/>
          <w:bCs/>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b/>
          <w:bCs/>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b/>
          <w:bCs/>
          <w:lang w:val="el" w:eastAsia="el"/>
        </w:rPr>
        <w:t>ββ. Β΄ Κατηγορία μισθολογικής κατάταξης:</w:t>
      </w:r>
    </w:p>
    <w:p>
      <w:pPr>
        <w:spacing w:before="240" w:after="240"/>
        <w:rPr>
          <w:lang w:val="el" w:eastAsia="el"/>
        </w:rPr>
      </w:pPr>
      <w:r>
        <w:rPr>
          <w:b/>
          <w:bCs/>
          <w:lang w:val="el" w:eastAsia="el"/>
        </w:rPr>
        <w:t>(1) Σμήναρχος: μερίδια 27 για τα Κλιμάκια 1 και 2.</w:t>
      </w:r>
    </w:p>
    <w:p>
      <w:pPr>
        <w:spacing w:before="240" w:after="240"/>
        <w:rPr>
          <w:lang w:val="el" w:eastAsia="el"/>
        </w:rPr>
      </w:pPr>
      <w:r>
        <w:rPr>
          <w:b/>
          <w:bCs/>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b/>
          <w:bCs/>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b/>
          <w:bCs/>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b/>
          <w:bCs/>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b/>
          <w:bCs/>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b/>
          <w:bCs/>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b/>
          <w:bCs/>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b/>
          <w:bCs/>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b/>
          <w:bCs/>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b/>
          <w:bCs/>
          <w:lang w:val="el" w:eastAsia="el"/>
        </w:rPr>
        <w:t>γγ. Γ΄ Κατηγορία μισθολογικής κατάταξης:</w:t>
      </w:r>
    </w:p>
    <w:p>
      <w:pPr>
        <w:spacing w:before="240" w:after="240"/>
        <w:rPr>
          <w:lang w:val="el" w:eastAsia="el"/>
        </w:rPr>
      </w:pPr>
      <w:r>
        <w:rPr>
          <w:b/>
          <w:bCs/>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b/>
          <w:bCs/>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b/>
          <w:bCs/>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b/>
          <w:bCs/>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b/>
          <w:bCs/>
          <w:lang w:val="el" w:eastAsia="el"/>
        </w:rPr>
        <w:t>(5) Υποσμηνίας: μερίδια 10 για τα Κλιμάκια 18 και 19 και μερίδια 7 για τα Κλιμάκια 20 και 21.</w:t>
      </w:r>
    </w:p>
    <w:p>
      <w:pPr>
        <w:spacing w:before="240" w:after="240"/>
        <w:rPr>
          <w:lang w:val="el" w:eastAsia="el"/>
        </w:rPr>
      </w:pPr>
      <w:r>
        <w:rPr>
          <w:b/>
          <w:bCs/>
          <w:lang w:val="el" w:eastAsia="el"/>
        </w:rPr>
        <w:t>(6) Σμηνίτης: μερίδια 6 για τα Κλιμάκια 20 έως 22.</w:t>
      </w:r>
    </w:p>
    <w:p>
      <w:pPr>
        <w:spacing w:before="240" w:after="240"/>
        <w:rPr>
          <w:lang w:val="el" w:eastAsia="el"/>
        </w:rPr>
      </w:pPr>
      <w:r>
        <w:rPr>
          <w:b/>
          <w:bCs/>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b/>
          <w:bCs/>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b/>
          <w:bCs/>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b/>
          <w:bCs/>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b/>
          <w:bCs/>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b/>
          <w:bCs/>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b/>
          <w:bCs/>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b/>
          <w:bCs/>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Τροποποίηση του άρθρου 26 του Ν. 4258/2014 (Α΄ 94)</w:t>
      </w:r>
    </w:p>
    <w:p>
      <w:pPr>
        <w:spacing w:before="240" w:after="240"/>
        <w:rPr>
          <w:lang w:val="el" w:eastAsia="el"/>
        </w:rPr>
      </w:pPr>
      <w:r>
        <w:rPr>
          <w:b/>
          <w:bCs/>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b/>
          <w:bCs/>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b/>
          <w:bCs/>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Τροποποίηση του άρθρου 32 του Ν. 4361/2016</w:t>
      </w:r>
    </w:p>
    <w:p>
      <w:pPr>
        <w:spacing w:before="240" w:after="240"/>
        <w:rPr>
          <w:lang w:val="el" w:eastAsia="el"/>
        </w:rPr>
      </w:pPr>
      <w:r>
        <w:rPr>
          <w:b/>
          <w:bCs/>
          <w:lang w:val="el" w:eastAsia="el"/>
        </w:rPr>
        <w:t>Στο άρθρο 32 του Ν. 4361/2016, όπως ισχύει, προστίθεται νέα παράγραφος 7 ως εξής:</w:t>
      </w:r>
    </w:p>
    <w:p>
      <w:pPr>
        <w:spacing w:before="240" w:after="240"/>
        <w:rPr>
          <w:lang w:val="el" w:eastAsia="el"/>
        </w:rPr>
      </w:pPr>
      <w:r>
        <w:rPr>
          <w:b/>
          <w:bCs/>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b/>
          <w:bCs/>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Τροποποίηση του α . ν . 1920/1939</w:t>
      </w:r>
    </w:p>
    <w:p>
      <w:pPr>
        <w:pStyle w:val="MainText"/>
        <w:spacing w:before="120" w:after="0"/>
        <w:rPr>
          <w:lang w:val="el" w:eastAsia="el"/>
        </w:rPr>
      </w:pPr>
      <w:r>
        <w:rPr>
          <w:b/>
          <w:bCs/>
          <w:lang w:val="el" w:eastAsia="el"/>
        </w:rPr>
        <w:t>1.</w:t>
      </w:r>
      <w:r>
        <w:rPr>
          <w:b/>
          <w:bCs/>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b/>
          <w:bCs/>
          <w:lang w:val="el" w:eastAsia="el"/>
        </w:rPr>
        <w:t>1) τον Υπουργό Εξωτερικών,</w:t>
      </w:r>
    </w:p>
    <w:p>
      <w:pPr>
        <w:spacing w:before="240" w:after="240"/>
        <w:rPr>
          <w:lang w:val="el" w:eastAsia="el"/>
        </w:rPr>
      </w:pPr>
      <w:r>
        <w:rPr>
          <w:b/>
          <w:bCs/>
          <w:lang w:val="el" w:eastAsia="el"/>
        </w:rPr>
        <w:t>2) τον Υπουργό Οικονομίας και Ανάπτυξης,</w:t>
      </w:r>
    </w:p>
    <w:p>
      <w:pPr>
        <w:spacing w:before="240" w:after="240"/>
        <w:rPr>
          <w:lang w:val="el" w:eastAsia="el"/>
        </w:rPr>
      </w:pPr>
      <w:r>
        <w:rPr>
          <w:b/>
          <w:bCs/>
          <w:lang w:val="el" w:eastAsia="el"/>
        </w:rPr>
        <w:t>3) τον Υπουργό Πολιτισμού και Αθλητισμού,</w:t>
      </w:r>
    </w:p>
    <w:p>
      <w:pPr>
        <w:spacing w:before="240" w:after="240"/>
        <w:rPr>
          <w:lang w:val="el" w:eastAsia="el"/>
        </w:rPr>
      </w:pPr>
      <w:r>
        <w:rPr>
          <w:b/>
          <w:bCs/>
          <w:lang w:val="el" w:eastAsia="el"/>
        </w:rPr>
        <w:t>4) τον Υπουργό Αγροτικής Ανάπτυξης και Τροφίμων,</w:t>
      </w:r>
    </w:p>
    <w:p>
      <w:pPr>
        <w:spacing w:before="240" w:after="240"/>
        <w:rPr>
          <w:lang w:val="el" w:eastAsia="el"/>
        </w:rPr>
      </w:pPr>
      <w:r>
        <w:rPr>
          <w:b/>
          <w:bCs/>
          <w:lang w:val="el" w:eastAsia="el"/>
        </w:rPr>
        <w:t>5) τον Υπουργό Τουρισμού,</w:t>
      </w:r>
    </w:p>
    <w:p>
      <w:pPr>
        <w:spacing w:before="240" w:after="240"/>
        <w:rPr>
          <w:lang w:val="el" w:eastAsia="el"/>
        </w:rPr>
      </w:pPr>
      <w:r>
        <w:rPr>
          <w:b/>
          <w:bCs/>
          <w:lang w:val="el" w:eastAsia="el"/>
        </w:rPr>
        <w:t>6) τον Γενικό Γραμματέα της Περιφέρειας Αττικής,</w:t>
      </w:r>
    </w:p>
    <w:p>
      <w:pPr>
        <w:spacing w:before="240" w:after="240"/>
        <w:rPr>
          <w:lang w:val="el" w:eastAsia="el"/>
        </w:rPr>
      </w:pPr>
      <w:r>
        <w:rPr>
          <w:b/>
          <w:bCs/>
          <w:lang w:val="el" w:eastAsia="el"/>
        </w:rPr>
        <w:t>7) τον Δήμαρχο Αθηναίων,</w:t>
      </w:r>
    </w:p>
    <w:p>
      <w:pPr>
        <w:spacing w:before="240" w:after="240"/>
        <w:rPr>
          <w:lang w:val="el" w:eastAsia="el"/>
        </w:rPr>
      </w:pPr>
      <w:r>
        <w:rPr>
          <w:b/>
          <w:bCs/>
          <w:lang w:val="el" w:eastAsia="el"/>
        </w:rPr>
        <w:t>8) τον Δικηγορικό Σύλλογο Αθηνών,</w:t>
      </w:r>
    </w:p>
    <w:p>
      <w:pPr>
        <w:spacing w:before="240" w:after="240"/>
        <w:rPr>
          <w:lang w:val="el" w:eastAsia="el"/>
        </w:rPr>
      </w:pPr>
      <w:r>
        <w:rPr>
          <w:b/>
          <w:bCs/>
          <w:lang w:val="el" w:eastAsia="el"/>
        </w:rPr>
        <w:t>9) το Εθνικό Μετσόβιο Πολυτεχνείο,</w:t>
      </w:r>
    </w:p>
    <w:p>
      <w:pPr>
        <w:spacing w:before="240" w:after="240"/>
        <w:rPr>
          <w:lang w:val="el" w:eastAsia="el"/>
        </w:rPr>
      </w:pPr>
      <w:r>
        <w:rPr>
          <w:b/>
          <w:bCs/>
          <w:lang w:val="el" w:eastAsia="el"/>
        </w:rPr>
        <w:t>10) το Γεωπονικό Πανεπιστήμιο Αθηνών,</w:t>
      </w:r>
    </w:p>
    <w:p>
      <w:pPr>
        <w:spacing w:before="240" w:after="240"/>
        <w:rPr>
          <w:lang w:val="el" w:eastAsia="el"/>
        </w:rPr>
      </w:pPr>
      <w:r>
        <w:rPr>
          <w:b/>
          <w:bCs/>
          <w:lang w:val="el" w:eastAsia="el"/>
        </w:rPr>
        <w:t>11) το Οικονομικό Πανεπιστήμιο Αθηνών,</w:t>
      </w:r>
    </w:p>
    <w:p>
      <w:pPr>
        <w:spacing w:before="240" w:after="240"/>
        <w:rPr>
          <w:lang w:val="el" w:eastAsia="el"/>
        </w:rPr>
      </w:pPr>
      <w:r>
        <w:rPr>
          <w:b/>
          <w:bCs/>
          <w:lang w:val="el" w:eastAsia="el"/>
        </w:rPr>
        <w:t>12) την Ανώτατη Σχολή Καλών Τεχνών,</w:t>
      </w:r>
    </w:p>
    <w:p>
      <w:pPr>
        <w:spacing w:before="240" w:after="240"/>
        <w:rPr>
          <w:lang w:val="el" w:eastAsia="el"/>
        </w:rPr>
      </w:pPr>
      <w:r>
        <w:rPr>
          <w:b/>
          <w:bCs/>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b/>
          <w:bCs/>
          <w:lang w:val="el" w:eastAsia="el"/>
        </w:rPr>
        <w:t>14) τον Εμπορικό Σύλλογο Αθηνών,</w:t>
      </w:r>
    </w:p>
    <w:p>
      <w:pPr>
        <w:spacing w:before="240" w:after="240"/>
        <w:rPr>
          <w:lang w:val="el" w:eastAsia="el"/>
        </w:rPr>
      </w:pPr>
      <w:r>
        <w:rPr>
          <w:b/>
          <w:bCs/>
          <w:lang w:val="el" w:eastAsia="el"/>
        </w:rPr>
        <w:t>15) το Σύνδεσμο των εν Ελλάδι Τουριστικών και Ταξιδιωτικών Γραφείων,</w:t>
      </w:r>
    </w:p>
    <w:p>
      <w:pPr>
        <w:spacing w:before="240" w:after="240"/>
        <w:rPr>
          <w:lang w:val="el" w:eastAsia="el"/>
        </w:rPr>
      </w:pPr>
      <w:r>
        <w:rPr>
          <w:b/>
          <w:bCs/>
          <w:lang w:val="el" w:eastAsia="el"/>
        </w:rPr>
        <w:t>16) την Πανηπειρωτική Ομοσπονδία Ελλάδας.</w:t>
      </w:r>
    </w:p>
    <w:p>
      <w:pPr>
        <w:spacing w:before="240" w:after="240"/>
        <w:rPr>
          <w:lang w:val="el" w:eastAsia="el"/>
        </w:rPr>
      </w:pPr>
      <w:r>
        <w:rPr>
          <w:b/>
          <w:bCs/>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b/>
          <w:bCs/>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b/>
          <w:bCs/>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b/>
          <w:bCs/>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b/>
          <w:bCs/>
          <w:lang w:val="el" w:eastAsia="el"/>
        </w:rPr>
        <w:t xml:space="preserve"> Η παρ. 1 του άρθρου 23 του α.ν. 1920/1939 αντικαθίσταται ως εξής:</w:t>
      </w:r>
    </w:p>
    <w:p>
      <w:pPr>
        <w:spacing w:before="240" w:after="240"/>
        <w:rPr>
          <w:lang w:val="el" w:eastAsia="el"/>
        </w:rPr>
      </w:pPr>
      <w:r>
        <w:rPr>
          <w:b/>
          <w:bCs/>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b/>
          <w:bCs/>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b/>
          <w:bCs/>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b/>
          <w:bCs/>
          <w:lang w:val="el" w:eastAsia="el"/>
        </w:rPr>
        <w:t xml:space="preserve"> Οι παράγραφοι 1 και 2 του άρθρου 25 του α.ν. 1920/1939, αντικαθίστανται ως εξής:</w:t>
      </w:r>
    </w:p>
    <w:p>
      <w:pPr>
        <w:spacing w:before="240" w:after="240"/>
        <w:rPr>
          <w:lang w:val="el" w:eastAsia="el"/>
        </w:rPr>
      </w:pPr>
      <w:r>
        <w:rPr>
          <w:b/>
          <w:bCs/>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b/>
          <w:bCs/>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b/>
          <w:bCs/>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b/>
          <w:bCs/>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b/>
          <w:bCs/>
          <w:lang w:val="el" w:eastAsia="el"/>
        </w:rPr>
        <w:t xml:space="preserve"> Στο τέλος της παρ. 4 του άρθρου 26 του α.ν. 1920/1939 προστίθενται εδάφια ως εξής:</w:t>
      </w:r>
    </w:p>
    <w:p>
      <w:pPr>
        <w:spacing w:before="240" w:after="240"/>
        <w:rPr>
          <w:lang w:val="el" w:eastAsia="el"/>
        </w:rPr>
      </w:pPr>
      <w:r>
        <w:rPr>
          <w:b/>
          <w:bCs/>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b/>
          <w:bCs/>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b/>
          <w:bCs/>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b/>
          <w:bCs/>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b/>
          <w:bCs/>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Τροποποίηση του άρθρου 30 του Ν. 3296/2004</w:t>
      </w:r>
    </w:p>
    <w:p>
      <w:pPr>
        <w:pStyle w:val="MainText"/>
        <w:spacing w:before="120" w:after="0"/>
        <w:rPr>
          <w:lang w:val="el" w:eastAsia="el"/>
        </w:rPr>
      </w:pPr>
      <w:r>
        <w:rPr>
          <w:b/>
          <w:bCs/>
          <w:lang w:val="el" w:eastAsia="el"/>
        </w:rPr>
        <w:t>1.</w:t>
      </w:r>
      <w:r>
        <w:rPr>
          <w:b/>
          <w:bCs/>
          <w:lang w:val="el" w:eastAsia="el"/>
        </w:rPr>
        <w:t xml:space="preserve"> Η περίπτωση ε΄ της παρ. 5 του άρθρου 30 του Ν. 3296/2004 (Α΄ 253) αντικαθίσταται ως εξής:</w:t>
      </w:r>
    </w:p>
    <w:p>
      <w:pPr>
        <w:spacing w:before="240" w:after="240"/>
        <w:rPr>
          <w:lang w:val="el" w:eastAsia="el"/>
        </w:rPr>
      </w:pPr>
      <w:r>
        <w:rPr>
          <w:b/>
          <w:bCs/>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b/>
          <w:bCs/>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b/>
          <w:bCs/>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b/>
          <w:bCs/>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b/>
          <w:bCs/>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b/>
          <w:bCs/>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b/>
          <w:bCs/>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b/>
          <w:bCs/>
          <w:lang w:val="el" w:eastAsia="el"/>
        </w:rPr>
        <w:t>ββ)</w:t>
      </w:r>
      <w:r>
        <w:rPr>
          <w:b/>
          <w:bCs/>
          <w:lang w:val="en" w:eastAsia="en"/>
        </w:rPr>
        <w:tab/>
      </w:r>
      <w:r>
        <w:rPr>
          <w:b/>
          <w:bCs/>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b/>
          <w:bCs/>
          <w:lang w:val="el" w:eastAsia="el"/>
        </w:rPr>
        <w:t>γγ)</w:t>
      </w:r>
      <w:r>
        <w:rPr>
          <w:b/>
          <w:bCs/>
          <w:lang w:val="en" w:eastAsia="en"/>
        </w:rPr>
        <w:tab/>
      </w:r>
      <w:r>
        <w:rPr>
          <w:b/>
          <w:bCs/>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b/>
          <w:bCs/>
          <w:lang w:val="el" w:eastAsia="el"/>
        </w:rPr>
        <w:t>δδ)</w:t>
      </w:r>
      <w:r>
        <w:rPr>
          <w:b/>
          <w:bCs/>
          <w:lang w:val="en" w:eastAsia="en"/>
        </w:rPr>
        <w:tab/>
      </w:r>
      <w:r>
        <w:rPr>
          <w:b/>
          <w:bCs/>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b/>
          <w:bCs/>
          <w:lang w:val="el" w:eastAsia="el"/>
        </w:rPr>
        <w:t>εε)</w:t>
      </w:r>
      <w:r>
        <w:rPr>
          <w:b/>
          <w:bCs/>
          <w:lang w:val="en" w:eastAsia="en"/>
        </w:rPr>
        <w:tab/>
      </w:r>
      <w:r>
        <w:rPr>
          <w:b/>
          <w:bCs/>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b/>
          <w:bCs/>
          <w:lang w:val="el" w:eastAsia="el"/>
        </w:rPr>
        <w:t xml:space="preserve"> Στο τέλος της παρ. 6 του άρθρου 30 του Ν. 3296/2004 προστίθεται εδάφιο, ως εξής:</w:t>
      </w:r>
    </w:p>
    <w:p>
      <w:pPr>
        <w:spacing w:before="240" w:after="240"/>
        <w:rPr>
          <w:lang w:val="el" w:eastAsia="el"/>
        </w:rPr>
      </w:pPr>
      <w:r>
        <w:rPr>
          <w:b/>
          <w:bCs/>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b/>
          <w:bCs/>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b/>
          <w:bCs/>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b/>
          <w:bCs/>
          <w:lang w:val="el" w:eastAsia="el"/>
        </w:rPr>
        <w:t xml:space="preserve"> Στο τέλος της παρ. 5 του άρθρου 53Α του Ν. 2960/2001 , προστίθεται εδάφιο ως εξής:</w:t>
      </w:r>
    </w:p>
    <w:p>
      <w:pPr>
        <w:spacing w:before="240" w:after="240"/>
        <w:rPr>
          <w:lang w:val="el" w:eastAsia="el"/>
        </w:rPr>
      </w:pPr>
      <w:r>
        <w:rPr>
          <w:b/>
          <w:bCs/>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b/>
          <w:bCs/>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b/>
          <w:bCs/>
          <w:lang w:val="el" w:eastAsia="el"/>
        </w:rPr>
        <w:t xml:space="preserve">Άρθρο 66. </w:t>
      </w:r>
    </w:p>
    <w:p>
      <w:pPr>
        <w:pStyle w:val="MainText"/>
        <w:spacing w:before="120" w:after="0"/>
        <w:rPr>
          <w:lang w:val="el" w:eastAsia="el"/>
        </w:rPr>
      </w:pPr>
      <w:r>
        <w:rPr>
          <w:b/>
          <w:bCs/>
          <w:lang w:val="el" w:eastAsia="el"/>
        </w:rPr>
        <w:t>1.</w:t>
      </w:r>
      <w:r>
        <w:rPr>
          <w:b/>
          <w:bCs/>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b/>
          <w:bCs/>
          <w:lang w:val="el" w:eastAsia="el"/>
        </w:rPr>
        <w:t xml:space="preserve"> Μετά το άρθρο 33 του Ν. 4389/2016 (Α΄ 94) εισάγεται νέο άρθρο 33Α, ως εξής:</w:t>
      </w:r>
    </w:p>
    <w:p>
      <w:pPr>
        <w:spacing w:before="240" w:after="240"/>
        <w:rPr>
          <w:lang w:val="el" w:eastAsia="el"/>
        </w:rPr>
      </w:pPr>
      <w:r>
        <w:rPr>
          <w:b/>
          <w:bCs/>
          <w:lang w:val="el" w:eastAsia="el"/>
        </w:rPr>
        <w:t>« Άρθρο 33Α</w:t>
      </w:r>
    </w:p>
    <w:p>
      <w:pPr>
        <w:spacing w:before="240" w:after="240"/>
        <w:rPr>
          <w:lang w:val="el" w:eastAsia="el"/>
        </w:rPr>
      </w:pPr>
      <w:r>
        <w:rPr>
          <w:b/>
          <w:bCs/>
          <w:lang w:val="el" w:eastAsia="el"/>
        </w:rPr>
        <w:t>Νομική Υπεράσπιση - Δικαστικά έξοδα</w:t>
      </w:r>
    </w:p>
    <w:p>
      <w:pPr>
        <w:spacing w:before="240" w:after="240"/>
        <w:rPr>
          <w:lang w:val="el" w:eastAsia="el"/>
        </w:rPr>
      </w:pPr>
      <w:r>
        <w:rPr>
          <w:b/>
          <w:bCs/>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b/>
          <w:bCs/>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b/>
          <w:bCs/>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b/>
          <w:bCs/>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b/>
          <w:bCs/>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b/>
          <w:bCs/>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b/>
          <w:bCs/>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b/>
          <w:bCs/>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b/>
          <w:bCs/>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b/>
          <w:bCs/>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b/>
          <w:bCs/>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Τροποποίηση του Παραρτήματος Γ΄ της παρ. 7 του άρθρου 196 του Ν. 4389/2016</w:t>
      </w:r>
    </w:p>
    <w:p>
      <w:pPr>
        <w:spacing w:before="240" w:after="240"/>
        <w:rPr>
          <w:lang w:val="el" w:eastAsia="el"/>
        </w:rPr>
      </w:pPr>
      <w:r>
        <w:rPr>
          <w:b/>
          <w:bCs/>
          <w:lang w:val="el" w:eastAsia="el"/>
        </w:rPr>
        <w:t>Το Παράρτημα Γ΄ της </w:t>
      </w:r>
      <w:r>
        <w:rPr>
          <w:rStyle w:val="link"/>
          <w:b/>
          <w:bCs/>
          <w:lang w:val="el" w:eastAsia="el"/>
        </w:rPr>
        <w:t>παρ. 7 του άρθρου 196 του Ν. 4389/2016</w:t>
      </w:r>
      <w:r>
        <w:rPr>
          <w:b/>
          <w:bCs/>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b/>
          <w:bCs/>
          <w:lang w:val="el" w:eastAsia="el"/>
        </w:rPr>
        <w:t xml:space="preserve">»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 xml:space="preserve">Έναρξη ισχύος </w:t>
      </w:r>
    </w:p>
    <w:p>
      <w:pPr>
        <w:spacing w:before="240" w:after="240"/>
        <w:rPr>
          <w:lang w:val="el" w:eastAsia="el"/>
        </w:rPr>
      </w:pPr>
      <w:r>
        <w:rPr>
          <w:b/>
          <w:bCs/>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b/>
          <w:bCs/>
          <w:lang w:val="el" w:eastAsia="el"/>
        </w:rPr>
        <w:t>(Παράρτημα II της Οδηγίας 2015/849, όπως τροποποιήθηκε με την Οδηγία 2018/843)</w:t>
      </w:r>
    </w:p>
    <w:p>
      <w:pPr>
        <w:spacing w:before="240" w:after="240"/>
        <w:rPr>
          <w:lang w:val="el" w:eastAsia="el"/>
        </w:rPr>
      </w:pPr>
      <w:r>
        <w:rPr>
          <w:b/>
          <w:bCs/>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b/>
          <w:bCs/>
          <w:lang w:val="el" w:eastAsia="el"/>
        </w:rPr>
        <w:t xml:space="preserve"> Παράγοντες κινδύνου ως προς τον πελάτη:</w:t>
      </w:r>
    </w:p>
    <w:p>
      <w:pPr>
        <w:pStyle w:val="StructureList1"/>
        <w:spacing w:before="120" w:after="0"/>
        <w:rPr>
          <w:lang w:val="el" w:eastAsia="el"/>
        </w:rPr>
      </w:pPr>
      <w:r>
        <w:rPr>
          <w:b/>
          <w:bCs/>
          <w:lang w:val="el" w:eastAsia="el"/>
        </w:rPr>
        <w:t>α)</w:t>
      </w:r>
      <w:r>
        <w:rPr>
          <w:b/>
          <w:bCs/>
          <w:lang w:val="en" w:eastAsia="en"/>
        </w:rPr>
        <w:tab/>
      </w:r>
      <w:r>
        <w:rPr>
          <w:b/>
          <w:bCs/>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b/>
          <w:bCs/>
          <w:lang w:val="el" w:eastAsia="el"/>
        </w:rPr>
        <w:t>β)</w:t>
      </w:r>
      <w:r>
        <w:rPr>
          <w:b/>
          <w:bCs/>
          <w:lang w:val="en" w:eastAsia="en"/>
        </w:rPr>
        <w:tab/>
      </w:r>
      <w:r>
        <w:rPr>
          <w:b/>
          <w:bCs/>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b/>
          <w:bCs/>
          <w:lang w:val="el" w:eastAsia="el"/>
        </w:rPr>
        <w:t>γ)</w:t>
      </w:r>
      <w:r>
        <w:rPr>
          <w:b/>
          <w:bCs/>
          <w:lang w:val="en" w:eastAsia="en"/>
        </w:rPr>
        <w:tab/>
      </w:r>
      <w:r>
        <w:rPr>
          <w:b/>
          <w:bCs/>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b/>
          <w:bCs/>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b/>
          <w:bCs/>
          <w:lang w:val="el" w:eastAsia="el"/>
        </w:rPr>
        <w:t>α)</w:t>
      </w:r>
      <w:r>
        <w:rPr>
          <w:b/>
          <w:bCs/>
          <w:lang w:val="en" w:eastAsia="en"/>
        </w:rPr>
        <w:tab/>
      </w:r>
      <w:r>
        <w:rPr>
          <w:b/>
          <w:bCs/>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b/>
          <w:bCs/>
          <w:lang w:val="el" w:eastAsia="el"/>
        </w:rPr>
        <w:t>β)</w:t>
      </w:r>
      <w:r>
        <w:rPr>
          <w:b/>
          <w:bCs/>
          <w:lang w:val="en" w:eastAsia="en"/>
        </w:rPr>
        <w:tab/>
      </w:r>
      <w:r>
        <w:rPr>
          <w:b/>
          <w:bCs/>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b/>
          <w:bCs/>
          <w:lang w:val="el" w:eastAsia="el"/>
        </w:rPr>
        <w:t>γ)</w:t>
      </w:r>
      <w:r>
        <w:rPr>
          <w:b/>
          <w:bCs/>
          <w:lang w:val="en" w:eastAsia="en"/>
        </w:rPr>
        <w:tab/>
      </w:r>
      <w:r>
        <w:rPr>
          <w:b/>
          <w:bCs/>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b/>
          <w:bCs/>
          <w:lang w:val="el" w:eastAsia="el"/>
        </w:rPr>
        <w:t>ε)</w:t>
      </w:r>
      <w:r>
        <w:rPr>
          <w:b/>
          <w:bCs/>
          <w:lang w:val="en" w:eastAsia="en"/>
        </w:rPr>
        <w:tab/>
      </w:r>
      <w:r>
        <w:rPr>
          <w:b/>
          <w:bCs/>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b/>
          <w:bCs/>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b/>
          <w:bCs/>
          <w:lang w:val="el" w:eastAsia="el"/>
        </w:rPr>
        <w:t>α)</w:t>
      </w:r>
      <w:r>
        <w:rPr>
          <w:b/>
          <w:bCs/>
          <w:lang w:val="en" w:eastAsia="en"/>
        </w:rPr>
        <w:tab/>
      </w:r>
      <w:r>
        <w:rPr>
          <w:b/>
          <w:bCs/>
          <w:lang w:val="el" w:eastAsia="el"/>
        </w:rPr>
        <w:t>κράτη μέλη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b/>
          <w:bCs/>
          <w:lang w:val="el" w:eastAsia="el"/>
        </w:rPr>
        <w:t>(Παράρτημα III της Οδηγίας 2015/849, όπως τροποποιήθηκε με την Οδηγία 2018/843)</w:t>
      </w:r>
    </w:p>
    <w:p>
      <w:pPr>
        <w:spacing w:before="240" w:after="240"/>
        <w:rPr>
          <w:lang w:val="el" w:eastAsia="el"/>
        </w:rPr>
      </w:pPr>
      <w:r>
        <w:rPr>
          <w:b/>
          <w:bCs/>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b/>
          <w:bCs/>
          <w:lang w:val="el" w:eastAsia="el"/>
        </w:rPr>
        <w:t xml:space="preserve"> Παράγοντες κινδύνου ως προς τον πελάτη:</w:t>
      </w:r>
    </w:p>
    <w:p>
      <w:pPr>
        <w:pStyle w:val="StructureList1"/>
        <w:spacing w:before="120" w:after="0"/>
        <w:rPr>
          <w:lang w:val="el" w:eastAsia="el"/>
        </w:rPr>
      </w:pPr>
      <w:r>
        <w:rPr>
          <w:b/>
          <w:bCs/>
          <w:lang w:val="el" w:eastAsia="el"/>
        </w:rPr>
        <w:t>α)</w:t>
      </w:r>
      <w:r>
        <w:rPr>
          <w:b/>
          <w:bCs/>
          <w:lang w:val="en" w:eastAsia="en"/>
        </w:rPr>
        <w:tab/>
      </w:r>
      <w:r>
        <w:rPr>
          <w:b/>
          <w:bCs/>
          <w:lang w:val="el" w:eastAsia="el"/>
        </w:rPr>
        <w:t>επιχειρηματική σχέση που αναπτύσσεται σε ασυνήθιστες περιστάσεις,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b/>
          <w:bCs/>
          <w:lang w:val="el" w:eastAsia="el"/>
        </w:rPr>
        <w:t>γ)</w:t>
      </w:r>
      <w:r>
        <w:rPr>
          <w:b/>
          <w:bCs/>
          <w:lang w:val="en" w:eastAsia="en"/>
        </w:rPr>
        <w:tab/>
      </w:r>
      <w:r>
        <w:rPr>
          <w:b/>
          <w:bCs/>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b/>
          <w:bCs/>
          <w:lang w:val="el" w:eastAsia="el"/>
        </w:rPr>
        <w:t>δ)</w:t>
      </w:r>
      <w:r>
        <w:rPr>
          <w:b/>
          <w:bCs/>
          <w:lang w:val="en" w:eastAsia="en"/>
        </w:rPr>
        <w:tab/>
      </w:r>
      <w:r>
        <w:rPr>
          <w:b/>
          <w:bCs/>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b/>
          <w:bCs/>
          <w:lang w:val="el" w:eastAsia="el"/>
        </w:rPr>
        <w:t>ε)</w:t>
      </w:r>
      <w:r>
        <w:rPr>
          <w:b/>
          <w:bCs/>
          <w:lang w:val="en" w:eastAsia="en"/>
        </w:rPr>
        <w:tab/>
      </w:r>
      <w:r>
        <w:rPr>
          <w:b/>
          <w:bCs/>
          <w:lang w:val="el" w:eastAsia="el"/>
        </w:rPr>
        <w:t>επιχειρήσεις έντασης μετρητών,</w:t>
      </w:r>
    </w:p>
    <w:p>
      <w:pPr>
        <w:pStyle w:val="StructureList1"/>
        <w:spacing w:before="120" w:after="0"/>
        <w:rPr>
          <w:lang w:val="el" w:eastAsia="el"/>
        </w:rPr>
      </w:pPr>
      <w:r>
        <w:rPr>
          <w:b/>
          <w:bCs/>
          <w:lang w:val="el" w:eastAsia="el"/>
        </w:rPr>
        <w:t>στ)</w:t>
      </w:r>
      <w:r>
        <w:rPr>
          <w:b/>
          <w:bCs/>
          <w:lang w:val="en" w:eastAsia="en"/>
        </w:rPr>
        <w:tab/>
      </w:r>
      <w:r>
        <w:rPr>
          <w:b/>
          <w:bCs/>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b/>
          <w:bCs/>
          <w:lang w:val="el" w:eastAsia="el"/>
        </w:rPr>
        <w:t>ζ)</w:t>
      </w:r>
      <w:r>
        <w:rPr>
          <w:b/>
          <w:bCs/>
          <w:lang w:val="en" w:eastAsia="en"/>
        </w:rPr>
        <w:tab/>
      </w:r>
      <w:r>
        <w:rPr>
          <w:b/>
          <w:bCs/>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b/>
          <w:bCs/>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b/>
          <w:bCs/>
          <w:lang w:val="el" w:eastAsia="el"/>
        </w:rPr>
        <w:t>α)</w:t>
      </w:r>
      <w:r>
        <w:rPr>
          <w:b/>
          <w:bCs/>
          <w:lang w:val="en" w:eastAsia="en"/>
        </w:rPr>
        <w:tab/>
      </w:r>
      <w:r>
        <w:rPr>
          <w:b/>
          <w:bCs/>
          <w:lang w:val="el" w:eastAsia="el"/>
        </w:rPr>
        <w:t>ιδιωτική τραπεζική,</w:t>
      </w:r>
    </w:p>
    <w:p>
      <w:pPr>
        <w:pStyle w:val="StructureList1"/>
        <w:spacing w:before="120" w:after="0"/>
        <w:rPr>
          <w:lang w:val="el" w:eastAsia="el"/>
        </w:rPr>
      </w:pPr>
      <w:r>
        <w:rPr>
          <w:b/>
          <w:bCs/>
          <w:lang w:val="el" w:eastAsia="el"/>
        </w:rPr>
        <w:t>β)</w:t>
      </w:r>
      <w:r>
        <w:rPr>
          <w:b/>
          <w:bCs/>
          <w:lang w:val="en" w:eastAsia="en"/>
        </w:rPr>
        <w:tab/>
      </w:r>
      <w:r>
        <w:rPr>
          <w:b/>
          <w:bCs/>
          <w:lang w:val="el" w:eastAsia="el"/>
        </w:rPr>
        <w:t>προϊόντα ή συναλλαγές που ευνοούν την ανωνυμία,</w:t>
      </w:r>
    </w:p>
    <w:p>
      <w:pPr>
        <w:pStyle w:val="StructureList1"/>
        <w:spacing w:before="120" w:after="0"/>
        <w:rPr>
          <w:lang w:val="el" w:eastAsia="el"/>
        </w:rPr>
      </w:pPr>
      <w:r>
        <w:rPr>
          <w:b/>
          <w:bCs/>
          <w:lang w:val="el" w:eastAsia="el"/>
        </w:rPr>
        <w:t>γ)</w:t>
      </w:r>
      <w:r>
        <w:rPr>
          <w:b/>
          <w:bCs/>
          <w:lang w:val="en" w:eastAsia="en"/>
        </w:rPr>
        <w:tab/>
      </w:r>
      <w:r>
        <w:rPr>
          <w:b/>
          <w:bCs/>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b/>
          <w:bCs/>
          <w:lang w:val="el" w:eastAsia="el"/>
        </w:rPr>
        <w:t>δ)</w:t>
      </w:r>
      <w:r>
        <w:rPr>
          <w:b/>
          <w:bCs/>
          <w:lang w:val="en" w:eastAsia="en"/>
        </w:rPr>
        <w:tab/>
      </w:r>
      <w:r>
        <w:rPr>
          <w:b/>
          <w:bCs/>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b/>
          <w:bCs/>
          <w:lang w:val="el" w:eastAsia="el"/>
        </w:rPr>
        <w:t>ε)</w:t>
      </w:r>
      <w:r>
        <w:rPr>
          <w:b/>
          <w:bCs/>
          <w:lang w:val="en" w:eastAsia="en"/>
        </w:rPr>
        <w:tab/>
      </w:r>
      <w:r>
        <w:rPr>
          <w:b/>
          <w:bCs/>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b/>
          <w:bCs/>
          <w:lang w:val="el" w:eastAsia="el"/>
        </w:rPr>
        <w:t>στ)</w:t>
      </w:r>
      <w:r>
        <w:rPr>
          <w:b/>
          <w:bCs/>
          <w:lang w:val="en" w:eastAsia="en"/>
        </w:rPr>
        <w:tab/>
      </w:r>
      <w:r>
        <w:rPr>
          <w:b/>
          <w:bCs/>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b/>
          <w:bCs/>
          <w:lang w:val="el" w:eastAsia="el"/>
        </w:rPr>
        <w:t xml:space="preserve"> Γεωγραφικοί παράγοντες κινδύνου:</w:t>
      </w:r>
    </w:p>
    <w:p>
      <w:pPr>
        <w:pStyle w:val="StructureList1"/>
        <w:spacing w:before="120" w:after="0"/>
        <w:rPr>
          <w:lang w:val="el" w:eastAsia="el"/>
        </w:rPr>
      </w:pPr>
      <w:r>
        <w:rPr>
          <w:b/>
          <w:bCs/>
          <w:lang w:val="el" w:eastAsia="el"/>
        </w:rPr>
        <w:t>α)</w:t>
      </w:r>
      <w:r>
        <w:rPr>
          <w:b/>
          <w:bCs/>
          <w:lang w:val="en" w:eastAsia="en"/>
        </w:rPr>
        <w:tab/>
      </w:r>
      <w:r>
        <w:rPr>
          <w:b/>
          <w:bCs/>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b/>
          <w:bCs/>
          <w:lang w:val="el" w:eastAsia="el"/>
        </w:rPr>
        <w:t>γ)</w:t>
      </w:r>
      <w:r>
        <w:rPr>
          <w:b/>
          <w:bCs/>
          <w:lang w:val="en" w:eastAsia="en"/>
        </w:rPr>
        <w:tab/>
      </w:r>
      <w:r>
        <w:rPr>
          <w:b/>
          <w:bCs/>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b/>
          <w:bCs/>
          <w:lang w:val="el" w:eastAsia="el"/>
        </w:rPr>
        <w:t>δ)</w:t>
      </w:r>
      <w:r>
        <w:rPr>
          <w:b/>
          <w:bCs/>
          <w:lang w:val="en" w:eastAsia="en"/>
        </w:rPr>
        <w:tab/>
      </w:r>
      <w:r>
        <w:rPr>
          <w:b/>
          <w:bCs/>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 </w:t>
      </w:r>
    </w:p>
    <w:p>
      <w:pPr>
        <w:spacing w:before="240" w:after="240"/>
        <w:rPr>
          <w:lang w:val="el" w:eastAsia="el"/>
        </w:rPr>
      </w:pPr>
      <w:r>
        <w:rPr>
          <w:b/>
          <w:bCs/>
          <w:lang w:val="el" w:eastAsia="el"/>
        </w:rPr>
        <w:t>Αθήνα, 30 Ιουλίου 2018</w:t>
      </w:r>
    </w:p>
    <w:p>
      <w:pPr>
        <w:spacing w:before="240" w:after="240"/>
        <w:rPr>
          <w:lang w:val="el" w:eastAsia="el"/>
        </w:rPr>
      </w:pPr>
      <w:r>
        <w:rPr>
          <w:b/>
          <w:bCs/>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 Αντιπρόεδρος της Κυβέρνησης και Υπουργός Οικονομίας και Ανάπτυξης</w:t>
      </w:r>
    </w:p>
    <w:p>
      <w:pPr>
        <w:spacing w:before="240" w:after="240"/>
        <w:rPr>
          <w:lang w:val="el" w:eastAsia="el"/>
        </w:rPr>
      </w:pPr>
      <w:r>
        <w:rPr>
          <w:b/>
          <w:bCs/>
          <w:lang w:val="el" w:eastAsia="el"/>
        </w:rPr>
        <w:t>ΙΩΑΝΝΗΣ ΔΡΑΓΑΣΑΚΗΣ</w:t>
      </w:r>
    </w:p>
    <w:p>
      <w:pPr>
        <w:spacing w:before="240" w:after="240"/>
        <w:rPr>
          <w:lang w:val="el" w:eastAsia="el"/>
        </w:rPr>
      </w:pPr>
      <w:r>
        <w:rPr>
          <w:b/>
          <w:bCs/>
          <w:lang w:val="el" w:eastAsia="el"/>
        </w:rPr>
        <w:t>Αναπληρωτής  Υπουργός Οικονομίας και Ανάπτυξης</w:t>
      </w:r>
    </w:p>
    <w:p>
      <w:pPr>
        <w:spacing w:before="240" w:after="240"/>
        <w:rPr>
          <w:lang w:val="el" w:eastAsia="el"/>
        </w:rPr>
      </w:pPr>
      <w:r>
        <w:rPr>
          <w:b/>
          <w:bCs/>
          <w:lang w:val="el" w:eastAsia="el"/>
        </w:rPr>
        <w:t>ΑΛΕΞΑΝΔΡΟΣ ΧΑΡΙΤΣΗΣ</w:t>
      </w:r>
    </w:p>
    <w:p>
      <w:pPr>
        <w:spacing w:before="240" w:after="240"/>
        <w:rPr>
          <w:lang w:val="el" w:eastAsia="el"/>
        </w:rPr>
      </w:pPr>
      <w:r>
        <w:rPr>
          <w:b/>
          <w:bCs/>
          <w:lang w:val="el" w:eastAsia="el"/>
        </w:rPr>
        <w:t>Αναπληρωτής  Υπουργός Εθνικής Άμυνας</w:t>
      </w:r>
    </w:p>
    <w:p>
      <w:pPr>
        <w:spacing w:before="240" w:after="240"/>
        <w:rPr>
          <w:lang w:val="el" w:eastAsia="el"/>
        </w:rPr>
      </w:pPr>
      <w:r>
        <w:rPr>
          <w:b/>
          <w:bCs/>
          <w:lang w:val="el" w:eastAsia="el"/>
        </w:rPr>
        <w:t>ΦΩΤΙΟΣ-ΦΑΝΟΥΡΙΟΣ ΚΟΥΒΕΛΗΣ</w:t>
      </w:r>
    </w:p>
    <w:p>
      <w:pPr>
        <w:spacing w:before="240" w:after="240"/>
        <w:rPr>
          <w:lang w:val="el" w:eastAsia="el"/>
        </w:rPr>
      </w:pPr>
      <w:r>
        <w:rPr>
          <w:b/>
          <w:bCs/>
          <w:lang w:val="el" w:eastAsia="el"/>
        </w:rPr>
        <w:t>Υφυπουργός Εργασίας, Κοινωνικής Ασφάλισης και Κοινωνικής Αλληλεγγύης</w:t>
      </w:r>
    </w:p>
    <w:p>
      <w:pPr>
        <w:spacing w:before="240" w:after="240"/>
        <w:rPr>
          <w:lang w:val="el" w:eastAsia="el"/>
        </w:rPr>
      </w:pPr>
      <w:r>
        <w:rPr>
          <w:b/>
          <w:bCs/>
          <w:lang w:val="el" w:eastAsia="el"/>
        </w:rPr>
        <w:t>ΑΝΑΣΤΑΣΙΟΣ ΠΕΤΡΟΠΟΥΛΟΣ</w:t>
      </w:r>
    </w:p>
    <w:p>
      <w:pPr>
        <w:spacing w:before="240" w:after="240"/>
        <w:rPr>
          <w:lang w:val="el" w:eastAsia="el"/>
        </w:rPr>
      </w:pPr>
      <w:r>
        <w:rPr>
          <w:b/>
          <w:bCs/>
          <w:lang w:val="el" w:eastAsia="el"/>
        </w:rPr>
        <w:t>Οικονομικών</w:t>
      </w:r>
    </w:p>
    <w:p>
      <w:pPr>
        <w:spacing w:before="240" w:after="240"/>
        <w:rPr>
          <w:lang w:val="el" w:eastAsia="el"/>
        </w:rPr>
      </w:pPr>
      <w:r>
        <w:rPr>
          <w:b/>
          <w:bCs/>
          <w:lang w:val="el" w:eastAsia="el"/>
        </w:rPr>
        <w:t>ΕΥΚΛΕΙΔΗΣ ΤΣΑΚΑΛΩΤΟΣ</w:t>
      </w:r>
    </w:p>
    <w:p>
      <w:pPr>
        <w:spacing w:before="240" w:after="240"/>
        <w:rPr>
          <w:lang w:val="el" w:eastAsia="el"/>
        </w:rPr>
      </w:pPr>
      <w:r>
        <w:rPr>
          <w:b/>
          <w:bCs/>
          <w:lang w:val="el" w:eastAsia="el"/>
        </w:rPr>
        <w:t>Υγείας</w:t>
      </w:r>
    </w:p>
    <w:p>
      <w:pPr>
        <w:spacing w:before="240" w:after="240"/>
        <w:rPr>
          <w:lang w:val="el" w:eastAsia="el"/>
        </w:rPr>
      </w:pPr>
      <w:r>
        <w:rPr>
          <w:b/>
          <w:bCs/>
          <w:lang w:val="el" w:eastAsia="el"/>
        </w:rPr>
        <w:t>ΑΝΔΡΕΑΣ ΞΑΝΘΟΣ</w:t>
      </w:r>
    </w:p>
    <w:p>
      <w:pPr>
        <w:spacing w:before="240" w:after="240"/>
        <w:rPr>
          <w:lang w:val="el" w:eastAsia="el"/>
        </w:rPr>
      </w:pPr>
      <w:r>
        <w:rPr>
          <w:b/>
          <w:bCs/>
          <w:lang w:val="el" w:eastAsia="el"/>
        </w:rPr>
        <w:t>Υποδομών και Μεταφορών</w:t>
      </w:r>
    </w:p>
    <w:p>
      <w:pPr>
        <w:spacing w:before="240" w:after="240"/>
        <w:rPr>
          <w:lang w:val="el" w:eastAsia="el"/>
        </w:rPr>
      </w:pPr>
      <w:r>
        <w:rPr>
          <w:b/>
          <w:bCs/>
          <w:lang w:val="el" w:eastAsia="el"/>
        </w:rPr>
        <w:t>ΧΡΗΣΤΟΣ ΣΠΙΡΤΖΗΣ</w:t>
      </w:r>
    </w:p>
    <w:p>
      <w:pPr>
        <w:spacing w:before="240" w:after="240"/>
        <w:rPr>
          <w:lang w:val="el" w:eastAsia="el"/>
        </w:rPr>
      </w:pPr>
      <w:r>
        <w:rPr>
          <w:b/>
          <w:bCs/>
          <w:lang w:val="el" w:eastAsia="el"/>
        </w:rPr>
        <w:t>Αγροτικής  Ανάπτυξης και Τροφίμων</w:t>
      </w:r>
    </w:p>
    <w:p>
      <w:pPr>
        <w:spacing w:before="240" w:after="240"/>
        <w:rPr>
          <w:lang w:val="el" w:eastAsia="el"/>
        </w:rPr>
      </w:pPr>
      <w:r>
        <w:rPr>
          <w:b/>
          <w:bCs/>
          <w:lang w:val="el" w:eastAsia="el"/>
        </w:rPr>
        <w:t>ΕΥΑΓΓΕΛΟΣ ΑΠΟΣΤΟΛΟΥ</w:t>
      </w:r>
    </w:p>
    <w:p>
      <w:pPr>
        <w:spacing w:before="240" w:after="240"/>
        <w:rPr>
          <w:lang w:val="el" w:eastAsia="el"/>
        </w:rPr>
      </w:pPr>
      <w:r>
        <w:rPr>
          <w:b/>
          <w:bCs/>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b/>
          <w:bCs/>
          <w:lang w:val="el" w:eastAsia="el"/>
        </w:rPr>
        <w:t>Ψηφιακής Πολιτικής, Τηλεπικοινωνιών και Ενημέρωσης</w:t>
      </w:r>
    </w:p>
    <w:p>
      <w:pPr>
        <w:spacing w:before="240" w:after="240"/>
        <w:rPr>
          <w:lang w:val="el" w:eastAsia="el"/>
        </w:rPr>
      </w:pPr>
      <w:r>
        <w:rPr>
          <w:b/>
          <w:bCs/>
          <w:lang w:val="el" w:eastAsia="el"/>
        </w:rPr>
        <w:t>ΝΙΚΟΛΑΟΣ ΠΑΠΠΑΣ</w:t>
      </w:r>
    </w:p>
    <w:p>
      <w:pPr>
        <w:spacing w:before="240" w:after="240"/>
        <w:rPr>
          <w:lang w:val="el" w:eastAsia="el"/>
        </w:rPr>
      </w:pPr>
      <w:r>
        <w:rPr>
          <w:b/>
          <w:bCs/>
          <w:lang w:val="el" w:eastAsia="el"/>
        </w:rPr>
        <w:t>Παιδείας, Έρευνας και Θρησκευμάτων</w:t>
      </w:r>
    </w:p>
    <w:p>
      <w:pPr>
        <w:spacing w:before="240" w:after="240"/>
        <w:rPr>
          <w:lang w:val="el" w:eastAsia="el"/>
        </w:rPr>
      </w:pPr>
      <w:r>
        <w:rPr>
          <w:b/>
          <w:bCs/>
          <w:lang w:val="el" w:eastAsia="el"/>
        </w:rPr>
        <w:t>ΚΩΝΣΤΑΝΤΙΝΟΣ ΓΑΒΡΟΓΛΟΥ</w:t>
      </w:r>
    </w:p>
    <w:p>
      <w:pPr>
        <w:spacing w:before="240" w:after="240"/>
        <w:rPr>
          <w:lang w:val="el" w:eastAsia="el"/>
        </w:rPr>
      </w:pPr>
      <w:r>
        <w:rPr>
          <w:b/>
          <w:bCs/>
          <w:lang w:val="el" w:eastAsia="el"/>
        </w:rPr>
        <w:t>Εξωτερικών</w:t>
      </w:r>
    </w:p>
    <w:p>
      <w:pPr>
        <w:spacing w:before="240" w:after="240"/>
        <w:rPr>
          <w:lang w:val="el" w:eastAsia="el"/>
        </w:rPr>
      </w:pPr>
      <w:r>
        <w:rPr>
          <w:b/>
          <w:bCs/>
          <w:lang w:val="el" w:eastAsia="el"/>
        </w:rPr>
        <w:t>ΝΙΚΟΛΑΟΣ ΚΟΤΖΙΑΣ</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b/>
          <w:bCs/>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b/>
          <w:bCs/>
          <w:lang w:val="el" w:eastAsia="el"/>
        </w:rPr>
        <w:t>Μεταναστευτικής Πολιτικής</w:t>
      </w:r>
    </w:p>
    <w:p>
      <w:pPr>
        <w:spacing w:before="240" w:after="240"/>
        <w:rPr>
          <w:lang w:val="el" w:eastAsia="el"/>
        </w:rPr>
      </w:pPr>
      <w:r>
        <w:rPr>
          <w:b/>
          <w:bCs/>
          <w:lang w:val="el" w:eastAsia="el"/>
        </w:rPr>
        <w:t>ΔΗΜΗΤΡΙΟΣ ΒΙΤΣΑΣ</w:t>
      </w:r>
    </w:p>
    <w:p>
      <w:pPr>
        <w:spacing w:before="240" w:after="240"/>
        <w:rPr>
          <w:lang w:val="el" w:eastAsia="el"/>
        </w:rPr>
      </w:pPr>
      <w:r>
        <w:rPr>
          <w:b/>
          <w:bCs/>
          <w:lang w:val="el" w:eastAsia="el"/>
        </w:rPr>
        <w:t>Τουρισμού</w:t>
      </w:r>
    </w:p>
    <w:p>
      <w:pPr>
        <w:spacing w:before="240" w:after="240"/>
        <w:rPr>
          <w:lang w:val="el" w:eastAsia="el"/>
        </w:rPr>
      </w:pPr>
      <w:r>
        <w:rPr>
          <w:b/>
          <w:bCs/>
          <w:lang w:val="el" w:eastAsia="el"/>
        </w:rPr>
        <w:t>ΕΛΕΝΑ ΚΟΥΝΤΟΥΡΑ</w:t>
      </w:r>
    </w:p>
    <w:p>
      <w:pPr>
        <w:spacing w:before="240" w:after="240"/>
        <w:rPr>
          <w:lang w:val="el" w:eastAsia="el"/>
        </w:rPr>
      </w:pPr>
      <w:r>
        <w:rPr>
          <w:b/>
          <w:bCs/>
          <w:lang w:val="el" w:eastAsia="el"/>
        </w:rPr>
        <w:t>Αναπληρωτής Υπουργός Εσωτερικών</w:t>
      </w:r>
    </w:p>
    <w:p>
      <w:pPr>
        <w:spacing w:before="240" w:after="240"/>
        <w:rPr>
          <w:lang w:val="el" w:eastAsia="el"/>
        </w:rPr>
      </w:pPr>
      <w:r>
        <w:rPr>
          <w:b/>
          <w:bCs/>
          <w:lang w:val="el" w:eastAsia="el"/>
        </w:rPr>
        <w:t>ΝΙΚΟΛΑΟΣ ΤΟΣΚΑΣ</w:t>
      </w:r>
    </w:p>
    <w:p>
      <w:pPr>
        <w:spacing w:before="240" w:after="240"/>
        <w:rPr>
          <w:lang w:val="el" w:eastAsia="el"/>
        </w:rPr>
      </w:pPr>
      <w:r>
        <w:rPr>
          <w:b/>
          <w:bCs/>
          <w:lang w:val="el" w:eastAsia="el"/>
        </w:rPr>
        <w:t>Εθνικής Άμυνας</w:t>
      </w:r>
    </w:p>
    <w:p>
      <w:pPr>
        <w:spacing w:before="240" w:after="240"/>
        <w:rPr>
          <w:lang w:val="el" w:eastAsia="el"/>
        </w:rPr>
      </w:pPr>
      <w:r>
        <w:rPr>
          <w:b/>
          <w:bCs/>
          <w:lang w:val="el" w:eastAsia="el"/>
        </w:rPr>
        <w:t>ΠΑΝΑΓΙΩΤΗΣ ΚΑΜΜΕΝΟΣ</w:t>
      </w:r>
    </w:p>
    <w:p>
      <w:pPr>
        <w:spacing w:before="240" w:after="240"/>
        <w:rPr>
          <w:lang w:val="el" w:eastAsia="el"/>
        </w:rPr>
      </w:pPr>
      <w:r>
        <w:rPr>
          <w:b/>
          <w:bCs/>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b/>
          <w:bCs/>
          <w:lang w:val="el" w:eastAsia="el"/>
        </w:rPr>
        <w:t>Δικαιοσύνης, Διαφάνειας και Ανθρωπίνων Δικαιωμάτων</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Πολιτισμού και Αθλητισμού</w:t>
      </w:r>
    </w:p>
    <w:p>
      <w:pPr>
        <w:spacing w:before="240" w:after="240"/>
        <w:rPr>
          <w:lang w:val="el" w:eastAsia="el"/>
        </w:rPr>
      </w:pPr>
      <w:r>
        <w:rPr>
          <w:b/>
          <w:bCs/>
          <w:lang w:val="el" w:eastAsia="el"/>
        </w:rPr>
        <w:t>ΛΥΔΙΑ ΚΟΝΙΟΡΔΟΥ</w:t>
      </w:r>
    </w:p>
    <w:p>
      <w:pPr>
        <w:spacing w:before="240" w:after="240"/>
        <w:rPr>
          <w:lang w:val="el" w:eastAsia="el"/>
        </w:rPr>
      </w:pPr>
      <w:r>
        <w:rPr>
          <w:b/>
          <w:bCs/>
          <w:lang w:val="el" w:eastAsia="el"/>
        </w:rPr>
        <w:t>Ναυτιλίας και Νησιωτικής Πολιτικής</w:t>
      </w:r>
    </w:p>
    <w:p>
      <w:pPr>
        <w:spacing w:before="240" w:after="240"/>
        <w:rPr>
          <w:lang w:val="el" w:eastAsia="el"/>
        </w:rPr>
      </w:pPr>
      <w:r>
        <w:rPr>
          <w:b/>
          <w:bCs/>
          <w:lang w:val="el" w:eastAsia="el"/>
        </w:rPr>
        <w:t>ΠΑΝΑΓΙΩΤΗΣ ΚΟΥΡΟΥΜΠΛΗΣ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30 Ιουλίου 2018</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16" w:history="1">
        <w:r>
          <w:rPr>
            <w:rStyle w:val="Hyperlink"/>
            <w:color w:val="0000EE"/>
            <w:u w:color="0000EE"/>
            <w:lang w:val="el" w:eastAsia="el"/>
          </w:rPr>
          <w:t>Προσθήκη 5193/2025, Άρθρο 116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59" w:history="1">
        <w:r>
          <w:rPr>
            <w:rStyle w:val="Hyperlink"/>
            <w:color w:val="0000EE"/>
            <w:u w:color="0000EE"/>
            <w:lang w:val="el" w:eastAsia="el"/>
          </w:rPr>
          <w:t>Τροποποίηση 4701/2020,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6" w:history="1">
        <w:r>
          <w:rPr>
            <w:rStyle w:val="Hyperlink"/>
            <w:color w:val="0000EE"/>
            <w:u w:color="0000EE"/>
            <w:lang w:val="el" w:eastAsia="el"/>
          </w:rPr>
          <w:t>Τροποποίηση 5193/2025, Άρθρο 116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4" w:anchor="art_62" w:history="1">
        <w:r>
          <w:rPr>
            <w:rStyle w:val="Hyperlink"/>
            <w:color w:val="0000EE"/>
            <w:u w:color="0000EE"/>
            <w:lang w:val="el" w:eastAsia="el"/>
          </w:rPr>
          <w:t>Τροποποίηση 4607/2019, Άρθρο 62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4920/2022, Άρθρο 55</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6" w:history="1">
        <w:r>
          <w:rPr>
            <w:rStyle w:val="Hyperlink"/>
            <w:color w:val="0000EE"/>
            <w:u w:color="0000EE"/>
            <w:lang w:val="el" w:eastAsia="el"/>
          </w:rPr>
          <w:t>Τροποποίηση 5193/2025, Άρθρο 116</w:t>
        </w:r>
      </w:hyperlink>
      <w:r>
        <w:rPr>
          <w:lang w:val="el" w:eastAsia="el"/>
        </w:rPr>
        <w:t>; Προσθήκη 4734/2020, Άρθρο 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6" w:history="1">
        <w:r>
          <w:rPr>
            <w:rStyle w:val="Hyperlink"/>
            <w:color w:val="0000EE"/>
            <w:u w:color="0000EE"/>
            <w:lang w:val="el" w:eastAsia="el"/>
          </w:rPr>
          <w:t>Τροποποίηση 5193/2025, Άρθρο 116</w:t>
        </w:r>
      </w:hyperlink>
      <w:r>
        <w:rPr>
          <w:lang w:val="el" w:eastAsia="el"/>
        </w:rPr>
        <w:t>; Προσθήκη 4734/2020, Άρθρο 2</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6" w:history="1">
        <w:r>
          <w:rPr>
            <w:rStyle w:val="Hyperlink"/>
            <w:color w:val="0000EE"/>
            <w:u w:color="0000EE"/>
            <w:lang w:val="el" w:eastAsia="el"/>
          </w:rPr>
          <w:t>Προσθήκη 5193/2025, Άρθρο 116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0" w:history="1">
        <w:r>
          <w:rPr>
            <w:rStyle w:val="Hyperlink"/>
            <w:color w:val="0000EE"/>
            <w:u w:color="0000EE"/>
            <w:lang w:val="el" w:eastAsia="el"/>
          </w:rPr>
          <w:t>Τροποποίηση 5039/2023, Άρθρο 70</w:t>
        </w:r>
      </w:hyperlink>
      <w:r>
        <w:rPr>
          <w:lang w:val="el" w:eastAsia="el"/>
        </w:rPr>
        <w:t xml:space="preserve">; </w:t>
      </w:r>
      <w:hyperlink r:id="rId27"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 w:history="1">
        <w:r>
          <w:rPr>
            <w:rStyle w:val="Hyperlink"/>
            <w:color w:val="0000EE"/>
            <w:u w:color="0000EE"/>
            <w:lang w:val="el" w:eastAsia="el"/>
          </w:rPr>
          <w:t>Τροποποίηση 4816/2021, Άρθρο 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 w:history="1">
        <w:r>
          <w:rPr>
            <w:rStyle w:val="Hyperlink"/>
            <w:color w:val="0000EE"/>
            <w:u w:color="0000EE"/>
            <w:lang w:val="el" w:eastAsia="el"/>
          </w:rPr>
          <w:t>Τροποποίηση 4816/2021, Άρθρο 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 w:history="1">
        <w:r>
          <w:rPr>
            <w:rStyle w:val="Hyperlink"/>
            <w:color w:val="0000EE"/>
            <w:u w:color="0000EE"/>
            <w:lang w:val="el" w:eastAsia="el"/>
          </w:rPr>
          <w:t>Τροποποίηση 4816/2021, Άρθρο 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 w:history="1">
        <w:r>
          <w:rPr>
            <w:rStyle w:val="Hyperlink"/>
            <w:color w:val="0000EE"/>
            <w:u w:color="0000EE"/>
            <w:lang w:val="el" w:eastAsia="el"/>
          </w:rPr>
          <w:t>Τροποποίηση 4816/2021, Άρθρο 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 w:history="1">
        <w:r>
          <w:rPr>
            <w:rStyle w:val="Hyperlink"/>
            <w:color w:val="0000EE"/>
            <w:u w:color="0000EE"/>
            <w:lang w:val="el" w:eastAsia="el"/>
          </w:rPr>
          <w:t>Τροποποίηση 4816/2021, Άρθρο 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4816/2021, Άρθρο 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5232/2025, Άρθρο 15</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26" w:history="1">
        <w:r>
          <w:rPr>
            <w:rStyle w:val="Hyperlink"/>
            <w:color w:val="0000EE"/>
            <w:u w:color="0000EE"/>
            <w:lang w:val="el" w:eastAsia="el"/>
          </w:rPr>
          <w:t>Αφαίρεση 5193/2025, Άρθρο 126</w:t>
        </w:r>
      </w:hyperlink>
      <w:r>
        <w:rPr>
          <w:lang w:val="el" w:eastAsia="el"/>
        </w:rPr>
        <w:t>; Τροποποίηση 4734/2020, Άρθρο 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26" w:history="1">
        <w:r>
          <w:rPr>
            <w:rStyle w:val="Hyperlink"/>
            <w:color w:val="0000EE"/>
            <w:u w:color="0000EE"/>
            <w:lang w:val="el" w:eastAsia="el"/>
          </w:rPr>
          <w:t>Αφαίρεση 5193/2025, Άρθρο 126</w:t>
        </w:r>
      </w:hyperlink>
      <w:r>
        <w:rPr>
          <w:lang w:val="el" w:eastAsia="el"/>
        </w:rPr>
        <w:t>; Τροποποίηση 4734/2020, Άρθρο 4</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8" w:history="1">
        <w:r>
          <w:rPr>
            <w:rStyle w:val="Hyperlink"/>
            <w:color w:val="0000EE"/>
            <w:u w:color="0000EE"/>
            <w:lang w:val="el" w:eastAsia="el"/>
          </w:rPr>
          <w:t>Τροποποίηση 5042/2023, Άρθρο 58</w:t>
        </w:r>
      </w:hyperlink>
      <w:r>
        <w:rPr>
          <w:lang w:val="el" w:eastAsia="el"/>
        </w:rPr>
        <w:t>; Τροποποίηση 4734/2020, Άρθρο 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47" w:anchor="art_59" w:history="1">
        <w:r>
          <w:rPr>
            <w:rStyle w:val="Hyperlink"/>
            <w:color w:val="0000EE"/>
            <w:u w:color="0000EE"/>
            <w:lang w:val="el" w:eastAsia="el"/>
          </w:rPr>
          <w:t>Τροποποίηση 4701/2020,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17" w:history="1">
        <w:r>
          <w:rPr>
            <w:rStyle w:val="Hyperlink"/>
            <w:color w:val="0000EE"/>
            <w:u w:color="0000EE"/>
            <w:lang w:val="el" w:eastAsia="el"/>
          </w:rPr>
          <w:t>Προσθήκη 5193/2025, Άρθρο 117</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17" w:history="1">
        <w:r>
          <w:rPr>
            <w:rStyle w:val="Hyperlink"/>
            <w:color w:val="0000EE"/>
            <w:u w:color="0000EE"/>
            <w:lang w:val="el" w:eastAsia="el"/>
          </w:rPr>
          <w:t>Τροποποίηση 5193/2025, Άρθρο 117</w:t>
        </w:r>
      </w:hyperlink>
      <w:r>
        <w:rPr>
          <w:lang w:val="el" w:eastAsia="el"/>
        </w:rPr>
        <w:t>; Προσθήκη 4734/2020, Άρθρο 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7" w:history="1">
        <w:r>
          <w:rPr>
            <w:rStyle w:val="Hyperlink"/>
            <w:color w:val="0000EE"/>
            <w:u w:color="0000EE"/>
            <w:lang w:val="el" w:eastAsia="el"/>
          </w:rPr>
          <w:t>Αφαίρεση 5193/2025, Άρθρο 117</w:t>
        </w:r>
      </w:hyperlink>
      <w:r>
        <w:rPr>
          <w:lang w:val="el" w:eastAsia="el"/>
        </w:rPr>
        <w:t>; Τροποποίηση 4734/2020, Άρθρο 5</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7" w:history="1">
        <w:r>
          <w:rPr>
            <w:rStyle w:val="Hyperlink"/>
            <w:color w:val="0000EE"/>
            <w:u w:color="0000EE"/>
            <w:lang w:val="el" w:eastAsia="el"/>
          </w:rPr>
          <w:t>Προσθήκη 5193/2025, Άρθρο 117</w:t>
        </w:r>
      </w:hyperlink>
      <w:r>
        <w:rPr>
          <w:lang w:val="el" w:eastAsia="el"/>
        </w:rPr>
        <w:t>; Τροποποίηση 4734/2020, Άρθρο 5</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96" w:history="1">
        <w:r>
          <w:rPr>
            <w:rStyle w:val="Hyperlink"/>
            <w:color w:val="0000EE"/>
            <w:u w:color="0000EE"/>
            <w:lang w:val="el" w:eastAsia="el"/>
          </w:rPr>
          <w:t>Τροποποίηση 5193/2025, Άρθρο 196</w:t>
        </w:r>
      </w:hyperlink>
      <w:r>
        <w:rPr>
          <w:lang w:val="el" w:eastAsia="el"/>
        </w:rPr>
        <w:t>; Προσθήκη 4734/2020, Άρθρο 6</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97" w:history="1">
        <w:r>
          <w:rPr>
            <w:rStyle w:val="Hyperlink"/>
            <w:color w:val="0000EE"/>
            <w:u w:color="0000EE"/>
            <w:lang w:val="el" w:eastAsia="el"/>
          </w:rPr>
          <w:t>Τροποποίηση 5193/2025, Άρθρο 197</w:t>
        </w:r>
      </w:hyperlink>
      <w:r>
        <w:rPr>
          <w:lang w:val="el" w:eastAsia="el"/>
        </w:rPr>
        <w:t>; 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97" w:history="1">
        <w:r>
          <w:rPr>
            <w:rStyle w:val="Hyperlink"/>
            <w:color w:val="0000EE"/>
            <w:u w:color="0000EE"/>
            <w:lang w:val="el" w:eastAsia="el"/>
          </w:rPr>
          <w:t>Τροποποίηση 5193/2025, Άρθρο 197</w:t>
        </w:r>
      </w:hyperlink>
      <w:r>
        <w:rPr>
          <w:lang w:val="el" w:eastAsia="el"/>
        </w:rPr>
        <w:t>; 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97" w:history="1">
        <w:r>
          <w:rPr>
            <w:rStyle w:val="Hyperlink"/>
            <w:color w:val="0000EE"/>
            <w:u w:color="0000EE"/>
            <w:lang w:val="el" w:eastAsia="el"/>
          </w:rPr>
          <w:t>Τροποποίηση 5193/2025, Άρθρο 197</w:t>
        </w:r>
      </w:hyperlink>
      <w:r>
        <w:rPr>
          <w:lang w:val="el" w:eastAsia="el"/>
        </w:rPr>
        <w:t>; 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78" w:history="1">
        <w:r>
          <w:rPr>
            <w:rStyle w:val="Hyperlink"/>
            <w:color w:val="0000EE"/>
            <w:u w:color="0000EE"/>
            <w:lang w:val="el" w:eastAsia="el"/>
          </w:rPr>
          <w:t>Τροποποίηση 4583/2018, Άρθρο 78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4704/2020, Άρθρο 18</w:t>
        </w:r>
      </w:hyperlink>
      <w:r>
        <w:rPr>
          <w:lang w:val="el" w:eastAsia="el"/>
        </w:rPr>
        <w:t xml:space="preserve">; </w:t>
      </w:r>
      <w:hyperlink r:id="rId58" w:anchor="art_62" w:history="1">
        <w:r>
          <w:rPr>
            <w:rStyle w:val="Hyperlink"/>
            <w:color w:val="0000EE"/>
            <w:u w:color="0000EE"/>
            <w:lang w:val="el" w:eastAsia="el"/>
          </w:rPr>
          <w:t>Τροποποίηση 4607/2019, Άρθρο 62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5072/2023, Άρθρο 63</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18" w:history="1">
        <w:r>
          <w:rPr>
            <w:rStyle w:val="Hyperlink"/>
            <w:color w:val="0000EE"/>
            <w:u w:color="0000EE"/>
            <w:lang w:val="el" w:eastAsia="el"/>
          </w:rPr>
          <w:t>Τροποποίηση 5193/2025, Άρθρο 118</w:t>
        </w:r>
      </w:hyperlink>
      <w:r>
        <w:rPr>
          <w:lang w:val="el" w:eastAsia="el"/>
        </w:rPr>
        <w:t>; Τροποποίηση 4734/2020, Άρθρο 9</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18" w:history="1">
        <w:r>
          <w:rPr>
            <w:rStyle w:val="Hyperlink"/>
            <w:color w:val="0000EE"/>
            <w:u w:color="0000EE"/>
            <w:lang w:val="el" w:eastAsia="el"/>
          </w:rPr>
          <w:t>Προσθήκη 5193/2025, Άρθρο 118</w:t>
        </w:r>
      </w:hyperlink>
      <w:r>
        <w:rPr>
          <w:lang w:val="el" w:eastAsia="el"/>
        </w:rPr>
        <w:t>; Τροποποίηση 4734/2020, Άρθρο 9</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18" w:history="1">
        <w:r>
          <w:rPr>
            <w:rStyle w:val="Hyperlink"/>
            <w:color w:val="0000EE"/>
            <w:u w:color="0000EE"/>
            <w:lang w:val="el" w:eastAsia="el"/>
          </w:rPr>
          <w:t>Προσθήκη 5193/2025, Άρθρο 118</w:t>
        </w:r>
      </w:hyperlink>
      <w:r>
        <w:rPr>
          <w:lang w:val="el" w:eastAsia="el"/>
        </w:rPr>
        <w:t>; Τροποποίηση 4734/2020, Άρθρο 9</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19" w:history="1">
        <w:r>
          <w:rPr>
            <w:rStyle w:val="Hyperlink"/>
            <w:color w:val="0000EE"/>
            <w:u w:color="0000EE"/>
            <w:lang w:val="el" w:eastAsia="el"/>
          </w:rPr>
          <w:t>Τροποποίηση 5193/2025, Άρθρο 119</w:t>
        </w:r>
      </w:hyperlink>
      <w:r>
        <w:rPr>
          <w:lang w:val="el" w:eastAsia="el"/>
        </w:rPr>
        <w:t>; Τροποποίηση 4734/2020, Άρθρο 11</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20" w:history="1">
        <w:r>
          <w:rPr>
            <w:rStyle w:val="Hyperlink"/>
            <w:b/>
            <w:bCs/>
            <w:color w:val="0000EE"/>
            <w:u w:color="0000EE"/>
            <w:lang w:val="el" w:eastAsia="el"/>
          </w:rPr>
          <w:t>Προσθήκη 5193/2025, Άρθρο 120</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20" w:history="1">
        <w:r>
          <w:rPr>
            <w:rStyle w:val="Hyperlink"/>
            <w:b/>
            <w:bCs/>
            <w:color w:val="0000EE"/>
            <w:u w:color="0000EE"/>
            <w:lang w:val="el" w:eastAsia="el"/>
          </w:rPr>
          <w:t>Προσθήκη 5193/2025, Άρθρο 120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20" w:history="1">
        <w:r>
          <w:rPr>
            <w:rStyle w:val="Hyperlink"/>
            <w:b/>
            <w:bCs/>
            <w:color w:val="0000EE"/>
            <w:u w:color="0000EE"/>
            <w:lang w:val="el" w:eastAsia="el"/>
          </w:rPr>
          <w:t>Προσθήκη 5193/2025, Άρθρο 120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20" w:history="1">
        <w:r>
          <w:rPr>
            <w:rStyle w:val="Hyperlink"/>
            <w:b/>
            <w:bCs/>
            <w:color w:val="0000EE"/>
            <w:u w:color="0000EE"/>
            <w:lang w:val="el" w:eastAsia="el"/>
          </w:rPr>
          <w:t>Προσθήκη 5193/2025, Άρθρο 120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20" w:history="1">
        <w:r>
          <w:rPr>
            <w:rStyle w:val="Hyperlink"/>
            <w:b/>
            <w:bCs/>
            <w:color w:val="0000EE"/>
            <w:u w:color="0000EE"/>
            <w:lang w:val="el" w:eastAsia="el"/>
          </w:rPr>
          <w:t>Προσθήκη 5193/2025, Άρθρο 120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20" w:history="1">
        <w:r>
          <w:rPr>
            <w:rStyle w:val="Hyperlink"/>
            <w:b/>
            <w:bCs/>
            <w:color w:val="0000EE"/>
            <w:u w:color="0000EE"/>
            <w:lang w:val="el" w:eastAsia="el"/>
          </w:rPr>
          <w:t>Προσθήκη 5193/2025, Άρθρο 120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20" w:history="1">
        <w:r>
          <w:rPr>
            <w:rStyle w:val="Hyperlink"/>
            <w:b/>
            <w:bCs/>
            <w:color w:val="0000EE"/>
            <w:u w:color="0000EE"/>
            <w:lang w:val="el" w:eastAsia="el"/>
          </w:rPr>
          <w:t>Προσθήκη 5193/2025, Άρθρο 120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20" w:history="1">
        <w:r>
          <w:rPr>
            <w:rStyle w:val="Hyperlink"/>
            <w:b/>
            <w:bCs/>
            <w:color w:val="0000EE"/>
            <w:u w:color="0000EE"/>
            <w:lang w:val="el" w:eastAsia="el"/>
          </w:rPr>
          <w:t>Προσθήκη 5193/2025, Άρθρο 120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20" w:history="1">
        <w:r>
          <w:rPr>
            <w:rStyle w:val="Hyperlink"/>
            <w:b/>
            <w:bCs/>
            <w:color w:val="0000EE"/>
            <w:u w:color="0000EE"/>
            <w:lang w:val="el" w:eastAsia="el"/>
          </w:rPr>
          <w:t>Προσθήκη 5193/2025, Άρθρο 120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21" w:history="1">
        <w:r>
          <w:rPr>
            <w:rStyle w:val="Hyperlink"/>
            <w:b/>
            <w:bCs/>
            <w:color w:val="0000EE"/>
            <w:u w:color="0000EE"/>
            <w:lang w:val="el" w:eastAsia="el"/>
          </w:rPr>
          <w:t>Προσθήκη 5193/2025, Άρθρο 121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1" w:history="1">
        <w:r>
          <w:rPr>
            <w:rStyle w:val="Hyperlink"/>
            <w:b/>
            <w:bCs/>
            <w:color w:val="0000EE"/>
            <w:u w:color="0000EE"/>
            <w:lang w:val="el" w:eastAsia="el"/>
          </w:rPr>
          <w:t>Προσθήκη 5193/2025, Άρθρο 121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21" w:history="1">
        <w:r>
          <w:rPr>
            <w:rStyle w:val="Hyperlink"/>
            <w:b/>
            <w:bCs/>
            <w:color w:val="0000EE"/>
            <w:u w:color="0000EE"/>
            <w:lang w:val="el" w:eastAsia="el"/>
          </w:rPr>
          <w:t>Προσθήκη 5193/2025, Άρθρο 121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21" w:history="1">
        <w:r>
          <w:rPr>
            <w:rStyle w:val="Hyperlink"/>
            <w:b/>
            <w:bCs/>
            <w:color w:val="0000EE"/>
            <w:u w:color="0000EE"/>
            <w:lang w:val="el" w:eastAsia="el"/>
          </w:rPr>
          <w:t>Προσθήκη 5193/2025, Άρθρο 121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21" w:history="1">
        <w:r>
          <w:rPr>
            <w:rStyle w:val="Hyperlink"/>
            <w:b/>
            <w:bCs/>
            <w:color w:val="0000EE"/>
            <w:u w:color="0000EE"/>
            <w:lang w:val="el" w:eastAsia="el"/>
          </w:rPr>
          <w:t>Προσθήκη 5193/2025, Άρθρο 121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21" w:history="1">
        <w:r>
          <w:rPr>
            <w:rStyle w:val="Hyperlink"/>
            <w:b/>
            <w:bCs/>
            <w:color w:val="0000EE"/>
            <w:u w:color="0000EE"/>
            <w:lang w:val="el" w:eastAsia="el"/>
          </w:rPr>
          <w:t>Προσθήκη 5193/2025, Άρθρο 121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21" w:history="1">
        <w:r>
          <w:rPr>
            <w:rStyle w:val="Hyperlink"/>
            <w:b/>
            <w:bCs/>
            <w:color w:val="0000EE"/>
            <w:u w:color="0000EE"/>
            <w:lang w:val="el" w:eastAsia="el"/>
          </w:rPr>
          <w:t>Προσθήκη 5193/2025, Άρθρο 121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21" w:history="1">
        <w:r>
          <w:rPr>
            <w:rStyle w:val="Hyperlink"/>
            <w:b/>
            <w:bCs/>
            <w:color w:val="0000EE"/>
            <w:u w:color="0000EE"/>
            <w:lang w:val="el" w:eastAsia="el"/>
          </w:rPr>
          <w:t>Προσθήκη 5193/2025, Άρθρο 121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21" w:history="1">
        <w:r>
          <w:rPr>
            <w:rStyle w:val="Hyperlink"/>
            <w:b/>
            <w:bCs/>
            <w:color w:val="0000EE"/>
            <w:u w:color="0000EE"/>
            <w:lang w:val="el" w:eastAsia="el"/>
          </w:rPr>
          <w:t>Προσθήκη 5193/2025, Άρθρο 121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21" w:history="1">
        <w:r>
          <w:rPr>
            <w:rStyle w:val="Hyperlink"/>
            <w:b/>
            <w:bCs/>
            <w:color w:val="0000EE"/>
            <w:u w:color="0000EE"/>
            <w:lang w:val="el" w:eastAsia="el"/>
          </w:rPr>
          <w:t>Προσθήκη 5193/2025, Άρθρο 121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14</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14</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15</w:t>
      </w:r>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15</w:t>
      </w:r>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98" w:history="1">
        <w:r>
          <w:rPr>
            <w:rStyle w:val="Hyperlink"/>
            <w:b/>
            <w:bCs/>
            <w:color w:val="0000EE"/>
            <w:u w:color="0000EE"/>
            <w:lang w:val="el" w:eastAsia="el"/>
          </w:rPr>
          <w:t>Τροποποίηση 5193/2025, Άρθρο 198</w:t>
        </w:r>
      </w:hyperlink>
      <w:r>
        <w:rPr>
          <w:b/>
          <w:bCs/>
          <w:lang w:val="el" w:eastAsia="el"/>
        </w:rPr>
        <w:t xml:space="preserve">; </w:t>
      </w:r>
      <w:hyperlink r:id="rId84"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08"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10"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12"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14"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52" w:history="1">
        <w:r>
          <w:rPr>
            <w:rStyle w:val="Hyperlink"/>
            <w:b/>
            <w:bCs/>
            <w:color w:val="0000EE"/>
            <w:u w:color="0000EE"/>
            <w:lang w:val="el" w:eastAsia="el"/>
          </w:rPr>
          <w:t>Τροποποίηση 5000/2022, Άρθρο 52</w:t>
        </w:r>
      </w:hyperlink>
      <w:r>
        <w:rPr>
          <w:b/>
          <w:bCs/>
          <w:lang w:val="el" w:eastAsia="el"/>
        </w:rPr>
        <w:t xml:space="preserve">; </w:t>
      </w:r>
      <w:hyperlink r:id="rId116"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98" w:history="1">
        <w:r>
          <w:rPr>
            <w:rStyle w:val="Hyperlink"/>
            <w:b/>
            <w:bCs/>
            <w:color w:val="0000EE"/>
            <w:u w:color="0000EE"/>
            <w:lang w:val="el" w:eastAsia="el"/>
          </w:rPr>
          <w:t>Τροποποίηση 5193/2025, Άρθρο 198</w:t>
        </w:r>
      </w:hyperlink>
      <w:r>
        <w:rPr>
          <w:b/>
          <w:bCs/>
          <w:lang w:val="el" w:eastAsia="el"/>
        </w:rPr>
        <w:t xml:space="preserve">; </w:t>
      </w:r>
      <w:hyperlink r:id="rId118" w:anchor="art_80" w:history="1">
        <w:r>
          <w:rPr>
            <w:rStyle w:val="Hyperlink"/>
            <w:b/>
            <w:bCs/>
            <w:color w:val="0000EE"/>
            <w:u w:color="0000EE"/>
            <w:lang w:val="el" w:eastAsia="el"/>
          </w:rPr>
          <w:t>Τροποποίηση 4941/2022, Άρθρο 80</w:t>
        </w:r>
      </w:hyperlink>
      <w:r>
        <w:rPr>
          <w:b/>
          <w:bCs/>
          <w:lang w:val="el" w:eastAsia="el"/>
        </w:rPr>
        <w:t>; Τροποποίηση 4734/2020, Άρθρο 16</w:t>
      </w:r>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16</w:t>
      </w:r>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98" w:history="1">
        <w:r>
          <w:rPr>
            <w:rStyle w:val="Hyperlink"/>
            <w:b/>
            <w:bCs/>
            <w:color w:val="0000EE"/>
            <w:u w:color="0000EE"/>
            <w:lang w:val="el" w:eastAsia="el"/>
          </w:rPr>
          <w:t>Τροποποίηση 5193/2025, Άρθρο 198</w:t>
        </w:r>
      </w:hyperlink>
      <w:r>
        <w:rPr>
          <w:b/>
          <w:bCs/>
          <w:lang w:val="el" w:eastAsia="el"/>
        </w:rPr>
        <w:t>; Τροποποίηση 4734/2020, Άρθρο 16</w:t>
      </w:r>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16</w:t>
      </w:r>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27</w:t>
      </w:r>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17</w:t>
      </w:r>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18</w:t>
      </w:r>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19</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20</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20</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20</w:t>
      </w:r>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32</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21</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21</w:t>
      </w:r>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22</w:t>
      </w:r>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22</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99" w:history="1">
        <w:r>
          <w:rPr>
            <w:rStyle w:val="Hyperlink"/>
            <w:b/>
            <w:bCs/>
            <w:color w:val="0000EE"/>
            <w:u w:color="0000EE"/>
            <w:lang w:val="el" w:eastAsia="el"/>
          </w:rPr>
          <w:t>Προσθήκη 5193/2025, Άρθρο 199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99" w:history="1">
        <w:r>
          <w:rPr>
            <w:rStyle w:val="Hyperlink"/>
            <w:b/>
            <w:bCs/>
            <w:color w:val="0000EE"/>
            <w:u w:color="0000EE"/>
            <w:lang w:val="el" w:eastAsia="el"/>
          </w:rPr>
          <w:t>Τροποποίηση 5193/2025, Άρθρο 199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99" w:history="1">
        <w:r>
          <w:rPr>
            <w:rStyle w:val="Hyperlink"/>
            <w:b/>
            <w:bCs/>
            <w:color w:val="0000EE"/>
            <w:u w:color="0000EE"/>
            <w:lang w:val="el" w:eastAsia="el"/>
          </w:rPr>
          <w:t>Τροποποίηση 5193/2025, Άρθρο 199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99" w:history="1">
        <w:r>
          <w:rPr>
            <w:rStyle w:val="Hyperlink"/>
            <w:b/>
            <w:bCs/>
            <w:color w:val="0000EE"/>
            <w:u w:color="0000EE"/>
            <w:lang w:val="el" w:eastAsia="el"/>
          </w:rPr>
          <w:t>Τροποποίηση 5193/2025, Άρθρο 199</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99" w:history="1">
        <w:r>
          <w:rPr>
            <w:rStyle w:val="Hyperlink"/>
            <w:b/>
            <w:bCs/>
            <w:color w:val="0000EE"/>
            <w:u w:color="0000EE"/>
            <w:lang w:val="el" w:eastAsia="el"/>
          </w:rPr>
          <w:t>Τροποποίηση 5193/2025, Άρθρο 199</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99" w:history="1">
        <w:r>
          <w:rPr>
            <w:rStyle w:val="Hyperlink"/>
            <w:b/>
            <w:bCs/>
            <w:color w:val="0000EE"/>
            <w:u w:color="0000EE"/>
            <w:lang w:val="el" w:eastAsia="el"/>
          </w:rPr>
          <w:t>Τροποποίηση 5193/2025, Άρθρο 199</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99" w:history="1">
        <w:r>
          <w:rPr>
            <w:rStyle w:val="Hyperlink"/>
            <w:b/>
            <w:bCs/>
            <w:color w:val="0000EE"/>
            <w:u w:color="0000EE"/>
            <w:lang w:val="el" w:eastAsia="el"/>
          </w:rPr>
          <w:t>Τροποποίηση 5193/2025, Άρθρο 199</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99" w:history="1">
        <w:r>
          <w:rPr>
            <w:rStyle w:val="Hyperlink"/>
            <w:b/>
            <w:bCs/>
            <w:color w:val="0000EE"/>
            <w:u w:color="0000EE"/>
            <w:lang w:val="el" w:eastAsia="el"/>
          </w:rPr>
          <w:t>Τροποποίηση 5193/2025, Άρθρο 199</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99" w:history="1">
        <w:r>
          <w:rPr>
            <w:rStyle w:val="Hyperlink"/>
            <w:b/>
            <w:bCs/>
            <w:color w:val="0000EE"/>
            <w:u w:color="0000EE"/>
            <w:lang w:val="el" w:eastAsia="el"/>
          </w:rPr>
          <w:t>Τροποποίηση 5193/2025, Άρθρο 199</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99" w:history="1">
        <w:r>
          <w:rPr>
            <w:rStyle w:val="Hyperlink"/>
            <w:b/>
            <w:bCs/>
            <w:color w:val="0000EE"/>
            <w:u w:color="0000EE"/>
            <w:lang w:val="el" w:eastAsia="el"/>
          </w:rPr>
          <w:t>Τροποποίηση 5193/2025, Άρθρο 199</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99" w:history="1">
        <w:r>
          <w:rPr>
            <w:rStyle w:val="Hyperlink"/>
            <w:b/>
            <w:bCs/>
            <w:color w:val="0000EE"/>
            <w:u w:color="0000EE"/>
            <w:lang w:val="el" w:eastAsia="el"/>
          </w:rPr>
          <w:t>Τροποποίηση 5193/2025, Άρθρο 199</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99" w:history="1">
        <w:r>
          <w:rPr>
            <w:rStyle w:val="Hyperlink"/>
            <w:b/>
            <w:bCs/>
            <w:color w:val="0000EE"/>
            <w:u w:color="0000EE"/>
            <w:lang w:val="el" w:eastAsia="el"/>
          </w:rPr>
          <w:t>Τροποποίηση 5193/2025, Άρθρο 199</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99" w:history="1">
        <w:r>
          <w:rPr>
            <w:rStyle w:val="Hyperlink"/>
            <w:b/>
            <w:bCs/>
            <w:color w:val="0000EE"/>
            <w:u w:color="0000EE"/>
            <w:lang w:val="el" w:eastAsia="el"/>
          </w:rPr>
          <w:t>Τροποποίηση 5193/2025, Άρθρο 199</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99" w:history="1">
        <w:r>
          <w:rPr>
            <w:rStyle w:val="Hyperlink"/>
            <w:b/>
            <w:bCs/>
            <w:color w:val="0000EE"/>
            <w:u w:color="0000EE"/>
            <w:lang w:val="el" w:eastAsia="el"/>
          </w:rPr>
          <w:t>Τροποποίηση 5193/2025, Άρθρο 199</w:t>
        </w:r>
      </w:hyperlink>
      <w:r>
        <w:rPr>
          <w:b/>
          <w:bCs/>
          <w:lang w:val="el" w:eastAsia="el"/>
        </w:rPr>
        <w:t>; Τροποποίηση 4734/2020, Άρθρο 23</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99" w:history="1">
        <w:r>
          <w:rPr>
            <w:rStyle w:val="Hyperlink"/>
            <w:b/>
            <w:bCs/>
            <w:color w:val="0000EE"/>
            <w:u w:color="0000EE"/>
            <w:lang w:val="el" w:eastAsia="el"/>
          </w:rPr>
          <w:t>Τροποποίηση 5193/2025, Άρθρο 199</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99" w:history="1">
        <w:r>
          <w:rPr>
            <w:rStyle w:val="Hyperlink"/>
            <w:b/>
            <w:bCs/>
            <w:color w:val="0000EE"/>
            <w:u w:color="0000EE"/>
            <w:lang w:val="el" w:eastAsia="el"/>
          </w:rPr>
          <w:t>Τροποποίηση 5193/2025, Άρθρο 199</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23</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99" w:history="1">
        <w:r>
          <w:rPr>
            <w:rStyle w:val="Hyperlink"/>
            <w:b/>
            <w:bCs/>
            <w:color w:val="0000EE"/>
            <w:u w:color="0000EE"/>
            <w:lang w:val="el" w:eastAsia="el"/>
          </w:rPr>
          <w:t>Τροποποίηση 5193/2025, Άρθρο 199</w:t>
        </w:r>
      </w:hyperlink>
      <w:r>
        <w:rPr>
          <w:b/>
          <w:bCs/>
          <w:lang w:val="el" w:eastAsia="el"/>
        </w:rPr>
        <w:t>; Προσθήκη 4734/2020, Άρθρο 23</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99" w:history="1">
        <w:r>
          <w:rPr>
            <w:rStyle w:val="Hyperlink"/>
            <w:b/>
            <w:bCs/>
            <w:color w:val="0000EE"/>
            <w:u w:color="0000EE"/>
            <w:lang w:val="el" w:eastAsia="el"/>
          </w:rPr>
          <w:t>Προσθήκη 5193/2025, Άρθρο 199</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23</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24</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24</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24</w:t>
      </w:r>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24</w:t>
      </w:r>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25</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26</w:t>
      </w:r>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4734/2020, Άρθρο 27</w:t>
      </w:r>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22" w:history="1">
        <w:r>
          <w:rPr>
            <w:rStyle w:val="Hyperlink"/>
            <w:b/>
            <w:bCs/>
            <w:color w:val="0000EE"/>
            <w:u w:color="0000EE"/>
            <w:lang w:val="el" w:eastAsia="el"/>
          </w:rPr>
          <w:t>Προσθήκη 5193/2025, Άρθρο 122</w:t>
        </w:r>
      </w:hyperlink>
      <w:r>
        <w:rPr>
          <w:b/>
          <w:bCs/>
          <w:lang w:val="el" w:eastAsia="el"/>
        </w:rPr>
        <w:t>; Τροποποίηση 4734/2020, Άρθρο 28</w:t>
      </w:r>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29</w:t>
      </w:r>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29</w:t>
      </w:r>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29</w:t>
      </w:r>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23" w:history="1">
        <w:r>
          <w:rPr>
            <w:rStyle w:val="Hyperlink"/>
            <w:b/>
            <w:bCs/>
            <w:color w:val="0000EE"/>
            <w:u w:color="0000EE"/>
            <w:lang w:val="el" w:eastAsia="el"/>
          </w:rPr>
          <w:t>Προσθήκη 5193/2025, Άρθρο 123</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57" w:history="1">
        <w:r>
          <w:rPr>
            <w:rStyle w:val="Hyperlink"/>
            <w:b/>
            <w:bCs/>
            <w:color w:val="0000EE"/>
            <w:u w:color="0000EE"/>
            <w:lang w:val="el" w:eastAsia="el"/>
          </w:rPr>
          <w:t>Προσθήκη 5042/2023, Άρθρο 57</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 w:history="1">
        <w:r>
          <w:rPr>
            <w:rStyle w:val="Hyperlink"/>
            <w:b/>
            <w:bCs/>
            <w:color w:val="0000EE"/>
            <w:u w:color="0000EE"/>
            <w:lang w:val="el" w:eastAsia="el"/>
          </w:rPr>
          <w:t>Τροποποίηση 4816/2021, Άρθρο 6</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 w:history="1">
        <w:r>
          <w:rPr>
            <w:rStyle w:val="Hyperlink"/>
            <w:b/>
            <w:bCs/>
            <w:color w:val="0000EE"/>
            <w:u w:color="0000EE"/>
            <w:lang w:val="el" w:eastAsia="el"/>
          </w:rPr>
          <w:t>Τροποποίηση 4816/2021, Άρθρο 6</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6" w:history="1">
        <w:r>
          <w:rPr>
            <w:rStyle w:val="Hyperlink"/>
            <w:b/>
            <w:bCs/>
            <w:color w:val="0000EE"/>
            <w:u w:color="0000EE"/>
            <w:lang w:val="el" w:eastAsia="el"/>
          </w:rPr>
          <w:t>Τροποποίηση 4816/2021, Άρθρο 6</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 w:history="1">
        <w:r>
          <w:rPr>
            <w:rStyle w:val="Hyperlink"/>
            <w:b/>
            <w:bCs/>
            <w:color w:val="0000EE"/>
            <w:u w:color="0000EE"/>
            <w:lang w:val="el" w:eastAsia="el"/>
          </w:rPr>
          <w:t>Τροποποίηση 4816/2021, Άρθρο 6</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 w:history="1">
        <w:r>
          <w:rPr>
            <w:rStyle w:val="Hyperlink"/>
            <w:b/>
            <w:bCs/>
            <w:color w:val="0000EE"/>
            <w:u w:color="0000EE"/>
            <w:lang w:val="el" w:eastAsia="el"/>
          </w:rPr>
          <w:t>Τροποποίηση 4816/2021, Άρθρο 6</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70" w:history="1">
        <w:r>
          <w:rPr>
            <w:rStyle w:val="Hyperlink"/>
            <w:b/>
            <w:bCs/>
            <w:color w:val="0000EE"/>
            <w:u w:color="0000EE"/>
            <w:lang w:val="el" w:eastAsia="el"/>
          </w:rPr>
          <w:t>Τροποποίηση 5039/2023, Άρθρο 70</w:t>
        </w:r>
      </w:hyperlink>
      <w:r>
        <w:rPr>
          <w:b/>
          <w:bCs/>
          <w:lang w:val="el" w:eastAsia="el"/>
        </w:rPr>
        <w:t xml:space="preserve">; </w:t>
      </w:r>
      <w:hyperlink r:id="rId147" w:anchor="art_6" w:history="1">
        <w:r>
          <w:rPr>
            <w:rStyle w:val="Hyperlink"/>
            <w:b/>
            <w:bCs/>
            <w:color w:val="0000EE"/>
            <w:u w:color="0000EE"/>
            <w:lang w:val="el" w:eastAsia="el"/>
          </w:rPr>
          <w:t>Τροποποίηση 4816/2021, Άρθρο 6</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 w:history="1">
        <w:r>
          <w:rPr>
            <w:rStyle w:val="Hyperlink"/>
            <w:b/>
            <w:bCs/>
            <w:color w:val="0000EE"/>
            <w:u w:color="0000EE"/>
            <w:lang w:val="el" w:eastAsia="el"/>
          </w:rPr>
          <w:t>Τροποποίηση 4816/2021, Άρθρο 6</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6" w:history="1">
        <w:r>
          <w:rPr>
            <w:rStyle w:val="Hyperlink"/>
            <w:b/>
            <w:bCs/>
            <w:color w:val="0000EE"/>
            <w:u w:color="0000EE"/>
            <w:lang w:val="el" w:eastAsia="el"/>
          </w:rPr>
          <w:t>Τροποποίηση 4816/2021, Άρθρο 6</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 w:history="1">
        <w:r>
          <w:rPr>
            <w:rStyle w:val="Hyperlink"/>
            <w:b/>
            <w:bCs/>
            <w:color w:val="0000EE"/>
            <w:u w:color="0000EE"/>
            <w:lang w:val="el" w:eastAsia="el"/>
          </w:rPr>
          <w:t>Τροποποίηση 4816/2021, Άρθρο 6</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 w:history="1">
        <w:r>
          <w:rPr>
            <w:rStyle w:val="Hyperlink"/>
            <w:b/>
            <w:bCs/>
            <w:color w:val="0000EE"/>
            <w:u w:color="0000EE"/>
            <w:lang w:val="el" w:eastAsia="el"/>
          </w:rPr>
          <w:t>Τροποποίηση 4816/2021, Άρθρο 6</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 w:history="1">
        <w:r>
          <w:rPr>
            <w:rStyle w:val="Hyperlink"/>
            <w:b/>
            <w:bCs/>
            <w:color w:val="0000EE"/>
            <w:u w:color="0000EE"/>
            <w:lang w:val="el" w:eastAsia="el"/>
          </w:rPr>
          <w:t>Τροποποίηση 4816/2021, Άρθρο 6</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 w:history="1">
        <w:r>
          <w:rPr>
            <w:rStyle w:val="Hyperlink"/>
            <w:b/>
            <w:bCs/>
            <w:color w:val="0000EE"/>
            <w:u w:color="0000EE"/>
            <w:lang w:val="el" w:eastAsia="el"/>
          </w:rPr>
          <w:t>Τροποποίηση 4816/2021, Άρθρο 6</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6" w:history="1">
        <w:r>
          <w:rPr>
            <w:rStyle w:val="Hyperlink"/>
            <w:b/>
            <w:bCs/>
            <w:color w:val="0000EE"/>
            <w:u w:color="0000EE"/>
            <w:lang w:val="el" w:eastAsia="el"/>
          </w:rPr>
          <w:t>Τροποποίηση 4816/2021, Άρθρο 6</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6" w:history="1">
        <w:r>
          <w:rPr>
            <w:rStyle w:val="Hyperlink"/>
            <w:b/>
            <w:bCs/>
            <w:color w:val="0000EE"/>
            <w:u w:color="0000EE"/>
            <w:lang w:val="el" w:eastAsia="el"/>
          </w:rPr>
          <w:t>Τροποποίηση 4816/2021, Άρθρο 6</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 w:history="1">
        <w:r>
          <w:rPr>
            <w:rStyle w:val="Hyperlink"/>
            <w:b/>
            <w:bCs/>
            <w:color w:val="0000EE"/>
            <w:u w:color="0000EE"/>
            <w:lang w:val="el" w:eastAsia="el"/>
          </w:rPr>
          <w:t>Τροποποίηση 4816/2021, Άρθρο 6</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 w:history="1">
        <w:r>
          <w:rPr>
            <w:rStyle w:val="Hyperlink"/>
            <w:b/>
            <w:bCs/>
            <w:color w:val="0000EE"/>
            <w:u w:color="0000EE"/>
            <w:lang w:val="el" w:eastAsia="el"/>
          </w:rPr>
          <w:t>Τροποποίηση 4816/2021, Άρθρο 6</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6" w:history="1">
        <w:r>
          <w:rPr>
            <w:rStyle w:val="Hyperlink"/>
            <w:b/>
            <w:bCs/>
            <w:color w:val="0000EE"/>
            <w:u w:color="0000EE"/>
            <w:lang w:val="el" w:eastAsia="el"/>
          </w:rPr>
          <w:t>Τροποποίηση 4816/2021, Άρθρο 6</w:t>
        </w:r>
      </w:hyperlink>
      <w:r>
        <w:rPr>
          <w:b/>
          <w:bCs/>
          <w:lang w:val="el" w:eastAsia="el"/>
        </w:rPr>
        <w:t>; Προσθήκη 4734/2020, Άρθρο 30</w:t>
      </w:r>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6" w:history="1">
        <w:r>
          <w:rPr>
            <w:rStyle w:val="Hyperlink"/>
            <w:b/>
            <w:bCs/>
            <w:color w:val="0000EE"/>
            <w:u w:color="0000EE"/>
            <w:lang w:val="el" w:eastAsia="el"/>
          </w:rPr>
          <w:t>Τροποποίηση 4816/2021, Άρθρο 6</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7" w:history="1">
        <w:r>
          <w:rPr>
            <w:rStyle w:val="Hyperlink"/>
            <w:b/>
            <w:bCs/>
            <w:color w:val="0000EE"/>
            <w:u w:color="0000EE"/>
            <w:lang w:val="el" w:eastAsia="el"/>
          </w:rPr>
          <w:t>Τροποποίηση 4816/2021, Άρθρο 7</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7" w:history="1">
        <w:r>
          <w:rPr>
            <w:rStyle w:val="Hyperlink"/>
            <w:b/>
            <w:bCs/>
            <w:color w:val="0000EE"/>
            <w:u w:color="0000EE"/>
            <w:lang w:val="el" w:eastAsia="el"/>
          </w:rPr>
          <w:t>Τροποποίηση 4816/2021, Άρθρο 7</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7" w:history="1">
        <w:r>
          <w:rPr>
            <w:rStyle w:val="Hyperlink"/>
            <w:b/>
            <w:bCs/>
            <w:color w:val="0000EE"/>
            <w:u w:color="0000EE"/>
            <w:lang w:val="el" w:eastAsia="el"/>
          </w:rPr>
          <w:t>Τροποποίηση 4816/2021, Άρθρο 7</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7" w:history="1">
        <w:r>
          <w:rPr>
            <w:rStyle w:val="Hyperlink"/>
            <w:b/>
            <w:bCs/>
            <w:color w:val="0000EE"/>
            <w:u w:color="0000EE"/>
            <w:lang w:val="el" w:eastAsia="el"/>
          </w:rPr>
          <w:t>Τροποποίηση 4816/2021, Άρθρο 7</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7" w:history="1">
        <w:r>
          <w:rPr>
            <w:rStyle w:val="Hyperlink"/>
            <w:b/>
            <w:bCs/>
            <w:color w:val="0000EE"/>
            <w:u w:color="0000EE"/>
            <w:lang w:val="el" w:eastAsia="el"/>
          </w:rPr>
          <w:t>Τροποποίηση 4816/2021, Άρθρο 7</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7" w:history="1">
        <w:r>
          <w:rPr>
            <w:rStyle w:val="Hyperlink"/>
            <w:b/>
            <w:bCs/>
            <w:color w:val="0000EE"/>
            <w:u w:color="0000EE"/>
            <w:lang w:val="el" w:eastAsia="el"/>
          </w:rPr>
          <w:t>Προσθήκη 4816/2021, Άρθρο 7</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8" w:history="1">
        <w:r>
          <w:rPr>
            <w:rStyle w:val="Hyperlink"/>
            <w:b/>
            <w:bCs/>
            <w:color w:val="0000EE"/>
            <w:u w:color="0000EE"/>
            <w:lang w:val="el" w:eastAsia="el"/>
          </w:rPr>
          <w:t>Τροποποίηση 4816/2021,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8" w:history="1">
        <w:r>
          <w:rPr>
            <w:rStyle w:val="Hyperlink"/>
            <w:b/>
            <w:bCs/>
            <w:color w:val="0000EE"/>
            <w:u w:color="0000EE"/>
            <w:lang w:val="el" w:eastAsia="el"/>
          </w:rPr>
          <w:t>Τροποποίηση 4816/2021,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8" w:history="1">
        <w:r>
          <w:rPr>
            <w:rStyle w:val="Hyperlink"/>
            <w:b/>
            <w:bCs/>
            <w:color w:val="0000EE"/>
            <w:u w:color="0000EE"/>
            <w:lang w:val="el" w:eastAsia="el"/>
          </w:rPr>
          <w:t>Τροποποίηση 4816/2021,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8" w:history="1">
        <w:r>
          <w:rPr>
            <w:rStyle w:val="Hyperlink"/>
            <w:b/>
            <w:bCs/>
            <w:color w:val="0000EE"/>
            <w:u w:color="0000EE"/>
            <w:lang w:val="el" w:eastAsia="el"/>
          </w:rPr>
          <w:t>Τροποποίηση 4816/2021,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8" w:history="1">
        <w:r>
          <w:rPr>
            <w:rStyle w:val="Hyperlink"/>
            <w:b/>
            <w:bCs/>
            <w:color w:val="0000EE"/>
            <w:u w:color="0000EE"/>
            <w:lang w:val="el" w:eastAsia="el"/>
          </w:rPr>
          <w:t>Τροποποίηση 4816/2021,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8" w:history="1">
        <w:r>
          <w:rPr>
            <w:rStyle w:val="Hyperlink"/>
            <w:b/>
            <w:bCs/>
            <w:color w:val="0000EE"/>
            <w:u w:color="0000EE"/>
            <w:lang w:val="el" w:eastAsia="el"/>
          </w:rPr>
          <w:t>Τροποποίηση 4816/2021,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9" w:history="1">
        <w:r>
          <w:rPr>
            <w:rStyle w:val="Hyperlink"/>
            <w:b/>
            <w:bCs/>
            <w:color w:val="0000EE"/>
            <w:u w:color="0000EE"/>
            <w:lang w:val="el" w:eastAsia="el"/>
          </w:rPr>
          <w:t>Τροποποίηση 4816/2021, Άρθρο 9</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9" w:history="1">
        <w:r>
          <w:rPr>
            <w:rStyle w:val="Hyperlink"/>
            <w:b/>
            <w:bCs/>
            <w:color w:val="0000EE"/>
            <w:u w:color="0000EE"/>
            <w:lang w:val="el" w:eastAsia="el"/>
          </w:rPr>
          <w:t>Τροποποίηση 4816/2021, Άρθρο 9</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9" w:history="1">
        <w:r>
          <w:rPr>
            <w:rStyle w:val="Hyperlink"/>
            <w:b/>
            <w:bCs/>
            <w:color w:val="0000EE"/>
            <w:u w:color="0000EE"/>
            <w:lang w:val="el" w:eastAsia="el"/>
          </w:rPr>
          <w:t>Τροποποίηση 4816/2021, Άρθρο 9</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9" w:history="1">
        <w:r>
          <w:rPr>
            <w:rStyle w:val="Hyperlink"/>
            <w:b/>
            <w:bCs/>
            <w:color w:val="0000EE"/>
            <w:u w:color="0000EE"/>
            <w:lang w:val="el" w:eastAsia="el"/>
          </w:rPr>
          <w:t>Τροποποίηση 4816/2021, Άρθρο 9</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9" w:history="1">
        <w:r>
          <w:rPr>
            <w:rStyle w:val="Hyperlink"/>
            <w:b/>
            <w:bCs/>
            <w:color w:val="0000EE"/>
            <w:u w:color="0000EE"/>
            <w:lang w:val="el" w:eastAsia="el"/>
          </w:rPr>
          <w:t>Τροποποίηση 4816/2021, Άρθρο 9</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9" w:history="1">
        <w:r>
          <w:rPr>
            <w:rStyle w:val="Hyperlink"/>
            <w:b/>
            <w:bCs/>
            <w:color w:val="0000EE"/>
            <w:u w:color="0000EE"/>
            <w:lang w:val="el" w:eastAsia="el"/>
          </w:rPr>
          <w:t>Τροποποίηση 4816/2021, Άρθρο 9</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9" w:history="1">
        <w:r>
          <w:rPr>
            <w:rStyle w:val="Hyperlink"/>
            <w:b/>
            <w:bCs/>
            <w:color w:val="0000EE"/>
            <w:u w:color="0000EE"/>
            <w:lang w:val="el" w:eastAsia="el"/>
          </w:rPr>
          <w:t>Τροποποίηση 4816/2021, Άρθρο 9</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71" w:history="1">
        <w:r>
          <w:rPr>
            <w:rStyle w:val="Hyperlink"/>
            <w:b/>
            <w:bCs/>
            <w:color w:val="0000EE"/>
            <w:u w:color="0000EE"/>
            <w:lang w:val="el" w:eastAsia="el"/>
          </w:rPr>
          <w:t>Τροποποίηση 4855/2021, Άρθρο 171</w:t>
        </w:r>
      </w:hyperlink>
      <w:r>
        <w:rPr>
          <w:b/>
          <w:bCs/>
          <w:lang w:val="el" w:eastAsia="el"/>
        </w:rPr>
        <w:t xml:space="preserve">; </w:t>
      </w:r>
      <w:hyperlink r:id="rId180" w:anchor="art_9" w:history="1">
        <w:r>
          <w:rPr>
            <w:rStyle w:val="Hyperlink"/>
            <w:b/>
            <w:bCs/>
            <w:color w:val="0000EE"/>
            <w:u w:color="0000EE"/>
            <w:lang w:val="el" w:eastAsia="el"/>
          </w:rPr>
          <w:t>Τροποποίηση 4816/2021, Άρθρο 9</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71" w:history="1">
        <w:r>
          <w:rPr>
            <w:rStyle w:val="Hyperlink"/>
            <w:b/>
            <w:bCs/>
            <w:color w:val="0000EE"/>
            <w:u w:color="0000EE"/>
            <w:lang w:val="el" w:eastAsia="el"/>
          </w:rPr>
          <w:t>Τροποποίηση 4855/2021, Άρθρο 171</w:t>
        </w:r>
      </w:hyperlink>
      <w:r>
        <w:rPr>
          <w:b/>
          <w:bCs/>
          <w:lang w:val="el" w:eastAsia="el"/>
        </w:rPr>
        <w:t xml:space="preserve">; </w:t>
      </w:r>
      <w:hyperlink r:id="rId182" w:anchor="art_9" w:history="1">
        <w:r>
          <w:rPr>
            <w:rStyle w:val="Hyperlink"/>
            <w:b/>
            <w:bCs/>
            <w:color w:val="0000EE"/>
            <w:u w:color="0000EE"/>
            <w:lang w:val="el" w:eastAsia="el"/>
          </w:rPr>
          <w:t>Προσθήκη 4816/2021, Άρθρο 9</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9" w:history="1">
        <w:r>
          <w:rPr>
            <w:rStyle w:val="Hyperlink"/>
            <w:b/>
            <w:bCs/>
            <w:color w:val="0000EE"/>
            <w:u w:color="0000EE"/>
            <w:lang w:val="el" w:eastAsia="el"/>
          </w:rPr>
          <w:t>Προσθήκη 4816/2021, Άρθρο 9</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71" w:history="1">
        <w:r>
          <w:rPr>
            <w:rStyle w:val="Hyperlink"/>
            <w:b/>
            <w:bCs/>
            <w:color w:val="0000EE"/>
            <w:u w:color="0000EE"/>
            <w:lang w:val="el" w:eastAsia="el"/>
          </w:rPr>
          <w:t>Τροποποίηση 4855/2021, Άρθρο 171</w:t>
        </w:r>
      </w:hyperlink>
      <w:r>
        <w:rPr>
          <w:b/>
          <w:bCs/>
          <w:lang w:val="el" w:eastAsia="el"/>
        </w:rPr>
        <w:t xml:space="preserve">; </w:t>
      </w:r>
      <w:hyperlink r:id="rId185" w:anchor="art_9" w:history="1">
        <w:r>
          <w:rPr>
            <w:rStyle w:val="Hyperlink"/>
            <w:b/>
            <w:bCs/>
            <w:color w:val="0000EE"/>
            <w:u w:color="0000EE"/>
            <w:lang w:val="el" w:eastAsia="el"/>
          </w:rPr>
          <w:t>Προσθήκη 4816/2021, Άρθρο 9</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9" w:history="1">
        <w:r>
          <w:rPr>
            <w:rStyle w:val="Hyperlink"/>
            <w:b/>
            <w:bCs/>
            <w:color w:val="0000EE"/>
            <w:u w:color="0000EE"/>
            <w:lang w:val="el" w:eastAsia="el"/>
          </w:rPr>
          <w:t>Προσθήκη 4816/2021, Άρθρο 9</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9" w:history="1">
        <w:r>
          <w:rPr>
            <w:rStyle w:val="Hyperlink"/>
            <w:b/>
            <w:bCs/>
            <w:color w:val="0000EE"/>
            <w:u w:color="0000EE"/>
            <w:lang w:val="el" w:eastAsia="el"/>
          </w:rPr>
          <w:t>Προσθήκη 4816/2021, Άρθρο 9</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9" w:history="1">
        <w:r>
          <w:rPr>
            <w:rStyle w:val="Hyperlink"/>
            <w:b/>
            <w:bCs/>
            <w:color w:val="0000EE"/>
            <w:u w:color="0000EE"/>
            <w:lang w:val="el" w:eastAsia="el"/>
          </w:rPr>
          <w:t>Προσθήκη 4816/2021, Άρθρο 9</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0" w:history="1">
        <w:r>
          <w:rPr>
            <w:rStyle w:val="Hyperlink"/>
            <w:b/>
            <w:bCs/>
            <w:color w:val="0000EE"/>
            <w:u w:color="0000EE"/>
            <w:lang w:val="el" w:eastAsia="el"/>
          </w:rPr>
          <w:t>Τροποποίηση 4816/2021, Άρθρο 10</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33" w:history="1">
        <w:r>
          <w:rPr>
            <w:rStyle w:val="Hyperlink"/>
            <w:b/>
            <w:bCs/>
            <w:color w:val="0000EE"/>
            <w:u w:color="0000EE"/>
            <w:lang w:val="el" w:eastAsia="el"/>
          </w:rPr>
          <w:t>Τροποποίηση 5090/2024, Άρθρο 133</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0" w:history="1">
        <w:r>
          <w:rPr>
            <w:rStyle w:val="Hyperlink"/>
            <w:b/>
            <w:bCs/>
            <w:color w:val="0000EE"/>
            <w:u w:color="0000EE"/>
            <w:lang w:val="el" w:eastAsia="el"/>
          </w:rPr>
          <w:t>Τροποποίηση 4816/2021, Άρθρο 10</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33" w:history="1">
        <w:r>
          <w:rPr>
            <w:rStyle w:val="Hyperlink"/>
            <w:b/>
            <w:bCs/>
            <w:color w:val="0000EE"/>
            <w:u w:color="0000EE"/>
            <w:lang w:val="el" w:eastAsia="el"/>
          </w:rPr>
          <w:t>Τροποποίηση 5090/2024, Άρθρο 133</w:t>
        </w:r>
      </w:hyperlink>
      <w:r>
        <w:rPr>
          <w:b/>
          <w:bCs/>
          <w:lang w:val="el" w:eastAsia="el"/>
        </w:rPr>
        <w:t xml:space="preserve">; </w:t>
      </w:r>
      <w:hyperlink r:id="rId193" w:anchor="art_10" w:history="1">
        <w:r>
          <w:rPr>
            <w:rStyle w:val="Hyperlink"/>
            <w:b/>
            <w:bCs/>
            <w:color w:val="0000EE"/>
            <w:u w:color="0000EE"/>
            <w:lang w:val="el" w:eastAsia="el"/>
          </w:rPr>
          <w:t>Τροποποίηση 4816/2021, Άρθρο 10</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33" w:history="1">
        <w:r>
          <w:rPr>
            <w:rStyle w:val="Hyperlink"/>
            <w:b/>
            <w:bCs/>
            <w:color w:val="0000EE"/>
            <w:u w:color="0000EE"/>
            <w:lang w:val="el" w:eastAsia="el"/>
          </w:rPr>
          <w:t>Τροποποίηση 5090/2024, Άρθρο 133</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0" w:history="1">
        <w:r>
          <w:rPr>
            <w:rStyle w:val="Hyperlink"/>
            <w:b/>
            <w:bCs/>
            <w:color w:val="0000EE"/>
            <w:u w:color="0000EE"/>
            <w:lang w:val="el" w:eastAsia="el"/>
          </w:rPr>
          <w:t>Τροποποίηση 4816/2021, Άρθρο 10</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5072/2023, Άρθρο 48</w:t>
      </w:r>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236" w:history="1">
        <w:r>
          <w:rPr>
            <w:rStyle w:val="Hyperlink"/>
            <w:b/>
            <w:bCs/>
            <w:color w:val="0000EE"/>
            <w:u w:color="0000EE"/>
            <w:lang w:val="el" w:eastAsia="el"/>
          </w:rPr>
          <w:t>Τροποποίηση 4798/2021, Άρθρο 236</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51" w:history="1">
        <w:r>
          <w:rPr>
            <w:rStyle w:val="Hyperlink"/>
            <w:b/>
            <w:bCs/>
            <w:color w:val="0000EE"/>
            <w:u w:color="0000EE"/>
            <w:lang w:val="el" w:eastAsia="el"/>
          </w:rPr>
          <w:t>Τροποποίηση 5079/2023, Άρθρο 51</w:t>
        </w:r>
      </w:hyperlink>
      <w:r>
        <w:rPr>
          <w:b/>
          <w:bCs/>
          <w:lang w:val="el" w:eastAsia="el"/>
        </w:rPr>
        <w:t xml:space="preserve">; </w:t>
      </w:r>
      <w:hyperlink r:id="rId198" w:anchor="art_63" w:history="1">
        <w:r>
          <w:rPr>
            <w:rStyle w:val="Hyperlink"/>
            <w:b/>
            <w:bCs/>
            <w:color w:val="0000EE"/>
            <w:u w:color="0000EE"/>
            <w:lang w:val="el" w:eastAsia="el"/>
          </w:rPr>
          <w:t>Τροποποίηση 4646/2019, Άρθρο 63</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03" w:history="1">
        <w:r>
          <w:rPr>
            <w:rStyle w:val="Hyperlink"/>
            <w:b/>
            <w:bCs/>
            <w:color w:val="0000EE"/>
            <w:u w:color="0000EE"/>
            <w:lang w:val="el" w:eastAsia="el"/>
          </w:rPr>
          <w:t>Αφαίρεση 5162/2024, Άρθρο 103</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1" w:history="1">
        <w:r>
          <w:rPr>
            <w:rStyle w:val="Hyperlink"/>
            <w:b/>
            <w:bCs/>
            <w:color w:val="0000EE"/>
            <w:u w:color="0000EE"/>
            <w:lang w:val="el" w:eastAsia="el"/>
          </w:rPr>
          <w:t>Τροποποίηση 4816/2021, Άρθρο 11</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03" w:history="1">
        <w:r>
          <w:rPr>
            <w:rStyle w:val="Hyperlink"/>
            <w:b/>
            <w:bCs/>
            <w:color w:val="0000EE"/>
            <w:u w:color="0000EE"/>
            <w:lang w:val="el" w:eastAsia="el"/>
          </w:rPr>
          <w:t>Αφαίρεση 5162/2024, Άρθρο 103</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03" w:history="1">
        <w:r>
          <w:rPr>
            <w:rStyle w:val="Hyperlink"/>
            <w:b/>
            <w:bCs/>
            <w:color w:val="0000EE"/>
            <w:u w:color="0000EE"/>
            <w:lang w:val="el" w:eastAsia="el"/>
          </w:rPr>
          <w:t>Αφαίρεση 5162/2024, Άρθρο 103</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03" w:history="1">
        <w:r>
          <w:rPr>
            <w:rStyle w:val="Hyperlink"/>
            <w:b/>
            <w:bCs/>
            <w:color w:val="0000EE"/>
            <w:u w:color="0000EE"/>
            <w:lang w:val="el" w:eastAsia="el"/>
          </w:rPr>
          <w:t>Τροποποίηση 5162/2024, Άρθρο 103</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03" w:history="1">
        <w:r>
          <w:rPr>
            <w:rStyle w:val="Hyperlink"/>
            <w:b/>
            <w:bCs/>
            <w:color w:val="0000EE"/>
            <w:u w:color="0000EE"/>
            <w:lang w:val="el" w:eastAsia="el"/>
          </w:rPr>
          <w:t>Προσθήκη 5162/2024, Άρθρο 103</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63" w:history="1">
        <w:r>
          <w:rPr>
            <w:rStyle w:val="Hyperlink"/>
            <w:b/>
            <w:bCs/>
            <w:color w:val="0000EE"/>
            <w:u w:color="0000EE"/>
            <w:lang w:val="el" w:eastAsia="el"/>
          </w:rPr>
          <w:t>Τροποποίηση 4646/2019, Άρθρο 63</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03" w:history="1">
        <w:r>
          <w:rPr>
            <w:rStyle w:val="Hyperlink"/>
            <w:b/>
            <w:bCs/>
            <w:color w:val="0000EE"/>
            <w:u w:color="0000EE"/>
            <w:lang w:val="el" w:eastAsia="el"/>
          </w:rPr>
          <w:t>Αφαίρεση 5162/2024, Άρθρο 103</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03" w:history="1">
        <w:r>
          <w:rPr>
            <w:rStyle w:val="Hyperlink"/>
            <w:b/>
            <w:bCs/>
            <w:color w:val="0000EE"/>
            <w:u w:color="0000EE"/>
            <w:lang w:val="el" w:eastAsia="el"/>
          </w:rPr>
          <w:t>Αφαίρεση 5162/2024, Άρθρο 103</w:t>
        </w:r>
      </w:hyperlink>
      <w:r>
        <w:rPr>
          <w:b/>
          <w:bCs/>
          <w:lang w:val="el" w:eastAsia="el"/>
        </w:rPr>
        <w:t xml:space="preserve">; </w:t>
      </w:r>
      <w:hyperlink r:id="rId208" w:anchor="art_63" w:history="1">
        <w:r>
          <w:rPr>
            <w:rStyle w:val="Hyperlink"/>
            <w:b/>
            <w:bCs/>
            <w:color w:val="0000EE"/>
            <w:u w:color="0000EE"/>
            <w:lang w:val="el" w:eastAsia="el"/>
          </w:rPr>
          <w:t>Προσθήκη 4646/2019, Άρθρο 63</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03" w:history="1">
        <w:r>
          <w:rPr>
            <w:rStyle w:val="Hyperlink"/>
            <w:b/>
            <w:bCs/>
            <w:color w:val="0000EE"/>
            <w:u w:color="0000EE"/>
            <w:lang w:val="el" w:eastAsia="el"/>
          </w:rPr>
          <w:t>Προσθήκη 5162/2024, Άρθρο 103</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4571/2018, Άρθρο 11</w:t>
      </w:r>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4571/2018, Άρθρο 11</w:t>
      </w:r>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4571/2018, Άρθρο 11</w:t>
      </w:r>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03" w:history="1">
        <w:r>
          <w:rPr>
            <w:rStyle w:val="Hyperlink"/>
            <w:b/>
            <w:bCs/>
            <w:color w:val="0000EE"/>
            <w:u w:color="0000EE"/>
            <w:lang w:val="el" w:eastAsia="el"/>
          </w:rPr>
          <w:t>Προσθήκη 5162/2024, Άρθρο 103</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4734/2020, Άρθρο 31</w:t>
      </w:r>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13" w:history="1">
        <w:r>
          <w:rPr>
            <w:rStyle w:val="Hyperlink"/>
            <w:b/>
            <w:bCs/>
            <w:color w:val="0000EE"/>
            <w:u w:color="0000EE"/>
            <w:lang w:val="el" w:eastAsia="el"/>
          </w:rPr>
          <w:t>Αφαίρεση 5162/2024, Άρθρο 113</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5001/2022, Άρθρο 31</w:t>
      </w:r>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5001/2022, Άρθρο 31</w:t>
      </w:r>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04" w:history="1">
        <w:r>
          <w:rPr>
            <w:rStyle w:val="Hyperlink"/>
            <w:b/>
            <w:bCs/>
            <w:color w:val="0000EE"/>
            <w:u w:color="0000EE"/>
            <w:lang w:val="el" w:eastAsia="el"/>
          </w:rPr>
          <w:t>Τροποποίηση 5162/2024,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04" w:history="1">
        <w:r>
          <w:rPr>
            <w:rStyle w:val="Hyperlink"/>
            <w:b/>
            <w:bCs/>
            <w:color w:val="0000EE"/>
            <w:u w:color="0000EE"/>
            <w:lang w:val="el" w:eastAsia="el"/>
          </w:rPr>
          <w:t>Τροποποίηση 5162/2024,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04" w:history="1">
        <w:r>
          <w:rPr>
            <w:rStyle w:val="Hyperlink"/>
            <w:b/>
            <w:bCs/>
            <w:color w:val="0000EE"/>
            <w:u w:color="0000EE"/>
            <w:lang w:val="el" w:eastAsia="el"/>
          </w:rPr>
          <w:t>Τροποποίηση 5162/2024,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04" w:history="1">
        <w:r>
          <w:rPr>
            <w:rStyle w:val="Hyperlink"/>
            <w:b/>
            <w:bCs/>
            <w:color w:val="0000EE"/>
            <w:u w:color="0000EE"/>
            <w:lang w:val="el" w:eastAsia="el"/>
          </w:rPr>
          <w:t>Τροποποίηση 5162/2024,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04" w:history="1">
        <w:r>
          <w:rPr>
            <w:rStyle w:val="Hyperlink"/>
            <w:b/>
            <w:bCs/>
            <w:color w:val="0000EE"/>
            <w:u w:color="0000EE"/>
            <w:lang w:val="el" w:eastAsia="el"/>
          </w:rPr>
          <w:t>Τροποποίηση 5162/2024,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04" w:history="1">
        <w:r>
          <w:rPr>
            <w:rStyle w:val="Hyperlink"/>
            <w:b/>
            <w:bCs/>
            <w:color w:val="0000EE"/>
            <w:u w:color="0000EE"/>
            <w:lang w:val="el" w:eastAsia="el"/>
          </w:rPr>
          <w:t>Τροποποίηση 5162/2024,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04" w:history="1">
        <w:r>
          <w:rPr>
            <w:rStyle w:val="Hyperlink"/>
            <w:b/>
            <w:bCs/>
            <w:color w:val="0000EE"/>
            <w:u w:color="0000EE"/>
            <w:lang w:val="el" w:eastAsia="el"/>
          </w:rPr>
          <w:t>Τροποποίηση 5162/2024,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04" w:history="1">
        <w:r>
          <w:rPr>
            <w:rStyle w:val="Hyperlink"/>
            <w:b/>
            <w:bCs/>
            <w:color w:val="0000EE"/>
            <w:u w:color="0000EE"/>
            <w:lang w:val="el" w:eastAsia="el"/>
          </w:rPr>
          <w:t>Τροποποίηση 5162/2024,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04" w:history="1">
        <w:r>
          <w:rPr>
            <w:rStyle w:val="Hyperlink"/>
            <w:b/>
            <w:bCs/>
            <w:color w:val="0000EE"/>
            <w:u w:color="0000EE"/>
            <w:lang w:val="el" w:eastAsia="el"/>
          </w:rPr>
          <w:t>Τροποποίηση 5162/2024,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04" w:history="1">
        <w:r>
          <w:rPr>
            <w:rStyle w:val="Hyperlink"/>
            <w:b/>
            <w:bCs/>
            <w:color w:val="0000EE"/>
            <w:u w:color="0000EE"/>
            <w:lang w:val="el" w:eastAsia="el"/>
          </w:rPr>
          <w:t>Τροποποίηση 5162/2024,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04" w:history="1">
        <w:r>
          <w:rPr>
            <w:rStyle w:val="Hyperlink"/>
            <w:b/>
            <w:bCs/>
            <w:color w:val="0000EE"/>
            <w:u w:color="0000EE"/>
            <w:lang w:val="el" w:eastAsia="el"/>
          </w:rPr>
          <w:t>Τροποποίηση 5162/2024,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04" w:history="1">
        <w:r>
          <w:rPr>
            <w:rStyle w:val="Hyperlink"/>
            <w:b/>
            <w:bCs/>
            <w:color w:val="0000EE"/>
            <w:u w:color="0000EE"/>
            <w:lang w:val="el" w:eastAsia="el"/>
          </w:rPr>
          <w:t>Τροποποίηση 5162/2024,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04" w:history="1">
        <w:r>
          <w:rPr>
            <w:rStyle w:val="Hyperlink"/>
            <w:b/>
            <w:bCs/>
            <w:color w:val="0000EE"/>
            <w:u w:color="0000EE"/>
            <w:lang w:val="el" w:eastAsia="el"/>
          </w:rPr>
          <w:t>Τροποποίηση 5162/2024,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04" w:history="1">
        <w:r>
          <w:rPr>
            <w:rStyle w:val="Hyperlink"/>
            <w:b/>
            <w:bCs/>
            <w:color w:val="0000EE"/>
            <w:u w:color="0000EE"/>
            <w:lang w:val="el" w:eastAsia="el"/>
          </w:rPr>
          <w:t>Τροποποίηση 5162/2024,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04" w:history="1">
        <w:r>
          <w:rPr>
            <w:rStyle w:val="Hyperlink"/>
            <w:b/>
            <w:bCs/>
            <w:color w:val="0000EE"/>
            <w:u w:color="0000EE"/>
            <w:lang w:val="el" w:eastAsia="el"/>
          </w:rPr>
          <w:t>Τροποποίηση 5162/2024,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04" w:history="1">
        <w:r>
          <w:rPr>
            <w:rStyle w:val="Hyperlink"/>
            <w:b/>
            <w:bCs/>
            <w:color w:val="0000EE"/>
            <w:u w:color="0000EE"/>
            <w:lang w:val="el" w:eastAsia="el"/>
          </w:rPr>
          <w:t>Τροποποίηση 5162/2024,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04" w:history="1">
        <w:r>
          <w:rPr>
            <w:rStyle w:val="Hyperlink"/>
            <w:b/>
            <w:bCs/>
            <w:color w:val="0000EE"/>
            <w:u w:color="0000EE"/>
            <w:lang w:val="el" w:eastAsia="el"/>
          </w:rPr>
          <w:t>Τροποποίηση 5162/2024,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04" w:history="1">
        <w:r>
          <w:rPr>
            <w:rStyle w:val="Hyperlink"/>
            <w:b/>
            <w:bCs/>
            <w:color w:val="0000EE"/>
            <w:u w:color="0000EE"/>
            <w:lang w:val="el" w:eastAsia="el"/>
          </w:rPr>
          <w:t>Τροποποίηση 5162/2024,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04" w:history="1">
        <w:r>
          <w:rPr>
            <w:rStyle w:val="Hyperlink"/>
            <w:b/>
            <w:bCs/>
            <w:color w:val="0000EE"/>
            <w:u w:color="0000EE"/>
            <w:lang w:val="el" w:eastAsia="el"/>
          </w:rPr>
          <w:t>Τροποποίηση 5162/2024, Άρθρο 104</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04" w:history="1">
        <w:r>
          <w:rPr>
            <w:rStyle w:val="Hyperlink"/>
            <w:b/>
            <w:bCs/>
            <w:color w:val="0000EE"/>
            <w:u w:color="0000EE"/>
            <w:lang w:val="el" w:eastAsia="el"/>
          </w:rPr>
          <w:t>Τροποποίηση 5162/2024, Άρθρο 104</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04" w:history="1">
        <w:r>
          <w:rPr>
            <w:rStyle w:val="Hyperlink"/>
            <w:b/>
            <w:bCs/>
            <w:color w:val="0000EE"/>
            <w:u w:color="0000EE"/>
            <w:lang w:val="el" w:eastAsia="el"/>
          </w:rPr>
          <w:t>Τροποποίηση 5162/2024, Άρθρο 104</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04" w:history="1">
        <w:r>
          <w:rPr>
            <w:rStyle w:val="Hyperlink"/>
            <w:b/>
            <w:bCs/>
            <w:color w:val="0000EE"/>
            <w:u w:color="0000EE"/>
            <w:lang w:val="el" w:eastAsia="el"/>
          </w:rPr>
          <w:t>Τροποποίηση 5162/2024, Άρθρο 104</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04" w:history="1">
        <w:r>
          <w:rPr>
            <w:rStyle w:val="Hyperlink"/>
            <w:b/>
            <w:bCs/>
            <w:color w:val="0000EE"/>
            <w:u w:color="0000EE"/>
            <w:lang w:val="el" w:eastAsia="el"/>
          </w:rPr>
          <w:t>Τροποποίηση 5162/2024, Άρθρο 104</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04" w:history="1">
        <w:r>
          <w:rPr>
            <w:rStyle w:val="Hyperlink"/>
            <w:b/>
            <w:bCs/>
            <w:color w:val="0000EE"/>
            <w:u w:color="0000EE"/>
            <w:lang w:val="el" w:eastAsia="el"/>
          </w:rPr>
          <w:t>Τροποποίηση 5162/2024, Άρθρο 104</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04" w:history="1">
        <w:r>
          <w:rPr>
            <w:rStyle w:val="Hyperlink"/>
            <w:b/>
            <w:bCs/>
            <w:color w:val="0000EE"/>
            <w:u w:color="0000EE"/>
            <w:lang w:val="el" w:eastAsia="el"/>
          </w:rPr>
          <w:t>Τροποποίηση 5162/2024, Άρθρο 104</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04" w:history="1">
        <w:r>
          <w:rPr>
            <w:rStyle w:val="Hyperlink"/>
            <w:b/>
            <w:bCs/>
            <w:color w:val="0000EE"/>
            <w:u w:color="0000EE"/>
            <w:lang w:val="el" w:eastAsia="el"/>
          </w:rPr>
          <w:t>Τροποποίηση 5162/2024, Άρθρο 104</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05" w:history="1">
        <w:r>
          <w:rPr>
            <w:rStyle w:val="Hyperlink"/>
            <w:b/>
            <w:bCs/>
            <w:color w:val="0000EE"/>
            <w:u w:color="0000EE"/>
            <w:lang w:val="el" w:eastAsia="el"/>
          </w:rPr>
          <w:t>Προσθήκη 5162/2024, Άρθρο 105</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05" w:history="1">
        <w:r>
          <w:rPr>
            <w:rStyle w:val="Hyperlink"/>
            <w:b/>
            <w:bCs/>
            <w:color w:val="0000EE"/>
            <w:u w:color="0000EE"/>
            <w:lang w:val="el" w:eastAsia="el"/>
          </w:rPr>
          <w:t>Προσθήκη 5162/2024, Άρθρο 105</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05" w:history="1">
        <w:r>
          <w:rPr>
            <w:rStyle w:val="Hyperlink"/>
            <w:b/>
            <w:bCs/>
            <w:color w:val="0000EE"/>
            <w:u w:color="0000EE"/>
            <w:lang w:val="el" w:eastAsia="el"/>
          </w:rPr>
          <w:t>Προσθήκη 5162/2024, Άρθρο 105</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05" w:history="1">
        <w:r>
          <w:rPr>
            <w:rStyle w:val="Hyperlink"/>
            <w:b/>
            <w:bCs/>
            <w:color w:val="0000EE"/>
            <w:u w:color="0000EE"/>
            <w:lang w:val="el" w:eastAsia="el"/>
          </w:rPr>
          <w:t>Προσθήκη 5162/2024, Άρθρο 105</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05" w:history="1">
        <w:r>
          <w:rPr>
            <w:rStyle w:val="Hyperlink"/>
            <w:b/>
            <w:bCs/>
            <w:color w:val="0000EE"/>
            <w:u w:color="0000EE"/>
            <w:lang w:val="el" w:eastAsia="el"/>
          </w:rPr>
          <w:t>Προσθήκη 5162/2024, Άρθρο 105</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05" w:history="1">
        <w:r>
          <w:rPr>
            <w:rStyle w:val="Hyperlink"/>
            <w:b/>
            <w:bCs/>
            <w:color w:val="0000EE"/>
            <w:u w:color="0000EE"/>
            <w:lang w:val="el" w:eastAsia="el"/>
          </w:rPr>
          <w:t>Προσθήκη 5162/2024, Άρθρο 105</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05" w:history="1">
        <w:r>
          <w:rPr>
            <w:rStyle w:val="Hyperlink"/>
            <w:b/>
            <w:bCs/>
            <w:color w:val="0000EE"/>
            <w:u w:color="0000EE"/>
            <w:lang w:val="el" w:eastAsia="el"/>
          </w:rPr>
          <w:t>Προσθήκη 5162/2024, Άρθρο 105</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05" w:history="1">
        <w:r>
          <w:rPr>
            <w:rStyle w:val="Hyperlink"/>
            <w:b/>
            <w:bCs/>
            <w:color w:val="0000EE"/>
            <w:u w:color="0000EE"/>
            <w:lang w:val="el" w:eastAsia="el"/>
          </w:rPr>
          <w:t>Προσθήκη 5162/2024, Άρθρο 105</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05" w:history="1">
        <w:r>
          <w:rPr>
            <w:rStyle w:val="Hyperlink"/>
            <w:b/>
            <w:bCs/>
            <w:color w:val="0000EE"/>
            <w:u w:color="0000EE"/>
            <w:lang w:val="el" w:eastAsia="el"/>
          </w:rPr>
          <w:t>Προσθήκη 5162/2024, Άρθρο 105</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06" w:history="1">
        <w:r>
          <w:rPr>
            <w:rStyle w:val="Hyperlink"/>
            <w:b/>
            <w:bCs/>
            <w:color w:val="0000EE"/>
            <w:u w:color="0000EE"/>
            <w:lang w:val="el" w:eastAsia="el"/>
          </w:rPr>
          <w:t>Προσθήκη 5162/2024, Άρθρο 106</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06" w:history="1">
        <w:r>
          <w:rPr>
            <w:rStyle w:val="Hyperlink"/>
            <w:b/>
            <w:bCs/>
            <w:color w:val="0000EE"/>
            <w:u w:color="0000EE"/>
            <w:lang w:val="el" w:eastAsia="el"/>
          </w:rPr>
          <w:t>Προσθήκη 5162/2024, Άρθρο 106</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06" w:history="1">
        <w:r>
          <w:rPr>
            <w:rStyle w:val="Hyperlink"/>
            <w:b/>
            <w:bCs/>
            <w:color w:val="0000EE"/>
            <w:u w:color="0000EE"/>
            <w:lang w:val="el" w:eastAsia="el"/>
          </w:rPr>
          <w:t>Προσθήκη 5162/2024, Άρθρο 106</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06" w:history="1">
        <w:r>
          <w:rPr>
            <w:rStyle w:val="Hyperlink"/>
            <w:b/>
            <w:bCs/>
            <w:color w:val="0000EE"/>
            <w:u w:color="0000EE"/>
            <w:lang w:val="el" w:eastAsia="el"/>
          </w:rPr>
          <w:t>Προσθήκη 5162/2024, Άρθρο 106</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06" w:history="1">
        <w:r>
          <w:rPr>
            <w:rStyle w:val="Hyperlink"/>
            <w:b/>
            <w:bCs/>
            <w:color w:val="0000EE"/>
            <w:u w:color="0000EE"/>
            <w:lang w:val="el" w:eastAsia="el"/>
          </w:rPr>
          <w:t>Προσθήκη 5162/2024, Άρθρο 106</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06" w:history="1">
        <w:r>
          <w:rPr>
            <w:rStyle w:val="Hyperlink"/>
            <w:b/>
            <w:bCs/>
            <w:color w:val="0000EE"/>
            <w:u w:color="0000EE"/>
            <w:lang w:val="el" w:eastAsia="el"/>
          </w:rPr>
          <w:t>Προσθήκη 5162/2024, Άρθρο 106</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106" w:history="1">
        <w:r>
          <w:rPr>
            <w:rStyle w:val="Hyperlink"/>
            <w:b/>
            <w:bCs/>
            <w:color w:val="0000EE"/>
            <w:u w:color="0000EE"/>
            <w:lang w:val="el" w:eastAsia="el"/>
          </w:rPr>
          <w:t>Προσθήκη 5162/2024, Άρθρο 106</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06" w:history="1">
        <w:r>
          <w:rPr>
            <w:rStyle w:val="Hyperlink"/>
            <w:b/>
            <w:bCs/>
            <w:color w:val="0000EE"/>
            <w:u w:color="0000EE"/>
            <w:lang w:val="el" w:eastAsia="el"/>
          </w:rPr>
          <w:t>Προσθήκη 5162/2024, Άρθρο 106</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06" w:history="1">
        <w:r>
          <w:rPr>
            <w:rStyle w:val="Hyperlink"/>
            <w:b/>
            <w:bCs/>
            <w:color w:val="0000EE"/>
            <w:u w:color="0000EE"/>
            <w:lang w:val="el" w:eastAsia="el"/>
          </w:rPr>
          <w:t>Προσθήκη 5162/2024, Άρθρο 106</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06" w:history="1">
        <w:r>
          <w:rPr>
            <w:rStyle w:val="Hyperlink"/>
            <w:b/>
            <w:bCs/>
            <w:color w:val="0000EE"/>
            <w:u w:color="0000EE"/>
            <w:lang w:val="el" w:eastAsia="el"/>
          </w:rPr>
          <w:t>Προσθήκη 5162/2024, Άρθρο 106</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06" w:history="1">
        <w:r>
          <w:rPr>
            <w:rStyle w:val="Hyperlink"/>
            <w:b/>
            <w:bCs/>
            <w:color w:val="0000EE"/>
            <w:u w:color="0000EE"/>
            <w:lang w:val="el" w:eastAsia="el"/>
          </w:rPr>
          <w:t>Προσθήκη 5162/2024, Άρθρο 106</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06" w:history="1">
        <w:r>
          <w:rPr>
            <w:rStyle w:val="Hyperlink"/>
            <w:b/>
            <w:bCs/>
            <w:color w:val="0000EE"/>
            <w:u w:color="0000EE"/>
            <w:lang w:val="el" w:eastAsia="el"/>
          </w:rPr>
          <w:t>Προσθήκη 5162/2024, Άρθρο 106</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06" w:history="1">
        <w:r>
          <w:rPr>
            <w:rStyle w:val="Hyperlink"/>
            <w:b/>
            <w:bCs/>
            <w:color w:val="0000EE"/>
            <w:u w:color="0000EE"/>
            <w:lang w:val="el" w:eastAsia="el"/>
          </w:rPr>
          <w:t>Προσθήκη 5162/2024, Άρθρο 106</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106" w:history="1">
        <w:r>
          <w:rPr>
            <w:rStyle w:val="Hyperlink"/>
            <w:b/>
            <w:bCs/>
            <w:color w:val="0000EE"/>
            <w:u w:color="0000EE"/>
            <w:lang w:val="el" w:eastAsia="el"/>
          </w:rPr>
          <w:t>Προσθήκη 5162/2024, Άρθρο 106</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07" w:history="1">
        <w:r>
          <w:rPr>
            <w:rStyle w:val="Hyperlink"/>
            <w:b/>
            <w:bCs/>
            <w:color w:val="0000EE"/>
            <w:u w:color="0000EE"/>
            <w:lang w:val="el" w:eastAsia="el"/>
          </w:rPr>
          <w:t>Προσθήκη 5162/2024, Άρθρο 107</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07" w:history="1">
        <w:r>
          <w:rPr>
            <w:rStyle w:val="Hyperlink"/>
            <w:b/>
            <w:bCs/>
            <w:color w:val="0000EE"/>
            <w:u w:color="0000EE"/>
            <w:lang w:val="el" w:eastAsia="el"/>
          </w:rPr>
          <w:t>Προσθήκη 5162/2024, Άρθρο 107</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07" w:history="1">
        <w:r>
          <w:rPr>
            <w:rStyle w:val="Hyperlink"/>
            <w:b/>
            <w:bCs/>
            <w:color w:val="0000EE"/>
            <w:u w:color="0000EE"/>
            <w:lang w:val="el" w:eastAsia="el"/>
          </w:rPr>
          <w:t>Προσθήκη 5162/2024, Άρθρο 107</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07" w:history="1">
        <w:r>
          <w:rPr>
            <w:rStyle w:val="Hyperlink"/>
            <w:b/>
            <w:bCs/>
            <w:color w:val="0000EE"/>
            <w:u w:color="0000EE"/>
            <w:lang w:val="el" w:eastAsia="el"/>
          </w:rPr>
          <w:t>Προσθήκη 5162/2024, Άρθρο 107</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07" w:history="1">
        <w:r>
          <w:rPr>
            <w:rStyle w:val="Hyperlink"/>
            <w:b/>
            <w:bCs/>
            <w:color w:val="0000EE"/>
            <w:u w:color="0000EE"/>
            <w:lang w:val="el" w:eastAsia="el"/>
          </w:rPr>
          <w:t>Προσθήκη 5162/2024, Άρθρο 107</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07" w:history="1">
        <w:r>
          <w:rPr>
            <w:rStyle w:val="Hyperlink"/>
            <w:b/>
            <w:bCs/>
            <w:color w:val="0000EE"/>
            <w:u w:color="0000EE"/>
            <w:lang w:val="el" w:eastAsia="el"/>
          </w:rPr>
          <w:t>Προσθήκη 5162/2024, Άρθρο 107</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 w:history="1">
        <w:r>
          <w:rPr>
            <w:rStyle w:val="Hyperlink"/>
            <w:b/>
            <w:bCs/>
            <w:color w:val="0000EE"/>
            <w:u w:color="0000EE"/>
            <w:lang w:val="el" w:eastAsia="el"/>
          </w:rPr>
          <w:t>Τροποποίηση 4664/2020, Άρθρο 2</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 w:history="1">
        <w:r>
          <w:rPr>
            <w:rStyle w:val="Hyperlink"/>
            <w:b/>
            <w:bCs/>
            <w:color w:val="0000EE"/>
            <w:u w:color="0000EE"/>
            <w:lang w:val="el" w:eastAsia="el"/>
          </w:rPr>
          <w:t>Τροποποίηση 4664/2020, Άρθρο 2</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 w:history="1">
        <w:r>
          <w:rPr>
            <w:rStyle w:val="Hyperlink"/>
            <w:b/>
            <w:bCs/>
            <w:color w:val="0000EE"/>
            <w:u w:color="0000EE"/>
            <w:lang w:val="el" w:eastAsia="el"/>
          </w:rPr>
          <w:t>Τροποποίηση 4664/2020, Άρθρο 2</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 w:history="1">
        <w:r>
          <w:rPr>
            <w:rStyle w:val="Hyperlink"/>
            <w:b/>
            <w:bCs/>
            <w:color w:val="0000EE"/>
            <w:u w:color="0000EE"/>
            <w:lang w:val="el" w:eastAsia="el"/>
          </w:rPr>
          <w:t>Τροποποίηση 4664/2020, Άρθρο 2</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 w:history="1">
        <w:r>
          <w:rPr>
            <w:rStyle w:val="Hyperlink"/>
            <w:b/>
            <w:bCs/>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00" Type="http://schemas.openxmlformats.org/officeDocument/2006/relationships/hyperlink" Target="http://data.aade.gr/eli/pri/law/2022/06/16/4941" TargetMode="External" /><Relationship Id="rId101" Type="http://schemas.openxmlformats.org/officeDocument/2006/relationships/hyperlink" Target="http://data.aade.gr/eli/pri/law/2022/06/16/4941" TargetMode="External" /><Relationship Id="rId102" Type="http://schemas.openxmlformats.org/officeDocument/2006/relationships/hyperlink" Target="http://data.aade.gr/eli/pri/law/2022/06/16/4941" TargetMode="External" /><Relationship Id="rId103" Type="http://schemas.openxmlformats.org/officeDocument/2006/relationships/hyperlink" Target="http://data.aade.gr/eli/pri/law/2022/06/16/4941" TargetMode="External" /><Relationship Id="rId104" Type="http://schemas.openxmlformats.org/officeDocument/2006/relationships/hyperlink" Target="http://data.aade.gr/eli/pri/law/2022/06/16/4941" TargetMode="External" /><Relationship Id="rId105" Type="http://schemas.openxmlformats.org/officeDocument/2006/relationships/hyperlink" Target="http://data.aade.gr/eli/pri/law/2022/06/16/4941" TargetMode="External" /><Relationship Id="rId106" Type="http://schemas.openxmlformats.org/officeDocument/2006/relationships/hyperlink" Target="http://data.aade.gr/eli/pri/law/2022/06/16/4941" TargetMode="External" /><Relationship Id="rId107" Type="http://schemas.openxmlformats.org/officeDocument/2006/relationships/hyperlink" Target="http://data.aade.gr/eli/pri/law/2022/12/08/5000" TargetMode="External" /><Relationship Id="rId108" Type="http://schemas.openxmlformats.org/officeDocument/2006/relationships/hyperlink" Target="http://data.aade.gr/eli/pri/law/2022/06/16/4941" TargetMode="External" /><Relationship Id="rId109" Type="http://schemas.openxmlformats.org/officeDocument/2006/relationships/hyperlink" Target="http://data.aade.gr/eli/pri/law/2022/12/08/5000" TargetMode="External" /><Relationship Id="rId11" Type="http://schemas.openxmlformats.org/officeDocument/2006/relationships/hyperlink" Target="http://data.aade.gr/eli/pri/law/2025/04/11/5193" TargetMode="External" /><Relationship Id="rId110" Type="http://schemas.openxmlformats.org/officeDocument/2006/relationships/hyperlink" Target="http://data.aade.gr/eli/pri/law/2022/06/16/4941" TargetMode="External" /><Relationship Id="rId111" Type="http://schemas.openxmlformats.org/officeDocument/2006/relationships/hyperlink" Target="http://data.aade.gr/eli/pri/law/2022/12/08/5000" TargetMode="External" /><Relationship Id="rId112" Type="http://schemas.openxmlformats.org/officeDocument/2006/relationships/hyperlink" Target="http://data.aade.gr/eli/pri/law/2022/06/16/4941" TargetMode="External" /><Relationship Id="rId113" Type="http://schemas.openxmlformats.org/officeDocument/2006/relationships/hyperlink" Target="http://data.aade.gr/eli/pri/law/2022/12/08/5000" TargetMode="External" /><Relationship Id="rId114" Type="http://schemas.openxmlformats.org/officeDocument/2006/relationships/hyperlink" Target="http://data.aade.gr/eli/pri/law/2022/06/16/4941" TargetMode="External" /><Relationship Id="rId115" Type="http://schemas.openxmlformats.org/officeDocument/2006/relationships/hyperlink" Target="http://data.aade.gr/eli/pri/law/2022/12/08/5000" TargetMode="External" /><Relationship Id="rId116" Type="http://schemas.openxmlformats.org/officeDocument/2006/relationships/hyperlink" Target="http://data.aade.gr/eli/pri/law/2022/06/16/4941" TargetMode="External" /><Relationship Id="rId117" Type="http://schemas.openxmlformats.org/officeDocument/2006/relationships/hyperlink" Target="http://data.aade.gr/eli/pri/law/2025/04/11/5193" TargetMode="External" /><Relationship Id="rId118" Type="http://schemas.openxmlformats.org/officeDocument/2006/relationships/hyperlink" Target="http://data.aade.gr/eli/pri/law/2022/06/16/4941" TargetMode="External" /><Relationship Id="rId119" Type="http://schemas.openxmlformats.org/officeDocument/2006/relationships/hyperlink" Target="http://data.aade.gr/eli/pri/law/2025/04/11/5193" TargetMode="External" /><Relationship Id="rId12" Type="http://schemas.openxmlformats.org/officeDocument/2006/relationships/hyperlink" Target="http://data.aade.gr/eli/pri/law/2020/06/30/4701" TargetMode="External" /><Relationship Id="rId120" Type="http://schemas.openxmlformats.org/officeDocument/2006/relationships/hyperlink" Target="http://data.aade.gr/eli/pri/law/2025/04/11/5193" TargetMode="External" /><Relationship Id="rId121" Type="http://schemas.openxmlformats.org/officeDocument/2006/relationships/hyperlink" Target="http://data.aade.gr/eli/pri/law/2025/04/11/5193" TargetMode="External" /><Relationship Id="rId122" Type="http://schemas.openxmlformats.org/officeDocument/2006/relationships/hyperlink" Target="http://data.aade.gr/eli/pri/law/2025/04/11/5193" TargetMode="External" /><Relationship Id="rId123" Type="http://schemas.openxmlformats.org/officeDocument/2006/relationships/hyperlink" Target="http://data.aade.gr/eli/pri/law/2025/04/11/5193" TargetMode="External" /><Relationship Id="rId124" Type="http://schemas.openxmlformats.org/officeDocument/2006/relationships/hyperlink" Target="http://data.aade.gr/eli/pri/law/2025/04/11/5193" TargetMode="External" /><Relationship Id="rId125" Type="http://schemas.openxmlformats.org/officeDocument/2006/relationships/hyperlink" Target="http://data.aade.gr/eli/pri/law/2025/04/11/5193" TargetMode="External" /><Relationship Id="rId126" Type="http://schemas.openxmlformats.org/officeDocument/2006/relationships/hyperlink" Target="http://data.aade.gr/eli/pri/law/2025/04/11/5193" TargetMode="External" /><Relationship Id="rId127" Type="http://schemas.openxmlformats.org/officeDocument/2006/relationships/hyperlink" Target="http://data.aade.gr/eli/pri/law/2025/04/11/5193" TargetMode="External" /><Relationship Id="rId128" Type="http://schemas.openxmlformats.org/officeDocument/2006/relationships/hyperlink" Target="http://data.aade.gr/eli/pri/law/2025/04/11/5193" TargetMode="External" /><Relationship Id="rId129" Type="http://schemas.openxmlformats.org/officeDocument/2006/relationships/hyperlink" Target="http://data.aade.gr/eli/pri/law/2025/04/11/5193" TargetMode="External" /><Relationship Id="rId13" Type="http://schemas.openxmlformats.org/officeDocument/2006/relationships/hyperlink" Target="http://data.aade.gr/eli/pri/law/2025/04/11/5193" TargetMode="External" /><Relationship Id="rId130" Type="http://schemas.openxmlformats.org/officeDocument/2006/relationships/hyperlink" Target="http://data.aade.gr/eli/pri/law/2025/04/11/5193" TargetMode="External" /><Relationship Id="rId131" Type="http://schemas.openxmlformats.org/officeDocument/2006/relationships/hyperlink" Target="http://data.aade.gr/eli/pri/law/2025/04/11/5193" TargetMode="External" /><Relationship Id="rId132" Type="http://schemas.openxmlformats.org/officeDocument/2006/relationships/hyperlink" Target="http://data.aade.gr/eli/pri/law/2025/04/11/5193" TargetMode="External" /><Relationship Id="rId133" Type="http://schemas.openxmlformats.org/officeDocument/2006/relationships/hyperlink" Target="http://data.aade.gr/eli/pri/law/2025/04/11/5193" TargetMode="External" /><Relationship Id="rId134" Type="http://schemas.openxmlformats.org/officeDocument/2006/relationships/hyperlink" Target="http://data.aade.gr/eli/pri/law/2025/04/11/5193" TargetMode="External" /><Relationship Id="rId135" Type="http://schemas.openxmlformats.org/officeDocument/2006/relationships/hyperlink" Target="http://data.aade.gr/eli/pri/law/2025/04/11/5193" TargetMode="External" /><Relationship Id="rId136" Type="http://schemas.openxmlformats.org/officeDocument/2006/relationships/hyperlink" Target="http://data.aade.gr/eli/pri/law/2025/04/11/5193" TargetMode="External" /><Relationship Id="rId137" Type="http://schemas.openxmlformats.org/officeDocument/2006/relationships/hyperlink" Target="http://data.aade.gr/eli/pri/law/2025/04/11/5193" TargetMode="External" /><Relationship Id="rId138" Type="http://schemas.openxmlformats.org/officeDocument/2006/relationships/hyperlink" Target="http://data.aade.gr/eli/pri/law/2025/04/11/5193" TargetMode="External" /><Relationship Id="rId139" Type="http://schemas.openxmlformats.org/officeDocument/2006/relationships/hyperlink" Target="http://data.aade.gr/eli/pri/law/2025/04/11/5193" TargetMode="External" /><Relationship Id="rId14" Type="http://schemas.openxmlformats.org/officeDocument/2006/relationships/hyperlink" Target="http://data.aade.gr/eli/pri/law/2019/04/24/4607" TargetMode="External" /><Relationship Id="rId140" Type="http://schemas.openxmlformats.org/officeDocument/2006/relationships/hyperlink" Target="http://data.aade.gr/eli/pri/law/2023/04/08/5042" TargetMode="External" /><Relationship Id="rId141" Type="http://schemas.openxmlformats.org/officeDocument/2006/relationships/hyperlink" Target="http://data.aade.gr/eli/pri/law/2021/07/09/4816" TargetMode="External" /><Relationship Id="rId142" Type="http://schemas.openxmlformats.org/officeDocument/2006/relationships/hyperlink" Target="http://data.aade.gr/eli/pri/law/2021/07/09/4816" TargetMode="External" /><Relationship Id="rId143" Type="http://schemas.openxmlformats.org/officeDocument/2006/relationships/hyperlink" Target="http://data.aade.gr/eli/pri/law/2021/07/09/4816" TargetMode="External" /><Relationship Id="rId144" Type="http://schemas.openxmlformats.org/officeDocument/2006/relationships/hyperlink" Target="http://data.aade.gr/eli/pri/law/2021/07/09/4816" TargetMode="External" /><Relationship Id="rId145" Type="http://schemas.openxmlformats.org/officeDocument/2006/relationships/hyperlink" Target="http://data.aade.gr/eli/pri/law/2021/07/09/4816" TargetMode="External" /><Relationship Id="rId146" Type="http://schemas.openxmlformats.org/officeDocument/2006/relationships/hyperlink" Target="http://data.aade.gr/eli/pri/law/2023/04/03/5039" TargetMode="External" /><Relationship Id="rId147" Type="http://schemas.openxmlformats.org/officeDocument/2006/relationships/hyperlink" Target="http://data.aade.gr/eli/pri/law/2021/07/09/4816" TargetMode="External" /><Relationship Id="rId148" Type="http://schemas.openxmlformats.org/officeDocument/2006/relationships/hyperlink" Target="http://data.aade.gr/eli/pri/law/2021/07/09/4816" TargetMode="External" /><Relationship Id="rId149" Type="http://schemas.openxmlformats.org/officeDocument/2006/relationships/hyperlink" Target="http://data.aade.gr/eli/pri/law/2021/07/09/4816" TargetMode="External" /><Relationship Id="rId15" Type="http://schemas.openxmlformats.org/officeDocument/2006/relationships/hyperlink" Target="http://data.aade.gr/eli/pri/law/2025/04/11/5193" TargetMode="External" /><Relationship Id="rId150" Type="http://schemas.openxmlformats.org/officeDocument/2006/relationships/hyperlink" Target="http://data.aade.gr/eli/pri/law/2021/07/09/4816" TargetMode="External" /><Relationship Id="rId151" Type="http://schemas.openxmlformats.org/officeDocument/2006/relationships/hyperlink" Target="http://data.aade.gr/eli/pri/law/2021/07/09/4816" TargetMode="External" /><Relationship Id="rId152" Type="http://schemas.openxmlformats.org/officeDocument/2006/relationships/hyperlink" Target="http://data.aade.gr/eli/pri/law/2021/07/09/4816" TargetMode="External" /><Relationship Id="rId153" Type="http://schemas.openxmlformats.org/officeDocument/2006/relationships/hyperlink" Target="http://data.aade.gr/eli/pri/law/2021/07/09/4816" TargetMode="External" /><Relationship Id="rId154" Type="http://schemas.openxmlformats.org/officeDocument/2006/relationships/hyperlink" Target="http://data.aade.gr/eli/pri/law/2021/07/09/4816" TargetMode="External" /><Relationship Id="rId155" Type="http://schemas.openxmlformats.org/officeDocument/2006/relationships/hyperlink" Target="http://data.aade.gr/eli/pri/law/2021/07/09/4816" TargetMode="External" /><Relationship Id="rId156" Type="http://schemas.openxmlformats.org/officeDocument/2006/relationships/hyperlink" Target="http://data.aade.gr/eli/pri/law/2021/07/09/4816" TargetMode="External" /><Relationship Id="rId157" Type="http://schemas.openxmlformats.org/officeDocument/2006/relationships/hyperlink" Target="http://data.aade.gr/eli/pri/law/2021/07/09/4816" TargetMode="External" /><Relationship Id="rId158" Type="http://schemas.openxmlformats.org/officeDocument/2006/relationships/hyperlink" Target="http://data.aade.gr/eli/pri/law/2021/07/09/4816" TargetMode="External" /><Relationship Id="rId159" Type="http://schemas.openxmlformats.org/officeDocument/2006/relationships/hyperlink" Target="http://data.aade.gr/eli/pri/law/2021/07/09/4816" TargetMode="External" /><Relationship Id="rId16" Type="http://schemas.openxmlformats.org/officeDocument/2006/relationships/hyperlink" Target="http://data.aade.gr/eli/pri/law/2025/04/11/5193" TargetMode="External" /><Relationship Id="rId160" Type="http://schemas.openxmlformats.org/officeDocument/2006/relationships/hyperlink" Target="http://data.aade.gr/eli/pri/law/2021/07/09/4816" TargetMode="External" /><Relationship Id="rId161" Type="http://schemas.openxmlformats.org/officeDocument/2006/relationships/hyperlink" Target="http://data.aade.gr/eli/pri/law/2021/07/09/4816" TargetMode="External" /><Relationship Id="rId162" Type="http://schemas.openxmlformats.org/officeDocument/2006/relationships/hyperlink" Target="http://data.aade.gr/eli/pri/law/2021/07/09/4816" TargetMode="External" /><Relationship Id="rId163" Type="http://schemas.openxmlformats.org/officeDocument/2006/relationships/hyperlink" Target="http://data.aade.gr/eli/pri/law/2021/07/09/4816" TargetMode="External" /><Relationship Id="rId164" Type="http://schemas.openxmlformats.org/officeDocument/2006/relationships/hyperlink" Target="http://data.aade.gr/eli/pri/law/2021/07/09/4816" TargetMode="External" /><Relationship Id="rId165" Type="http://schemas.openxmlformats.org/officeDocument/2006/relationships/hyperlink" Target="http://data.aade.gr/eli/pri/law/2021/07/09/4816" TargetMode="External" /><Relationship Id="rId166" Type="http://schemas.openxmlformats.org/officeDocument/2006/relationships/hyperlink" Target="http://data.aade.gr/eli/pri/law/2021/07/09/4816" TargetMode="External" /><Relationship Id="rId167" Type="http://schemas.openxmlformats.org/officeDocument/2006/relationships/hyperlink" Target="http://data.aade.gr/eli/pri/law/2021/07/09/4816" TargetMode="External" /><Relationship Id="rId168" Type="http://schemas.openxmlformats.org/officeDocument/2006/relationships/hyperlink" Target="http://data.aade.gr/eli/pri/law/2021/07/09/4816" TargetMode="External" /><Relationship Id="rId169" Type="http://schemas.openxmlformats.org/officeDocument/2006/relationships/hyperlink" Target="http://data.aade.gr/eli/pri/law/2021/07/09/4816" TargetMode="External" /><Relationship Id="rId17" Type="http://schemas.openxmlformats.org/officeDocument/2006/relationships/hyperlink" Target="http://data.aade.gr/eli/pri/law/2025/04/11/5193" TargetMode="External" /><Relationship Id="rId170" Type="http://schemas.openxmlformats.org/officeDocument/2006/relationships/hyperlink" Target="http://data.aade.gr/eli/pri/law/2021/07/09/4816" TargetMode="External" /><Relationship Id="rId171" Type="http://schemas.openxmlformats.org/officeDocument/2006/relationships/hyperlink" Target="http://data.aade.gr/eli/pri/law/2021/07/09/4816" TargetMode="External" /><Relationship Id="rId172" Type="http://schemas.openxmlformats.org/officeDocument/2006/relationships/hyperlink" Target="http://data.aade.gr/eli/pri/law/2021/07/09/4816" TargetMode="External" /><Relationship Id="rId173" Type="http://schemas.openxmlformats.org/officeDocument/2006/relationships/hyperlink" Target="http://data.aade.gr/eli/pri/law/2021/07/09/4816" TargetMode="External" /><Relationship Id="rId174" Type="http://schemas.openxmlformats.org/officeDocument/2006/relationships/hyperlink" Target="http://data.aade.gr/eli/pri/law/2021/07/09/4816" TargetMode="External" /><Relationship Id="rId175" Type="http://schemas.openxmlformats.org/officeDocument/2006/relationships/hyperlink" Target="http://data.aade.gr/eli/pri/law/2021/07/09/4816" TargetMode="External" /><Relationship Id="rId176" Type="http://schemas.openxmlformats.org/officeDocument/2006/relationships/hyperlink" Target="http://data.aade.gr/eli/pri/law/2021/07/09/4816" TargetMode="External" /><Relationship Id="rId177" Type="http://schemas.openxmlformats.org/officeDocument/2006/relationships/hyperlink" Target="http://data.aade.gr/eli/pri/law/2021/07/09/4816" TargetMode="External" /><Relationship Id="rId178" Type="http://schemas.openxmlformats.org/officeDocument/2006/relationships/hyperlink" Target="http://data.aade.gr/eli/pri/law/2021/07/09/4816" TargetMode="External" /><Relationship Id="rId179" Type="http://schemas.openxmlformats.org/officeDocument/2006/relationships/hyperlink" Target="http://data.aade.gr/eli/pri/law/2021/11/12/4855" TargetMode="External" /><Relationship Id="rId18" Type="http://schemas.openxmlformats.org/officeDocument/2006/relationships/hyperlink" Target="http://data.aade.gr/eli/pri/law/2021/07/09/4816" TargetMode="External" /><Relationship Id="rId180" Type="http://schemas.openxmlformats.org/officeDocument/2006/relationships/hyperlink" Target="http://data.aade.gr/eli/pri/law/2021/07/09/4816" TargetMode="External" /><Relationship Id="rId181" Type="http://schemas.openxmlformats.org/officeDocument/2006/relationships/hyperlink" Target="http://data.aade.gr/eli/pri/law/2021/11/12/4855" TargetMode="External" /><Relationship Id="rId182" Type="http://schemas.openxmlformats.org/officeDocument/2006/relationships/hyperlink" Target="http://data.aade.gr/eli/pri/law/2021/07/09/4816" TargetMode="External" /><Relationship Id="rId183" Type="http://schemas.openxmlformats.org/officeDocument/2006/relationships/hyperlink" Target="http://data.aade.gr/eli/pri/law/2021/07/09/4816" TargetMode="External" /><Relationship Id="rId184" Type="http://schemas.openxmlformats.org/officeDocument/2006/relationships/hyperlink" Target="http://data.aade.gr/eli/pri/law/2021/11/12/4855" TargetMode="External" /><Relationship Id="rId185" Type="http://schemas.openxmlformats.org/officeDocument/2006/relationships/hyperlink" Target="http://data.aade.gr/eli/pri/law/2021/07/09/4816" TargetMode="External" /><Relationship Id="rId186" Type="http://schemas.openxmlformats.org/officeDocument/2006/relationships/hyperlink" Target="http://data.aade.gr/eli/pri/law/2021/07/09/4816" TargetMode="External" /><Relationship Id="rId187" Type="http://schemas.openxmlformats.org/officeDocument/2006/relationships/hyperlink" Target="http://data.aade.gr/eli/pri/law/2021/07/09/4816" TargetMode="External" /><Relationship Id="rId188" Type="http://schemas.openxmlformats.org/officeDocument/2006/relationships/hyperlink" Target="http://data.aade.gr/eli/pri/law/2021/07/09/4816" TargetMode="External" /><Relationship Id="rId189" Type="http://schemas.openxmlformats.org/officeDocument/2006/relationships/hyperlink" Target="http://data.aade.gr/eli/pri/law/2021/07/09/4816" TargetMode="External" /><Relationship Id="rId19" Type="http://schemas.openxmlformats.org/officeDocument/2006/relationships/hyperlink" Target="http://data.aade.gr/eli/pri/law/2021/07/09/4816" TargetMode="External" /><Relationship Id="rId190" Type="http://schemas.openxmlformats.org/officeDocument/2006/relationships/hyperlink" Target="http://data.aade.gr/eli/pri/law/2024/02/23/5090" TargetMode="External" /><Relationship Id="rId191" Type="http://schemas.openxmlformats.org/officeDocument/2006/relationships/hyperlink" Target="http://data.aade.gr/eli/pri/law/2021/07/09/4816" TargetMode="External" /><Relationship Id="rId192" Type="http://schemas.openxmlformats.org/officeDocument/2006/relationships/hyperlink" Target="http://data.aade.gr/eli/pri/law/2024/02/23/5090" TargetMode="External" /><Relationship Id="rId193" Type="http://schemas.openxmlformats.org/officeDocument/2006/relationships/hyperlink" Target="http://data.aade.gr/eli/pri/law/2021/07/09/4816" TargetMode="External" /><Relationship Id="rId194" Type="http://schemas.openxmlformats.org/officeDocument/2006/relationships/hyperlink" Target="http://data.aade.gr/eli/pri/law/2024/02/23/5090" TargetMode="External" /><Relationship Id="rId195" Type="http://schemas.openxmlformats.org/officeDocument/2006/relationships/hyperlink" Target="http://data.aade.gr/eli/pri/law/2021/07/09/4816" TargetMode="External" /><Relationship Id="rId196" Type="http://schemas.openxmlformats.org/officeDocument/2006/relationships/hyperlink" Target="http://data.aade.gr/eli/pri/law/2021/04/24/4798" TargetMode="External" /><Relationship Id="rId197" Type="http://schemas.openxmlformats.org/officeDocument/2006/relationships/hyperlink" Target="http://data.aade.gr/eli/pri/law/2023/12/22/5079"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24/12/05/5162"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00" Type="http://schemas.openxmlformats.org/officeDocument/2006/relationships/hyperlink" Target="http://data.aade.gr/eli/pri/law/2021/07/09/4816" TargetMode="External" /><Relationship Id="rId201" Type="http://schemas.openxmlformats.org/officeDocument/2006/relationships/hyperlink" Target="http://data.aade.gr/eli/pri/law/2024/12/05/5162" TargetMode="External" /><Relationship Id="rId202" Type="http://schemas.openxmlformats.org/officeDocument/2006/relationships/hyperlink" Target="http://data.aade.gr/eli/pri/law/2024/12/05/5162" TargetMode="External" /><Relationship Id="rId203" Type="http://schemas.openxmlformats.org/officeDocument/2006/relationships/hyperlink" Target="http://data.aade.gr/eli/pri/law/2024/12/05/5162" TargetMode="External" /><Relationship Id="rId204" Type="http://schemas.openxmlformats.org/officeDocument/2006/relationships/hyperlink" Target="http://data.aade.gr/eli/pri/law/2024/12/05/5162"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24/12/05/5162" TargetMode="External" /><Relationship Id="rId207" Type="http://schemas.openxmlformats.org/officeDocument/2006/relationships/hyperlink" Target="http://data.aade.gr/eli/pri/law/2024/12/05/5162"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24/12/05/5162" TargetMode="External" /><Relationship Id="rId21" Type="http://schemas.openxmlformats.org/officeDocument/2006/relationships/hyperlink" Target="http://data.aade.gr/eli/pri/law/2021/07/09/4816" TargetMode="External" /><Relationship Id="rId210" Type="http://schemas.openxmlformats.org/officeDocument/2006/relationships/hyperlink" Target="http://data.aade.gr/eli/pri/law/2024/12/05/5162" TargetMode="External" /><Relationship Id="rId211" Type="http://schemas.openxmlformats.org/officeDocument/2006/relationships/hyperlink" Target="http://data.aade.gr/eli/pri/law/2024/12/05/5162" TargetMode="External" /><Relationship Id="rId212" Type="http://schemas.openxmlformats.org/officeDocument/2006/relationships/hyperlink" Target="http://data.aade.gr/eli/pri/law/2024/12/05/5162" TargetMode="External" /><Relationship Id="rId213" Type="http://schemas.openxmlformats.org/officeDocument/2006/relationships/hyperlink" Target="http://data.aade.gr/eli/pri/law/2024/12/05/5162" TargetMode="External" /><Relationship Id="rId214" Type="http://schemas.openxmlformats.org/officeDocument/2006/relationships/hyperlink" Target="http://data.aade.gr/eli/pri/law/2024/12/05/5162" TargetMode="External" /><Relationship Id="rId215" Type="http://schemas.openxmlformats.org/officeDocument/2006/relationships/hyperlink" Target="http://data.aade.gr/eli/pri/law/2024/12/05/5162" TargetMode="External" /><Relationship Id="rId216" Type="http://schemas.openxmlformats.org/officeDocument/2006/relationships/hyperlink" Target="http://data.aade.gr/eli/pri/law/2024/12/05/5162" TargetMode="External" /><Relationship Id="rId217" Type="http://schemas.openxmlformats.org/officeDocument/2006/relationships/hyperlink" Target="http://data.aade.gr/eli/pri/law/2024/12/05/5162" TargetMode="External" /><Relationship Id="rId218" Type="http://schemas.openxmlformats.org/officeDocument/2006/relationships/hyperlink" Target="http://data.aade.gr/eli/pri/law/2024/12/05/5162" TargetMode="External" /><Relationship Id="rId219" Type="http://schemas.openxmlformats.org/officeDocument/2006/relationships/hyperlink" Target="http://data.aade.gr/eli/pri/law/2024/12/05/5162" TargetMode="External" /><Relationship Id="rId22" Type="http://schemas.openxmlformats.org/officeDocument/2006/relationships/hyperlink" Target="http://data.aade.gr/eli/pri/law/2021/07/09/4816" TargetMode="External" /><Relationship Id="rId220" Type="http://schemas.openxmlformats.org/officeDocument/2006/relationships/hyperlink" Target="http://data.aade.gr/eli/pri/law/2024/12/05/5162" TargetMode="External" /><Relationship Id="rId221" Type="http://schemas.openxmlformats.org/officeDocument/2006/relationships/hyperlink" Target="http://data.aade.gr/eli/pri/law/2024/12/05/5162" TargetMode="External" /><Relationship Id="rId222" Type="http://schemas.openxmlformats.org/officeDocument/2006/relationships/hyperlink" Target="http://data.aade.gr/eli/pri/law/2024/12/05/5162" TargetMode="External" /><Relationship Id="rId223" Type="http://schemas.openxmlformats.org/officeDocument/2006/relationships/hyperlink" Target="http://data.aade.gr/eli/pri/law/2024/12/05/5162" TargetMode="External" /><Relationship Id="rId224" Type="http://schemas.openxmlformats.org/officeDocument/2006/relationships/hyperlink" Target="http://data.aade.gr/eli/pri/law/2024/12/05/5162" TargetMode="External" /><Relationship Id="rId225" Type="http://schemas.openxmlformats.org/officeDocument/2006/relationships/hyperlink" Target="http://data.aade.gr/eli/pri/law/2024/12/05/5162" TargetMode="External" /><Relationship Id="rId226" Type="http://schemas.openxmlformats.org/officeDocument/2006/relationships/hyperlink" Target="http://data.aade.gr/eli/pri/law/2024/12/05/5162" TargetMode="External" /><Relationship Id="rId227" Type="http://schemas.openxmlformats.org/officeDocument/2006/relationships/hyperlink" Target="http://data.aade.gr/eli/pri/law/2024/12/05/5162" TargetMode="External" /><Relationship Id="rId228" Type="http://schemas.openxmlformats.org/officeDocument/2006/relationships/hyperlink" Target="http://data.aade.gr/eli/pri/law/2024/12/05/5162" TargetMode="External" /><Relationship Id="rId229" Type="http://schemas.openxmlformats.org/officeDocument/2006/relationships/hyperlink" Target="http://data.aade.gr/eli/pri/law/2024/12/05/5162" TargetMode="External" /><Relationship Id="rId23" Type="http://schemas.openxmlformats.org/officeDocument/2006/relationships/hyperlink" Target="http://data.aade.gr/eli/pri/law/2021/07/09/4816" TargetMode="External" /><Relationship Id="rId230" Type="http://schemas.openxmlformats.org/officeDocument/2006/relationships/hyperlink" Target="http://data.aade.gr/eli/pri/law/2024/12/05/5162" TargetMode="External" /><Relationship Id="rId231" Type="http://schemas.openxmlformats.org/officeDocument/2006/relationships/hyperlink" Target="http://data.aade.gr/eli/pri/law/2024/12/05/5162" TargetMode="External" /><Relationship Id="rId232" Type="http://schemas.openxmlformats.org/officeDocument/2006/relationships/hyperlink" Target="http://data.aade.gr/eli/pri/law/2024/12/05/5162" TargetMode="External" /><Relationship Id="rId233" Type="http://schemas.openxmlformats.org/officeDocument/2006/relationships/hyperlink" Target="http://data.aade.gr/eli/pri/law/2024/12/05/5162" TargetMode="External" /><Relationship Id="rId234" Type="http://schemas.openxmlformats.org/officeDocument/2006/relationships/hyperlink" Target="http://data.aade.gr/eli/pri/law/2024/12/05/5162" TargetMode="External" /><Relationship Id="rId235" Type="http://schemas.openxmlformats.org/officeDocument/2006/relationships/hyperlink" Target="http://data.aade.gr/eli/pri/law/2024/12/05/5162" TargetMode="External" /><Relationship Id="rId236" Type="http://schemas.openxmlformats.org/officeDocument/2006/relationships/hyperlink" Target="http://data.aade.gr/eli/pri/law/2024/12/05/5162" TargetMode="External" /><Relationship Id="rId237" Type="http://schemas.openxmlformats.org/officeDocument/2006/relationships/hyperlink" Target="http://data.aade.gr/eli/pri/law/2024/12/05/5162" TargetMode="External" /><Relationship Id="rId238" Type="http://schemas.openxmlformats.org/officeDocument/2006/relationships/hyperlink" Target="http://data.aade.gr/eli/pri/law/2024/12/05/5162" TargetMode="External" /><Relationship Id="rId239" Type="http://schemas.openxmlformats.org/officeDocument/2006/relationships/hyperlink" Target="http://data.aade.gr/eli/pri/law/2024/12/05/5162" TargetMode="External" /><Relationship Id="rId24" Type="http://schemas.openxmlformats.org/officeDocument/2006/relationships/hyperlink" Target="http://data.aade.gr/eli/pri/law/2021/07/09/4816" TargetMode="External" /><Relationship Id="rId240" Type="http://schemas.openxmlformats.org/officeDocument/2006/relationships/hyperlink" Target="http://data.aade.gr/eli/pri/law/2024/12/05/5162" TargetMode="External" /><Relationship Id="rId241" Type="http://schemas.openxmlformats.org/officeDocument/2006/relationships/hyperlink" Target="http://data.aade.gr/eli/pri/law/2024/12/05/5162" TargetMode="External" /><Relationship Id="rId242" Type="http://schemas.openxmlformats.org/officeDocument/2006/relationships/hyperlink" Target="http://data.aade.gr/eli/pri/law/2024/12/05/5162" TargetMode="External" /><Relationship Id="rId243" Type="http://schemas.openxmlformats.org/officeDocument/2006/relationships/hyperlink" Target="http://data.aade.gr/eli/pri/law/2024/12/05/5162" TargetMode="External" /><Relationship Id="rId244" Type="http://schemas.openxmlformats.org/officeDocument/2006/relationships/hyperlink" Target="http://data.aade.gr/eli/pri/law/2024/12/05/5162" TargetMode="External" /><Relationship Id="rId245" Type="http://schemas.openxmlformats.org/officeDocument/2006/relationships/hyperlink" Target="http://data.aade.gr/eli/pri/law/2024/12/05/5162" TargetMode="External" /><Relationship Id="rId246" Type="http://schemas.openxmlformats.org/officeDocument/2006/relationships/hyperlink" Target="http://data.aade.gr/eli/pri/law/2024/12/05/5162" TargetMode="External" /><Relationship Id="rId247" Type="http://schemas.openxmlformats.org/officeDocument/2006/relationships/hyperlink" Target="http://data.aade.gr/eli/pri/law/2024/12/05/5162" TargetMode="External" /><Relationship Id="rId248" Type="http://schemas.openxmlformats.org/officeDocument/2006/relationships/hyperlink" Target="http://data.aade.gr/eli/pri/law/2024/12/05/5162" TargetMode="External" /><Relationship Id="rId249" Type="http://schemas.openxmlformats.org/officeDocument/2006/relationships/hyperlink" Target="http://data.aade.gr/eli/pri/law/2024/12/05/5162" TargetMode="External" /><Relationship Id="rId25" Type="http://schemas.openxmlformats.org/officeDocument/2006/relationships/hyperlink" Target="http://data.aade.gr/eli/pri/law/2021/07/09/4816" TargetMode="External" /><Relationship Id="rId250" Type="http://schemas.openxmlformats.org/officeDocument/2006/relationships/hyperlink" Target="http://data.aade.gr/eli/pri/law/2024/12/05/5162" TargetMode="External" /><Relationship Id="rId251" Type="http://schemas.openxmlformats.org/officeDocument/2006/relationships/hyperlink" Target="http://data.aade.gr/eli/pri/law/2024/12/05/5162" TargetMode="External" /><Relationship Id="rId252" Type="http://schemas.openxmlformats.org/officeDocument/2006/relationships/hyperlink" Target="http://data.aade.gr/eli/pri/law/2024/12/05/5162" TargetMode="External" /><Relationship Id="rId253" Type="http://schemas.openxmlformats.org/officeDocument/2006/relationships/hyperlink" Target="http://data.aade.gr/eli/pri/law/2024/12/05/5162" TargetMode="External" /><Relationship Id="rId254" Type="http://schemas.openxmlformats.org/officeDocument/2006/relationships/hyperlink" Target="http://data.aade.gr/eli/pri/law/2024/12/05/5162" TargetMode="External" /><Relationship Id="rId255" Type="http://schemas.openxmlformats.org/officeDocument/2006/relationships/hyperlink" Target="http://data.aade.gr/eli/pri/law/2024/12/05/5162" TargetMode="External" /><Relationship Id="rId256" Type="http://schemas.openxmlformats.org/officeDocument/2006/relationships/hyperlink" Target="http://data.aade.gr/eli/pri/law/2024/12/05/5162" TargetMode="External" /><Relationship Id="rId257" Type="http://schemas.openxmlformats.org/officeDocument/2006/relationships/hyperlink" Target="http://data.aade.gr/eli/pri/law/2024/12/05/5162" TargetMode="External" /><Relationship Id="rId258" Type="http://schemas.openxmlformats.org/officeDocument/2006/relationships/hyperlink" Target="http://data.aade.gr/eli/pri/law/2024/12/05/5162" TargetMode="External" /><Relationship Id="rId259" Type="http://schemas.openxmlformats.org/officeDocument/2006/relationships/hyperlink" Target="http://data.aade.gr/eli/pri/law/2024/12/05/5162" TargetMode="External" /><Relationship Id="rId26" Type="http://schemas.openxmlformats.org/officeDocument/2006/relationships/hyperlink" Target="http://data.aade.gr/eli/pri/law/2023/04/03/5039" TargetMode="External" /><Relationship Id="rId260" Type="http://schemas.openxmlformats.org/officeDocument/2006/relationships/hyperlink" Target="http://data.aade.gr/eli/pri/law/2024/12/05/5162" TargetMode="External" /><Relationship Id="rId261" Type="http://schemas.openxmlformats.org/officeDocument/2006/relationships/hyperlink" Target="http://data.aade.gr/eli/pri/law/2024/12/05/5162" TargetMode="External" /><Relationship Id="rId262" Type="http://schemas.openxmlformats.org/officeDocument/2006/relationships/hyperlink" Target="http://data.aade.gr/eli/pri/law/2024/12/05/5162" TargetMode="External" /><Relationship Id="rId263" Type="http://schemas.openxmlformats.org/officeDocument/2006/relationships/hyperlink" Target="http://data.aade.gr/eli/pri/law/2024/12/05/5162" TargetMode="External" /><Relationship Id="rId264" Type="http://schemas.openxmlformats.org/officeDocument/2006/relationships/hyperlink" Target="http://data.aade.gr/eli/pri/law/2024/12/05/5162" TargetMode="External" /><Relationship Id="rId265" Type="http://schemas.openxmlformats.org/officeDocument/2006/relationships/hyperlink" Target="http://data.aade.gr/eli/pri/law/2024/12/05/5162" TargetMode="External" /><Relationship Id="rId266" Type="http://schemas.openxmlformats.org/officeDocument/2006/relationships/hyperlink" Target="http://data.aade.gr/eli/pri/law/2024/12/05/5162" TargetMode="External" /><Relationship Id="rId267" Type="http://schemas.openxmlformats.org/officeDocument/2006/relationships/hyperlink" Target="http://data.aade.gr/eli/pri/law/2020/02/14/4664" TargetMode="External" /><Relationship Id="rId268" Type="http://schemas.openxmlformats.org/officeDocument/2006/relationships/hyperlink" Target="http://data.aade.gr/eli/pri/law/2020/02/14/4664" TargetMode="External" /><Relationship Id="rId269" Type="http://schemas.openxmlformats.org/officeDocument/2006/relationships/hyperlink" Target="http://data.aade.gr/eli/pri/law/2020/02/14/4664" TargetMode="External" /><Relationship Id="rId27" Type="http://schemas.openxmlformats.org/officeDocument/2006/relationships/hyperlink" Target="http://data.aade.gr/eli/pri/law/2021/07/09/4816" TargetMode="External" /><Relationship Id="rId270" Type="http://schemas.openxmlformats.org/officeDocument/2006/relationships/hyperlink" Target="http://data.aade.gr/eli/pri/law/2020/02/14/4664" TargetMode="External" /><Relationship Id="rId271" Type="http://schemas.openxmlformats.org/officeDocument/2006/relationships/hyperlink" Target="http://data.aade.gr/eli/pri/law/2020/02/14/4664"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1/07/09/4816" TargetMode="External" /><Relationship Id="rId39" Type="http://schemas.openxmlformats.org/officeDocument/2006/relationships/hyperlink" Target="http://data.aade.gr/eli/pri/law/2021/07/09/4816"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21/07/09/4816" TargetMode="External" /><Relationship Id="rId41" Type="http://schemas.openxmlformats.org/officeDocument/2006/relationships/hyperlink" Target="http://data.aade.gr/eli/pri/law/2021/07/09/4816" TargetMode="External" /><Relationship Id="rId42" Type="http://schemas.openxmlformats.org/officeDocument/2006/relationships/hyperlink" Target="http://data.aade.gr/eli/pri/law/2021/07/09/4816" TargetMode="External" /><Relationship Id="rId43" Type="http://schemas.openxmlformats.org/officeDocument/2006/relationships/hyperlink" Target="http://data.aade.gr/eli/pri/law/2021/07/09/4816" TargetMode="External" /><Relationship Id="rId44" Type="http://schemas.openxmlformats.org/officeDocument/2006/relationships/hyperlink" Target="http://data.aade.gr/eli/pri/law/2025/04/11/5193" TargetMode="External" /><Relationship Id="rId45" Type="http://schemas.openxmlformats.org/officeDocument/2006/relationships/hyperlink" Target="http://data.aade.gr/eli/pri/law/2025/04/11/5193" TargetMode="External" /><Relationship Id="rId46" Type="http://schemas.openxmlformats.org/officeDocument/2006/relationships/hyperlink" Target="http://data.aade.gr/eli/pri/law/2023/04/08/5042" TargetMode="External" /><Relationship Id="rId47" Type="http://schemas.openxmlformats.org/officeDocument/2006/relationships/hyperlink" Target="http://data.aade.gr/eli/pri/law/2020/06/30/4701" TargetMode="External" /><Relationship Id="rId48" Type="http://schemas.openxmlformats.org/officeDocument/2006/relationships/hyperlink" Target="http://data.aade.gr/eli/pri/law/2025/04/11/5193" TargetMode="External" /><Relationship Id="rId49" Type="http://schemas.openxmlformats.org/officeDocument/2006/relationships/hyperlink" Target="http://data.aade.gr/eli/pri/law/2025/04/11/5193"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5/04/11/5193" TargetMode="External" /><Relationship Id="rId51" Type="http://schemas.openxmlformats.org/officeDocument/2006/relationships/hyperlink" Target="http://data.aade.gr/eli/pri/law/2025/04/11/5193" TargetMode="External" /><Relationship Id="rId52" Type="http://schemas.openxmlformats.org/officeDocument/2006/relationships/hyperlink" Target="http://data.aade.gr/eli/pri/law/2025/04/11/5193" TargetMode="External" /><Relationship Id="rId53" Type="http://schemas.openxmlformats.org/officeDocument/2006/relationships/hyperlink" Target="http://data.aade.gr/eli/pri/law/2025/04/11/5193" TargetMode="External" /><Relationship Id="rId54" Type="http://schemas.openxmlformats.org/officeDocument/2006/relationships/hyperlink" Target="http://data.aade.gr/eli/pri/law/2025/04/11/5193" TargetMode="External" /><Relationship Id="rId55" Type="http://schemas.openxmlformats.org/officeDocument/2006/relationships/hyperlink" Target="http://data.aade.gr/eli/pri/law/2025/04/11/5193" TargetMode="External" /><Relationship Id="rId56" Type="http://schemas.openxmlformats.org/officeDocument/2006/relationships/hyperlink" Target="http://data.aade.gr/eli/pri/law/2018/12/18/4583" TargetMode="External" /><Relationship Id="rId57" Type="http://schemas.openxmlformats.org/officeDocument/2006/relationships/hyperlink" Target="http://data.aade.gr/eli/pri/law/2020/07/14/4704" TargetMode="External" /><Relationship Id="rId58" Type="http://schemas.openxmlformats.org/officeDocument/2006/relationships/hyperlink" Target="http://data.aade.gr/eli/pri/law/2019/04/24/4607" TargetMode="External" /><Relationship Id="rId59" Type="http://schemas.openxmlformats.org/officeDocument/2006/relationships/hyperlink" Target="http://data.aade.gr/eli/pri/law/2025/04/11/5193"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5/04/11/5193" TargetMode="External" /><Relationship Id="rId61" Type="http://schemas.openxmlformats.org/officeDocument/2006/relationships/hyperlink" Target="http://data.aade.gr/eli/pri/law/2025/04/11/5193" TargetMode="External" /><Relationship Id="rId62" Type="http://schemas.openxmlformats.org/officeDocument/2006/relationships/hyperlink" Target="http://data.aade.gr/eli/pri/law/2025/04/11/5193" TargetMode="External" /><Relationship Id="rId63" Type="http://schemas.openxmlformats.org/officeDocument/2006/relationships/hyperlink" Target="http://data.aade.gr/eli/pri/law/2025/04/11/5193" TargetMode="External" /><Relationship Id="rId64" Type="http://schemas.openxmlformats.org/officeDocument/2006/relationships/hyperlink" Target="http://data.aade.gr/eli/pri/law/2025/04/11/5193" TargetMode="External" /><Relationship Id="rId65" Type="http://schemas.openxmlformats.org/officeDocument/2006/relationships/hyperlink" Target="http://data.aade.gr/eli/pri/law/2025/04/11/5193" TargetMode="External" /><Relationship Id="rId66" Type="http://schemas.openxmlformats.org/officeDocument/2006/relationships/hyperlink" Target="http://data.aade.gr/eli/pri/law/2025/04/11/5193" TargetMode="External" /><Relationship Id="rId67" Type="http://schemas.openxmlformats.org/officeDocument/2006/relationships/hyperlink" Target="http://data.aade.gr/eli/pri/law/2025/04/11/5193" TargetMode="External" /><Relationship Id="rId68" Type="http://schemas.openxmlformats.org/officeDocument/2006/relationships/hyperlink" Target="http://data.aade.gr/eli/pri/law/2025/04/11/5193" TargetMode="External" /><Relationship Id="rId69" Type="http://schemas.openxmlformats.org/officeDocument/2006/relationships/hyperlink" Target="http://data.aade.gr/eli/pri/law/2025/04/11/5193"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5/04/11/5193" TargetMode="External" /><Relationship Id="rId71" Type="http://schemas.openxmlformats.org/officeDocument/2006/relationships/hyperlink" Target="http://data.aade.gr/eli/pri/law/2025/04/11/5193" TargetMode="External" /><Relationship Id="rId72" Type="http://schemas.openxmlformats.org/officeDocument/2006/relationships/hyperlink" Target="http://data.aade.gr/eli/pri/law/2025/04/11/5193" TargetMode="External" /><Relationship Id="rId73" Type="http://schemas.openxmlformats.org/officeDocument/2006/relationships/hyperlink" Target="http://data.aade.gr/eli/pri/law/2025/04/11/5193" TargetMode="External" /><Relationship Id="rId74" Type="http://schemas.openxmlformats.org/officeDocument/2006/relationships/hyperlink" Target="http://data.aade.gr/eli/pri/law/2025/04/11/5193" TargetMode="External" /><Relationship Id="rId75" Type="http://schemas.openxmlformats.org/officeDocument/2006/relationships/hyperlink" Target="http://data.aade.gr/eli/pri/law/2025/04/11/5193" TargetMode="External" /><Relationship Id="rId76" Type="http://schemas.openxmlformats.org/officeDocument/2006/relationships/hyperlink" Target="http://data.aade.gr/eli/pri/law/2025/04/11/5193" TargetMode="External" /><Relationship Id="rId77" Type="http://schemas.openxmlformats.org/officeDocument/2006/relationships/hyperlink" Target="http://data.aade.gr/eli/pri/law/2025/04/11/5193" TargetMode="External" /><Relationship Id="rId78" Type="http://schemas.openxmlformats.org/officeDocument/2006/relationships/hyperlink" Target="http://data.aade.gr/eli/pri/law/2025/04/11/5193" TargetMode="External" /><Relationship Id="rId79" Type="http://schemas.openxmlformats.org/officeDocument/2006/relationships/hyperlink" Target="http://data.aade.gr/eli/pri/law/2025/04/11/5193"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5/04/11/5193" TargetMode="External" /><Relationship Id="rId81" Type="http://schemas.openxmlformats.org/officeDocument/2006/relationships/hyperlink" Target="http://data.aade.gr/eli/pri/law/2025/04/11/5193" TargetMode="External" /><Relationship Id="rId82" Type="http://schemas.openxmlformats.org/officeDocument/2006/relationships/hyperlink" Target="http://data.aade.gr/eli/pri/law/2022/06/16/4941" TargetMode="External" /><Relationship Id="rId83" Type="http://schemas.openxmlformats.org/officeDocument/2006/relationships/hyperlink" Target="http://data.aade.gr/eli/pri/law/2025/04/11/5193" TargetMode="External" /><Relationship Id="rId84" Type="http://schemas.openxmlformats.org/officeDocument/2006/relationships/hyperlink" Target="http://data.aade.gr/eli/pri/law/2022/06/16/4941" TargetMode="External" /><Relationship Id="rId85" Type="http://schemas.openxmlformats.org/officeDocument/2006/relationships/hyperlink" Target="http://data.aade.gr/eli/pri/law/2022/06/16/4941" TargetMode="External" /><Relationship Id="rId86" Type="http://schemas.openxmlformats.org/officeDocument/2006/relationships/hyperlink" Target="http://data.aade.gr/eli/pri/law/2022/06/16/4941" TargetMode="External" /><Relationship Id="rId87" Type="http://schemas.openxmlformats.org/officeDocument/2006/relationships/hyperlink" Target="http://data.aade.gr/eli/pri/law/2022/06/16/4941" TargetMode="External" /><Relationship Id="rId88" Type="http://schemas.openxmlformats.org/officeDocument/2006/relationships/hyperlink" Target="http://data.aade.gr/eli/pri/law/2022/06/16/4941" TargetMode="External" /><Relationship Id="rId89" Type="http://schemas.openxmlformats.org/officeDocument/2006/relationships/hyperlink" Target="http://data.aade.gr/eli/pri/law/2022/06/16/4941"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2/06/16/4941" TargetMode="External" /><Relationship Id="rId91" Type="http://schemas.openxmlformats.org/officeDocument/2006/relationships/hyperlink" Target="http://data.aade.gr/eli/pri/law/2022/06/16/4941" TargetMode="External" /><Relationship Id="rId92" Type="http://schemas.openxmlformats.org/officeDocument/2006/relationships/hyperlink" Target="http://data.aade.gr/eli/pri/law/2022/06/16/4941" TargetMode="External" /><Relationship Id="rId93" Type="http://schemas.openxmlformats.org/officeDocument/2006/relationships/hyperlink" Target="http://data.aade.gr/eli/pri/law/2022/06/16/4941" TargetMode="External" /><Relationship Id="rId94" Type="http://schemas.openxmlformats.org/officeDocument/2006/relationships/hyperlink" Target="http://data.aade.gr/eli/pri/law/2022/06/16/4941" TargetMode="External" /><Relationship Id="rId95" Type="http://schemas.openxmlformats.org/officeDocument/2006/relationships/hyperlink" Target="http://data.aade.gr/eli/pri/law/2022/06/16/4941" TargetMode="External" /><Relationship Id="rId96" Type="http://schemas.openxmlformats.org/officeDocument/2006/relationships/hyperlink" Target="http://data.aade.gr/eli/pri/law/2022/06/16/4941" TargetMode="External" /><Relationship Id="rId97" Type="http://schemas.openxmlformats.org/officeDocument/2006/relationships/hyperlink" Target="http://data.aade.gr/eli/pri/law/2022/06/16/4941" TargetMode="External" /><Relationship Id="rId98" Type="http://schemas.openxmlformats.org/officeDocument/2006/relationships/hyperlink" Target="http://data.aade.gr/eli/pri/law/2022/06/16/4941" TargetMode="External" /><Relationship Id="rId99" Type="http://schemas.openxmlformats.org/officeDocument/2006/relationships/hyperlink" Target="http://data.aade.gr/eli/pri/law/2022/06/16/49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