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κα)</w:t>
      </w:r>
      <w:r>
        <w:rPr>
          <w:lang w:val="en" w:eastAsia="en"/>
        </w:rPr>
        <w:tab/>
      </w:r>
      <w:r>
        <w:rPr>
          <w:lang w:val="el" w:eastAsia="el"/>
        </w:rPr>
        <w:t>πάροχοι υπηρεσιών κρυπτοστοιχείων.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και συμπεριλαμβανομένων των καθιερωμένων σχέσεων για συναλλαγές τίτλων ή μεταφορές χρηματικών ποσών ή των καθιερωμένων σχέσεων για συναλλαγές σε κρυπτοστοιχεία ή μεταφορές κρυπτοστοιχείων.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«Κρυπτοστοιχείο»: Το κρυπτοστοιχείο, όπως ορίζεται στην περ. 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εκτός αν εμπίπτει στις κατηγορίες των παραγράφων 2, 3 και 4 του άρθρου 2 του εν λόγω Κανονισμού ή χαρακτηρίζεται ως χρηματικό ποσό.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25.</w:t>
      </w:r>
      <w:r>
        <w:rPr>
          <w:lang w:val="el" w:eastAsia="el"/>
        </w:rPr>
        <w:t xml:space="preserve"> «Πάροχος υπηρεσιών κρυπτοστοιχείων»: Ο πάροχος υπηρεσιών κρυπτοστοιχείων, όπως ορίζεται στην περ. 15) της παρ. 1 του άρθρου 3 του Κανονισμού (ΕΕ) 2023/1114, εφόσον παρέχει μία ή περισσότερες υπηρεσίες κρυπτοστοιχείων, όπως ορίζονται στην περ. 16) της παρ. 1 του άρθρου 3 του εν λόγω Κανονισμού, με εξαίρεση την παροχή συμβουλών σχετικά με κρυπτοστοιχεία, όπως αναφέρεται στην υποπερ. η) της περ. 16) της παρ. 1 του άρθρου 3 του εν λόγω Κανονισμού.</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26.</w:t>
      </w:r>
      <w:r>
        <w:rPr>
          <w:lang w:val="el" w:eastAsia="el"/>
        </w:rPr>
        <w:t xml:space="preserve"> «Αυτοφιλοξενούμενη διεύθυνση»: Η αυτοφιλοξενούμενη διεύθυνση, όπως ορίζεται στην περ. 20) του άρθρου 3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κβ)</w:t>
      </w:r>
      <w:r>
        <w:rPr>
          <w:lang w:val="en" w:eastAsia="en"/>
        </w:rPr>
        <w:tab/>
      </w:r>
      <w:r>
        <w:rPr>
          <w:lang w:val="el" w:eastAsia="el"/>
        </w:rPr>
        <w:t>παραβίαση περιοριστικών μέτρων της Ευρωπαϊκής Ένωσης, όπως θεσπίζονται βάσει του άρθρου 29 της Συνθήκης για την Ευρωπαϊκή Ένωση ή του άρθρου 215 της Συνθήκης για τη Λειτουργία της Ευρωπαϊκής Ένωσης.</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ιγ)</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αιγ)</w:t>
      </w:r>
      <w:r>
        <w:rPr>
          <w:lang w:val="en" w:eastAsia="en"/>
        </w:rPr>
        <w:tab/>
      </w:r>
      <w:r>
        <w:rPr>
          <w:lang w:val="el" w:eastAsia="el"/>
        </w:rPr>
        <w:t>τους παρόχους υπηρεσιών κρυπτοστοιχείων που είναι πιστωτικά ιδρύματα, ιδρύματα ηλεκτρονικού χρήματος και ιδρύματα πληρωμών σύμφωνα με την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(Ε 150) και των εφαρμοστικών μέτρων αυτού.</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κρυπτοστοιχείων σύμφωνα με την παρ. 1 του άρθρου 93 του Κανονισμού 2023/1114 και των εφαρμοστικών μέτρων αυτού,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βθ)</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Για τον σκοπό αυτό,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ανωτέρω αρμοδιότητες του Κεντρικού Συντονιστικού Φορέα ασκούνται από την αρμόδια υπηρεσία της Γενικής Γραμματείας Οικονομικής Πολιτικής και Στρατηγικής.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Φορολογίας της Ανεξάρτητης Αρχής Δημοσίων Εσόδων (Α.Α.Δ.Ε.),</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Γενική Γραμματεία Οικονομικής Πολιτικής και Στρατηγικής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ή της Επιτροπής Κεφαλαιαγοράς, κατά λόγο αρμοδιότητας, μπορεί να εξειδικεύονται διατάξεις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λαμβάνοντας υπόψη τις σχετικές κατευθυντήριες οδηγίες της Ευρωπαϊκής Αρχής Τραπεζών. Ο Κανονισμός (ΕΕ) 2023/1113 δεν εφαρμόζεται στις μεταφορές χρηματικών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χρηματικών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γ)</w:t>
      </w:r>
      <w:r>
        <w:rPr>
          <w:lang w:val="en" w:eastAsia="en"/>
        </w:rPr>
        <w:tab/>
      </w:r>
      <w:r>
        <w:rPr>
          <w:lang w:val="el" w:eastAsia="el"/>
        </w:rPr>
        <w:t>το χρηματικό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17Α, 17Β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παρ.4.</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b/>
          <w:bCs/>
          <w:lang w:val="el" w:eastAsia="el"/>
        </w:rPr>
        <w:t xml:space="preserve">Άρθρο 17Α. </w:t>
      </w:r>
    </w:p>
    <w:p>
      <w:pPr>
        <w:pStyle w:val="Heading6"/>
        <w:spacing w:before="240" w:after="240"/>
        <w:rPr>
          <w:lang w:val="el" w:eastAsia="el"/>
        </w:rPr>
      </w:pPr>
      <w:r>
        <w:rPr>
          <w:b/>
          <w:bCs/>
          <w:lang w:val="el" w:eastAsia="el"/>
        </w:rPr>
        <w:t>Μέτρα για τον μετριασμό των κινδύνων που αφορούν συναλλαγές με αυτοφιλοξενούμενη διεύθυνση</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Οι πάροχοι υπηρεσιών κρυπτοστοιχείων εντοπίζουν και αξιολογούν τον κίνδυνο νομιμοποίησης εσόδων από εγκληματικές δραστηριότητες και χρηματοδότησης της τρομοκρατίας που συνδέεται με μεταφορές κρυπτοστοιχείων που απευθύνονται προς ή προέρχονται από αυτοφιλοξενούμενη διεύθυνση. Για τον σκοπό αυτόν εφαρμόζουν εσωτερικές πολιτικές, διαδικασίες, ελέγχους και μέτρα μετριασμού ανάλογα προς τους εντοπιζόμενους κινδύνους, τα οποία περιλαμβάνουν ένα (1) ή περισσότερα από τα ακόλουθα:</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Μέτρα βάσει κινδύνου για τον εντοπισμό και την επαλήθευση της ταυτότητας του εντολέα ή του δικαιούχου μεταφοράς που πραγματοποιείται προς ή από αυτοφιλοξενούμενη διεύθυνση ή του πραγματικού δικαιούχου του εν λόγω εντολέα ή δικαιούχου κρυπτοστοιχείων, μεταξύ άλλων μέσω στήριξης σε τρίτους,</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απαίτηση επιπλέον στοιχείων σχετικά με την προέλευση και τον προορισμό των μεταφερόμενων κρυπτοστοιχείων,</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γ)</w:t>
      </w:r>
      <w:r>
        <w:rPr>
          <w:b/>
          <w:bCs/>
          <w:lang w:val="en" w:eastAsia="en"/>
        </w:rPr>
        <w:tab/>
      </w:r>
      <w:r>
        <w:rPr>
          <w:b/>
          <w:bCs/>
          <w:lang w:val="el" w:eastAsia="el"/>
        </w:rPr>
        <w:t>διεξαγωγή ενισχυμένης συνεχούς παρακολούθησης των εν λόγω συναλλαγών,</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δ)</w:t>
      </w:r>
      <w:r>
        <w:rPr>
          <w:b/>
          <w:bCs/>
          <w:lang w:val="en" w:eastAsia="en"/>
        </w:rPr>
        <w:tab/>
      </w:r>
      <w:r>
        <w:rPr>
          <w:b/>
          <w:bCs/>
          <w:lang w:val="el" w:eastAsia="el"/>
        </w:rPr>
        <w:t>κάθε άλλο μέτρο για τον μετριασμό και τη διαχείριση των κινδύνων νομιμοποίησης εσόδων από εγκληματικές δραστηριότητες και χρηματοδότησης της τρομοκρατίας, καθώς και του κινδύνου μη εφαρμογής και αποφυγής στοχευμένων οικονομικών κυρώσεων και στοχευμένων οικονομικών κυρώσεων που σχετίζονται με τη χρηματοδότηση της διάδοσης όπλων μαζικής καταστροφής.</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17B. </w:t>
      </w:r>
    </w:p>
    <w:p>
      <w:pPr>
        <w:pStyle w:val="Heading6"/>
        <w:spacing w:before="240" w:after="240"/>
        <w:rPr>
          <w:lang w:val="el" w:eastAsia="el"/>
        </w:rPr>
      </w:pPr>
      <w:r>
        <w:rPr>
          <w:b/>
          <w:bCs/>
          <w:lang w:val="el" w:eastAsia="el"/>
        </w:rPr>
        <w:t>Ειδικά μέτρα αυξημένης δέουσας επιμέλειας για διασυνοριακές σχέσεις ανταπόκρισης για παρόχους υπηρεσιών κρυπτοστοιχείων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17, περί διασυνοριακών σχέσεων ανταπόκρισης, όσον αφορά τις διασυνοριακές σχέσεις ανταπόκρισης που περιλαμβάνουν την εκτέλεση υπηρεσιών κρυπτοστοιχείων, όπως ορίζονται στην περ. 16)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περί ορισμών, εξαιρουμένης της υποπερ. η), με οντότητα πελάτη που δεν είναι εγκατεστημένη στην Ευρωπαϊκή Ένωση και παρέχει παρόμοιες υπηρεσίες, συμπεριλαμβανομένων των μεταφορών κρυπτοστοιχείων, οι πάροχοι υπηρεσιών κρυπτοστοιχείων, επιπλέον των μέτρων δέουσας επιμέλειας ως προς τον πελάτη που προβλέπονται στο άρθρο 13 του παρόντος, όταν συνάπτουν επιχειρηματική σχέση με τέτοια οντότητα:</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διαπιστώνουν αν η οντότητα πελάτης έχει λάβει άδεια ή έχει εγγραφεί σε μητρώο,</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συγκεντρώνουν επαρκείς πληροφορίες σχετικά με την οντότητα πελάτη για να κατανοήσουν πλήρως τη φύση των επιχειρηματικών δραστηριοτήτων της και να εκτιμήσουν, από τις δημόσια διαθέσιμες πληροφορίες, τη φήμη της οντότητας και την ποιότητα της εποπτείας που ασκείται επ' αυτής,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γ)</w:t>
      </w:r>
      <w:r>
        <w:rPr>
          <w:b/>
          <w:bCs/>
          <w:lang w:val="en" w:eastAsia="en"/>
        </w:rPr>
        <w:tab/>
      </w:r>
      <w:r>
        <w:rPr>
          <w:b/>
          <w:bCs/>
          <w:lang w:val="el" w:eastAsia="el"/>
        </w:rPr>
        <w:t>αξιολογούν τους ελέγχους που διενεργεί η οντότητα - πελάτης κατά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δ)</w:t>
      </w:r>
      <w:r>
        <w:rPr>
          <w:b/>
          <w:bCs/>
          <w:lang w:val="en" w:eastAsia="en"/>
        </w:rPr>
        <w:tab/>
      </w:r>
      <w:r>
        <w:rPr>
          <w:b/>
          <w:bCs/>
          <w:lang w:val="el" w:eastAsia="el"/>
        </w:rPr>
        <w:t>λαμβάνουν έγκριση ανώτερου διοικητικού στελέχους πριν από τη σύναψη νέων σχέσεων ανταπόκρισης,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ε)</w:t>
      </w:r>
      <w:r>
        <w:rPr>
          <w:b/>
          <w:bCs/>
          <w:lang w:val="en" w:eastAsia="en"/>
        </w:rPr>
        <w:tab/>
      </w:r>
      <w:r>
        <w:rPr>
          <w:b/>
          <w:bCs/>
          <w:lang w:val="el" w:eastAsia="el"/>
        </w:rPr>
        <w:t>προσδιορίζουν ρητά τις αρμοδιότητες κάθε μέρους στο πλαίσιο της σύμβασης ανταπόκρισης,</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στ)</w:t>
      </w:r>
      <w:r>
        <w:rPr>
          <w:b/>
          <w:bCs/>
          <w:lang w:val="en" w:eastAsia="en"/>
        </w:rPr>
        <w:tab/>
      </w:r>
      <w:r>
        <w:rPr>
          <w:b/>
          <w:bCs/>
          <w:lang w:val="el" w:eastAsia="el"/>
        </w:rPr>
        <w:t>διασφαλίζουν επί λογαριασμών πλάγιας πρόσβασης κρυπτοστοιχείων ότι η οντότητα πελάτης έχει επαληθεύσει την ταυτότητα των πελατών που έχουν άμεση πρόσβαση στους λογαριασμούς της ανταποκρίτριας οντότητας, ασκεί συνεχή δέουσα επιμέλεια ως προς αυτούς, και είναι σε θέση να παράσχει, κατόπιν αιτήματος, τα σχετικά δεδομένα δέουσας επιμέλειας ως προς τον πελάτη στην ανταποκρίτρια οντότητα.</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Αν οι πάροχοι υπηρεσιών κρυπτοστοιχείων αποφασίσουν να τερματίσουν τις σχέσεις ανταπόκρισης για λόγους που σχετίζονται με την πολιτική πρόληψης της νομιμοποίησης εσόδων από εγκληματικές δραστηριότητες και καταπολέμησης της τρομοκρατίας, τεκμηριώνουν και καταχωρίζουν στα αρχεία τους την απόφασή τους.</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Οι πάροχοι υπηρεσιών κρυπτοστοιχείων επικαιροποιούν τα στοιχεία δέουσας επιμέλειας για τη σχέση ανταπόκρισης σε τακτική βάση ή όταν προκύπτουν νέοι κίνδυνοι σε σχέση με την οντότητα πελάτη.</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Οι πάροχοι υπηρεσιών κρυπτοστοιχείων λαμβάνουν υπόψη τα στοιχεία που αναφέρονται στην παρ. 1 προκειμένου να καθορίσουν, ανάλογα με τον βαθμό κινδύνου, τα ενδεδειγμένα μέτρα για τον μετριασμό των κινδύνων που συνδέονται με την οντότητα πελάτη.</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b/>
          <w:bCs/>
          <w:lang w:val="el" w:eastAsia="el"/>
        </w:rPr>
        <w:t>α)</w:t>
      </w:r>
      <w:r>
        <w:rPr>
          <w:b/>
          <w:bCs/>
          <w:lang w:val="en" w:eastAsia="en"/>
        </w:rPr>
        <w:tab/>
      </w:r>
      <w:r>
        <w:rPr>
          <w:b/>
          <w:bCs/>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b/>
          <w:bCs/>
          <w:lang w:val="el" w:eastAsia="el"/>
        </w:rPr>
        <w:t>γ)</w:t>
      </w:r>
      <w:r>
        <w:rPr>
          <w:b/>
          <w:bCs/>
          <w:lang w:val="en" w:eastAsia="en"/>
        </w:rPr>
        <w:tab/>
      </w:r>
      <w:r>
        <w:rPr>
          <w:b/>
          <w:bCs/>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b/>
          <w:bCs/>
          <w:lang w:val="el" w:eastAsia="el"/>
        </w:rPr>
        <w:t>δ)</w:t>
      </w:r>
      <w:r>
        <w:rPr>
          <w:b/>
          <w:bCs/>
          <w:lang w:val="en" w:eastAsia="en"/>
        </w:rPr>
        <w:tab/>
      </w:r>
      <w:r>
        <w:rPr>
          <w:b/>
          <w:bCs/>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b/>
          <w:bCs/>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b/>
          <w:bCs/>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ως τρίτα μέρη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πιστωτικά ιδρύματα,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εταιρείες χρηματοδοτικής μίσθωσης,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πρακτορείας επιχειρηματικών απαιτήσεων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εταιρείες επενδύσεων χαρτοφυλακίου,</w:t>
      </w:r>
    </w:p>
    <w:p>
      <w:pPr>
        <w:pStyle w:val="StructureList1"/>
        <w:spacing w:before="120" w:after="0"/>
        <w:rPr>
          <w:lang w:val="el" w:eastAsia="el"/>
        </w:rPr>
      </w:pPr>
      <w:r>
        <w:rPr>
          <w:b/>
          <w:bCs/>
          <w:lang w:val="el" w:eastAsia="el"/>
        </w:rPr>
        <w:t>ε)</w:t>
      </w:r>
      <w:r>
        <w:rPr>
          <w:b/>
          <w:bCs/>
          <w:lang w:val="en" w:eastAsia="en"/>
        </w:rPr>
        <w:tab/>
      </w:r>
      <w:r>
        <w:rPr>
          <w:b/>
          <w:bCs/>
          <w:lang w:val="el" w:eastAsia="el"/>
        </w:rPr>
        <w:t>οι εταιρείες διαχείρισης αμοιβαίων κεφαλαίων,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εταιρείες παροχής επενδυτικών υπηρεσιών,</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εταιρείες επενδυτικής διαμεσολάβησης,</w:t>
      </w:r>
    </w:p>
    <w:p>
      <w:pPr>
        <w:pStyle w:val="StructureList1"/>
        <w:spacing w:before="120" w:after="0"/>
        <w:rPr>
          <w:lang w:val="el" w:eastAsia="el"/>
        </w:rPr>
      </w:pPr>
      <w:r>
        <w:rPr>
          <w:b/>
          <w:bCs/>
          <w:lang w:val="el" w:eastAsia="el"/>
        </w:rPr>
        <w:t>η)</w:t>
      </w:r>
      <w:r>
        <w:rPr>
          <w:b/>
          <w:bCs/>
          <w:lang w:val="en" w:eastAsia="en"/>
        </w:rPr>
        <w:tab/>
      </w:r>
      <w:r>
        <w:rPr>
          <w:b/>
          <w:bCs/>
          <w:lang w:val="el" w:eastAsia="el"/>
        </w:rPr>
        <w:t>οι ασφαλιστικές εταιρείες,</w:t>
      </w:r>
    </w:p>
    <w:p>
      <w:pPr>
        <w:pStyle w:val="StructureList1"/>
        <w:spacing w:before="120" w:after="0"/>
        <w:rPr>
          <w:lang w:val="el" w:eastAsia="el"/>
        </w:rPr>
      </w:pPr>
      <w:r>
        <w:rPr>
          <w:b/>
          <w:bCs/>
          <w:lang w:val="el" w:eastAsia="el"/>
        </w:rPr>
        <w:t>θ)</w:t>
      </w:r>
      <w:r>
        <w:rPr>
          <w:b/>
          <w:bCs/>
          <w:lang w:val="en" w:eastAsia="en"/>
        </w:rPr>
        <w:tab/>
      </w:r>
      <w:r>
        <w:rPr>
          <w:b/>
          <w:bCs/>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Τα υπόχρεα πρόσωπα που στηρίζονται σε τρίτο μέρος:</w:t>
      </w:r>
    </w:p>
    <w:p>
      <w:pPr>
        <w:pStyle w:val="StructureList1"/>
        <w:spacing w:before="120" w:after="0"/>
        <w:rPr>
          <w:lang w:val="el" w:eastAsia="el"/>
        </w:rPr>
      </w:pPr>
      <w:r>
        <w:rPr>
          <w:b/>
          <w:bCs/>
          <w:lang w:val="el" w:eastAsia="el"/>
        </w:rPr>
        <w:t>α)</w:t>
      </w:r>
      <w:r>
        <w:rPr>
          <w:b/>
          <w:bCs/>
          <w:lang w:val="en" w:eastAsia="en"/>
        </w:rPr>
        <w:tab/>
      </w:r>
      <w:r>
        <w:rPr>
          <w:b/>
          <w:bCs/>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b/>
          <w:bCs/>
          <w:lang w:val="el" w:eastAsia="el"/>
        </w:rPr>
        <w:t>β)</w:t>
      </w:r>
      <w:r>
        <w:rPr>
          <w:b/>
          <w:bCs/>
          <w:lang w:val="en" w:eastAsia="en"/>
        </w:rPr>
        <w:tab/>
      </w:r>
      <w:r>
        <w:rPr>
          <w:b/>
          <w:bCs/>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b/>
          <w:bCs/>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b/>
          <w:bCs/>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b/>
          <w:bCs/>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Ο Κεντρικός Συντονιστικός Φορέας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Εθνικής Οικονομίας και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b/>
          <w:bCs/>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6α.</w:t>
      </w:r>
      <w:r>
        <w:rPr>
          <w:b/>
          <w:bCs/>
          <w:lang w:val="el" w:eastAsia="el"/>
        </w:rPr>
        <w:t xml:space="preserve"> Φυσικό ή νομικό πρόσωπο ή νομική οντότητα, πλην των περιπτώσεων του πρώτου εδαφίου της παρ. 6, δύναται να έχει πρόσβαση σε πληροφορίες του Κ.Μ.Π.Δ. που αφορούν στο επώνυμο, στο όνομα, στο πατρώνυμο, στον μήνα και στο έτος γέννησης, στη χώρα διαμονής και στην υπηκοότητα του πραγματικού δικαιούχου, καθώς επίσης στο είδος και στην έκταση των δικαιωμάτων που κατέχει, ύστερα από απόδειξη ειδικού εννόμου συμφέροντος αποκλειστικά για σκοπούς πρόληψης και καταπολέμησης της νομιμοποίησης εσόδων από εγκληματικές δραστηριότητες ή της χρηματοδότησης της τρομοκρατίας. Εφόσον οι πληροφορίες του προηγούμενου εδαφίου δεν επαρκούν για την ταυτοποίηση του πραγματικού δικαιούχου, το φυσικό ή νομικό πρόσωπο ή νομική οντότητα δύναται να έχει πρόσβαση σε επιπρόσθετες πληροφορίες που αφορούν στην πλήρη ημερομηνία γέννησης, σε στοιχεία επικοινωνίας και στον αριθμό φορολογικού μητρώου. Η χορήγηση πρόσβασης για τις περιπτώσεις της παρούσας γίνεται κατόπιν εισαγγελικής παραγγελίας.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α)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γ)</w:t>
      </w:r>
      <w:r>
        <w:rPr>
          <w:b/>
          <w:bCs/>
          <w:lang w:val="en" w:eastAsia="en"/>
        </w:rPr>
        <w:tab/>
      </w:r>
      <w:r>
        <w:rPr>
          <w:b/>
          <w:bCs/>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b/>
          <w:bCs/>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δ)</w:t>
      </w:r>
      <w:r>
        <w:rPr>
          <w:b/>
          <w:bCs/>
          <w:lang w:val="en" w:eastAsia="en"/>
        </w:rPr>
        <w:tab/>
      </w:r>
      <w:r>
        <w:rPr>
          <w:b/>
          <w:bCs/>
          <w:lang w:val="el" w:eastAsia="el"/>
        </w:rPr>
        <w:t>δεν τηρεί σε ειδικό μητρώο στην έδρα ή τη μόνιμη εγκατάσταση τις πληροφορίες της παρ. 1..</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b/>
          <w:bCs/>
          <w:lang w:val="el" w:eastAsia="el"/>
        </w:rPr>
        <w:t xml:space="preserve"> Τα πρόστιμα για τις παραβάσεις που αναφέρονται στην παρ. 8 καθορίζονται ως εξής: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για κάθε παράβαση των περ. α', γ' και δ' της παρ. 8:</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αα)</w:t>
      </w:r>
      <w:r>
        <w:rPr>
          <w:b/>
          <w:bCs/>
          <w:lang w:val="en" w:eastAsia="en"/>
        </w:rPr>
        <w:tab/>
      </w:r>
      <w:r>
        <w:rPr>
          <w:b/>
          <w:bCs/>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αβ)</w:t>
      </w:r>
      <w:r>
        <w:rPr>
          <w:b/>
          <w:bCs/>
          <w:lang w:val="en" w:eastAsia="en"/>
        </w:rPr>
        <w:tab/>
      </w:r>
      <w:r>
        <w:rPr>
          <w:b/>
          <w:bCs/>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αγ)</w:t>
      </w:r>
      <w:r>
        <w:rPr>
          <w:b/>
          <w:bCs/>
          <w:lang w:val="en" w:eastAsia="en"/>
        </w:rPr>
        <w:tab/>
      </w:r>
      <w:r>
        <w:rPr>
          <w:b/>
          <w:bCs/>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αδ)</w:t>
      </w:r>
      <w:r>
        <w:rPr>
          <w:b/>
          <w:bCs/>
          <w:lang w:val="en" w:eastAsia="en"/>
        </w:rPr>
        <w:tab/>
      </w:r>
      <w:r>
        <w:rPr>
          <w:b/>
          <w:bCs/>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αε)</w:t>
      </w:r>
      <w:r>
        <w:rPr>
          <w:b/>
          <w:bCs/>
          <w:lang w:val="en" w:eastAsia="en"/>
        </w:rPr>
        <w:tab/>
      </w:r>
      <w:r>
        <w:rPr>
          <w:b/>
          <w:bCs/>
          <w:lang w:val="el" w:eastAsia="el"/>
        </w:rPr>
        <w:t>5.000 ευρώ για νομικά πρόσωπα και νομικές οντότητες μη κερδοσκοπικού χαρακτήρα, που δεν απασχολούν εργαζόμενους,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αστ)</w:t>
      </w:r>
      <w:r>
        <w:rPr>
          <w:b/>
          <w:bCs/>
          <w:lang w:val="en" w:eastAsia="en"/>
        </w:rPr>
        <w:tab/>
      </w:r>
      <w:r>
        <w:rPr>
          <w:b/>
          <w:bCs/>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αζ)</w:t>
      </w:r>
      <w:r>
        <w:rPr>
          <w:b/>
          <w:bCs/>
          <w:lang w:val="en" w:eastAsia="en"/>
        </w:rPr>
        <w:tab/>
      </w:r>
      <w:r>
        <w:rPr>
          <w:b/>
          <w:bCs/>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αη)</w:t>
      </w:r>
      <w:r>
        <w:rPr>
          <w:b/>
          <w:bCs/>
          <w:lang w:val="en" w:eastAsia="en"/>
        </w:rPr>
        <w:tab/>
      </w:r>
      <w:r>
        <w:rPr>
          <w:b/>
          <w:bCs/>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της παρ. 8:</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βα)</w:t>
      </w:r>
      <w:r>
        <w:rPr>
          <w:b/>
          <w:bCs/>
          <w:lang w:val="en" w:eastAsia="en"/>
        </w:rPr>
        <w:tab/>
      </w:r>
      <w:r>
        <w:rPr>
          <w:b/>
          <w:bCs/>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ββ)</w:t>
      </w:r>
      <w:r>
        <w:rPr>
          <w:b/>
          <w:bCs/>
          <w:lang w:val="en" w:eastAsia="en"/>
        </w:rPr>
        <w:tab/>
      </w:r>
      <w:r>
        <w:rPr>
          <w:b/>
          <w:bCs/>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βγ)</w:t>
      </w:r>
      <w:r>
        <w:rPr>
          <w:b/>
          <w:bCs/>
          <w:lang w:val="en" w:eastAsia="en"/>
        </w:rPr>
        <w:tab/>
      </w:r>
      <w:r>
        <w:rPr>
          <w:b/>
          <w:bCs/>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10.</w:t>
      </w:r>
      <w:r>
        <w:rPr>
          <w:b/>
          <w:bCs/>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Ειδικά σε περίπτωση παράβασης της περ. β' της παρ. 8, το πρόστιμο επιβάλλεται κατόπιν σχετικής ενημέρωσης από το Κ.Μ.Π.Δ..</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11.</w:t>
      </w:r>
      <w:r>
        <w:rPr>
          <w:b/>
          <w:bCs/>
          <w:lang w:val="el" w:eastAsia="el"/>
        </w:rPr>
        <w:t xml:space="preserve"> Με απόφαση του Υπουργού Εθνικής Οικονομίας και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Εθνικής Οικονομίας και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Εθνικής Οικονομίας και Οικονομικών και Ψηφιακής Διακυβέρνησης ρυθμίζονται ειδικότερα θέματα σχετικά με τη διασύνδεση των μητρώων του πρώτου εδαφίου με τα Αποθετήρια Τίτλων και τα πληροφοριακά συστήματα της παρ. 5 και της περ. γ) της παρ. 7,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13.</w:t>
      </w:r>
      <w:r>
        <w:rPr>
          <w:b/>
          <w:bCs/>
          <w:lang w:val="el" w:eastAsia="el"/>
        </w:rPr>
        <w:t xml:space="preserve"> Η έναρξη παραγωγικής λειτουργίας του Κ.Μ.Π.Δ. ορίζεται με την απόφαση της παρ. 11. Με κοινή απόφαση των Υπουργών Εθνικής Οικονομίας και Οικονομικών και Ψηφιακής Διακυβέρνησης μπορεί να τίθεται εκτός λειτουργίας το πληροφοριακό σύστημα, ύστερα από αίτημα του Κεντρικού Συντονιστικού Φορέα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14.</w:t>
      </w:r>
      <w:r>
        <w:rPr>
          <w:b/>
          <w:bCs/>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b/>
          <w:bCs/>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Πρόσβαση στις πληροφορίες της παρ. 1 έχουν:</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α)</w:t>
      </w:r>
      <w:r>
        <w:rPr>
          <w:b/>
          <w:bCs/>
          <w:lang w:val="en" w:eastAsia="en"/>
        </w:rPr>
        <w:tab/>
      </w:r>
      <w:r>
        <w:rPr>
          <w:b/>
          <w:bCs/>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γ)</w:t>
      </w:r>
      <w:r>
        <w:rPr>
          <w:b/>
          <w:bCs/>
          <w:lang w:val="en" w:eastAsia="en"/>
        </w:rPr>
        <w:tab/>
      </w:r>
      <w:r>
        <w:rPr>
          <w:b/>
          <w:bCs/>
          <w:lang w:val="el" w:eastAsia="el"/>
        </w:rPr>
        <w:t>κάθε φυσικό ή νομικό πρόσωπο ή νομική οντότητα που μπορεί να αποδείξει ειδικό έννομο συμφέρον.</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δ)</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δ)</w:t>
      </w:r>
      <w:r>
        <w:rPr>
          <w:b/>
          <w:bCs/>
          <w:lang w:val="en" w:eastAsia="en"/>
        </w:rPr>
        <w:tab/>
      </w:r>
      <w:r>
        <w:rPr>
          <w:b/>
          <w:bCs/>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b/>
          <w:bCs/>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b/>
          <w:bCs/>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b/>
          <w:bCs/>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b/>
          <w:bCs/>
          <w:lang w:val="el" w:eastAsia="el"/>
        </w:rPr>
        <w:t xml:space="preserve"> Ο Κεντρικός Φορέας Συντονισμού κοινοποιεί στην Επιτροπή τα χαρακτηριστικά των μηχανισμών του παρόντος.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b/>
          <w:bCs/>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9.</w:t>
      </w:r>
      <w:r>
        <w:rPr>
          <w:b/>
          <w:bCs/>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b/>
          <w:bCs/>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α)</w:t>
      </w:r>
      <w:r>
        <w:rPr>
          <w:b/>
          <w:bCs/>
          <w:lang w:val="en" w:eastAsia="en"/>
        </w:rPr>
        <w:tab/>
      </w:r>
      <w:r>
        <w:rPr>
          <w:b/>
          <w:bCs/>
          <w:lang w:val="el" w:eastAsia="el"/>
        </w:rPr>
        <w:t>λογαριασμούς πληρωμής,</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γ)</w:t>
      </w:r>
      <w:r>
        <w:rPr>
          <w:b/>
          <w:bCs/>
          <w:lang w:val="en" w:eastAsia="en"/>
        </w:rPr>
        <w:tab/>
      </w:r>
      <w:r>
        <w:rPr>
          <w:b/>
          <w:bCs/>
          <w:lang w:val="el" w:eastAsia="el"/>
        </w:rPr>
        <w:t>θυρίδες ασφαλείας, και</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δ)</w:t>
      </w:r>
      <w:r>
        <w:rPr>
          <w:b/>
          <w:bCs/>
          <w:lang w:val="en" w:eastAsia="en"/>
        </w:rPr>
        <w:tab/>
      </w:r>
      <w:r>
        <w:rPr>
          <w:b/>
          <w:bCs/>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α)</w:t>
      </w:r>
      <w:r>
        <w:rPr>
          <w:b/>
          <w:bCs/>
          <w:lang w:val="en" w:eastAsia="en"/>
        </w:rPr>
        <w:tab/>
      </w:r>
      <w:r>
        <w:rPr>
          <w:b/>
          <w:bCs/>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γ)</w:t>
      </w:r>
      <w:r>
        <w:rPr>
          <w:b/>
          <w:bCs/>
          <w:lang w:val="en" w:eastAsia="en"/>
        </w:rPr>
        <w:tab/>
      </w:r>
      <w:r>
        <w:rPr>
          <w:b/>
          <w:bCs/>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b/>
          <w:bCs/>
          <w:color w:val="000000"/>
          <w:sz w:val="20"/>
          <w:szCs w:val="20"/>
          <w:u w:val="none" w:color="0000EE"/>
          <w:vertAlign w:val="superscript"/>
          <w:lang w:val="el" w:eastAsia="el"/>
        </w:rPr>
        <w:footnoteReference w:id="295"/>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b/>
          <w:bCs/>
          <w:color w:val="000000"/>
          <w:sz w:val="20"/>
          <w:szCs w:val="20"/>
          <w:u w:val="none" w:color="0000EE"/>
          <w:vertAlign w:val="superscript"/>
          <w:lang w:val="el" w:eastAsia="el"/>
        </w:rPr>
        <w:footnoteReference w:id="297"/>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b/>
          <w:bCs/>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b/>
          <w:bCs/>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Αποχή από συναλλαγές (άρθρο 35 της Οδηγίας 2015/849) </w:t>
      </w:r>
    </w:p>
    <w:p>
      <w:pPr>
        <w:spacing w:before="240" w:after="240"/>
        <w:rPr>
          <w:lang w:val="el" w:eastAsia="el"/>
        </w:rPr>
      </w:pPr>
      <w:r>
        <w:rPr>
          <w:b/>
          <w:bCs/>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b/>
          <w:bCs/>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b/>
          <w:bCs/>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b/>
          <w:bCs/>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b/>
          <w:bCs/>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b/>
          <w:bCs/>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b/>
          <w:bCs/>
          <w:lang w:val="el" w:eastAsia="el"/>
        </w:rPr>
        <w:t>γ)</w:t>
      </w:r>
      <w:r>
        <w:rPr>
          <w:b/>
          <w:bCs/>
          <w:lang w:val="en" w:eastAsia="en"/>
        </w:rPr>
        <w:tab/>
      </w:r>
      <w:r>
        <w:rPr>
          <w:b/>
          <w:bCs/>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b/>
          <w:bCs/>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b/>
          <w:bCs/>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b/>
          <w:bCs/>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b/>
          <w:bCs/>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b/>
          <w:bCs/>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b/>
          <w:bCs/>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b/>
          <w:bCs/>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Επιτροπή Δικηγόρων (άρθρο 34 παρ. 1 της Οδηγίας 2015/849) </w:t>
      </w:r>
    </w:p>
    <w:p>
      <w:pPr>
        <w:spacing w:before="240" w:after="240"/>
        <w:rPr>
          <w:lang w:val="el" w:eastAsia="el"/>
        </w:rPr>
      </w:pPr>
      <w:r>
        <w:rPr>
          <w:b/>
          <w:bCs/>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b/>
          <w:bCs/>
          <w:color w:val="000000"/>
          <w:sz w:val="20"/>
          <w:szCs w:val="20"/>
          <w:u w:val="none" w:color="0000EE"/>
          <w:vertAlign w:val="superscript"/>
          <w:lang w:val="el" w:eastAsia="el"/>
        </w:rPr>
        <w:footnoteReference w:id="302"/>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b/>
          <w:bCs/>
          <w:lang w:val="el" w:eastAsia="el"/>
        </w:rPr>
        <w:t>α)</w:t>
      </w:r>
      <w:r>
        <w:rPr>
          <w:b/>
          <w:bCs/>
          <w:lang w:val="en" w:eastAsia="en"/>
        </w:rPr>
        <w:tab/>
      </w:r>
      <w:r>
        <w:rPr>
          <w:b/>
          <w:bCs/>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β)</w:t>
      </w:r>
      <w:r>
        <w:rPr>
          <w:b/>
          <w:bCs/>
          <w:lang w:val="en" w:eastAsia="en"/>
        </w:rPr>
        <w:tab/>
      </w:r>
      <w:r>
        <w:rPr>
          <w:b/>
          <w:bCs/>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b/>
          <w:bCs/>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b/>
          <w:bCs/>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b/>
          <w:bCs/>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b/>
          <w:bCs/>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b/>
          <w:bCs/>
          <w:lang w:val="el" w:eastAsia="el"/>
        </w:rPr>
        <w:t xml:space="preserve"> Οι εμπλεκόμενες δημόσιες αρχές, περιλαμβανομένων του Υπουργείου Δικαιοσύνης,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Η συγκέντρωση των στατιστικών στοιχείων μπορεί να γίνει και εκτάκτως εντός του έτους από τον Κεντρικό Συντονιστικό Φορέα εφόσον αυτό απαιτηθεί στο πλαίσιο εθνικών, ευρωπαϊκών και διεθνών υποχρεώσεων της χώρας για τους σκοπούς του παρόντος. Οι αρχές του πρώτου εδαφίου καταχωρίζουν τα στατιστικά στοιχεία σε ψηφιακή πλατφόρμα συλλογής, τήρησης και επεξεργασίας στατιστικών στοιχείων. Η ψηφιακή πλατφόρμα, με χρήση διαδικτυακής ηλεκτρονικής εφαρμογής, σχεδιάζεται, αναπτύσσεται και λειτουργεί παραγωγικά στις υποδομές της Γενικής Γραμματείας Πληροφοριακών Συστημάτων και Ψηφιακής Διακυβέρνησης (Γ.Γ.Π.Σ.Ψ.Δ.) του Υπουργείου Ψηφιακής Διακυβέρνησης, η οποία μεριμνά για την εύρυθμη και ασφαλή λειτουργία του πληροφοριακού συστήματος. Ο Κεντρικός Συντονιστικός Φορέας ενημερώνει τη Γενική Γραμματεία Πληροφοριακών Συστημάτων και Ψηφιακής Διακυβέρνησης για κάθε νέα απαίτηση που χρήζει ενσωμάτωσης στις διαδικτυακές εφαρμογές της ψηφιακής πλατφόρμας. Η έναρξη λειτουργίας της ψηφιακής πλατφόρμας διαπιστώνεται με κοινή απόφαση του Γενικού Γραμματέα Οικονομικής Πολιτικής και Στρατηγικής του Υπουργείου Εθνικής Οικονομίας και Οικονομικών και του Γενικού Γραμματέα Πληροφοριακών Συστημάτων και Ψηφιακής Διακυβέρνησης του Υπουργείου Ψηφιακής Διακυβέρνησης. Η ψηφιακή πλατφόρμα μπορεί να τίθεται εκτός λειτουργίας, μετά από αίτημα του Κεντρικού Συντονιστικού Φορέα ή της Γ.Γ.Π.Σ.Ψ.Δ. του Υπουργείου Ψηφιακής Διακυβέρνησης για λόγους συντήρησης, αναβάθμισης και προσαρμογής στις αλλαγές της νομοθεσίας.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Τα στατιστικά στοιχεία καλύπτουν τουλάχιστον:</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α)</w:t>
      </w:r>
      <w:r>
        <w:rPr>
          <w:b/>
          <w:bCs/>
          <w:lang w:val="en" w:eastAsia="en"/>
        </w:rPr>
        <w:tab/>
      </w:r>
      <w:r>
        <w:rPr>
          <w:b/>
          <w:bCs/>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βα)</w:t>
      </w:r>
      <w:r>
        <w:rPr>
          <w:b/>
          <w:bCs/>
          <w:lang w:val="en" w:eastAsia="en"/>
        </w:rPr>
        <w:tab/>
      </w:r>
      <w:r>
        <w:rPr>
          <w:b/>
          <w:bCs/>
          <w:lang w:val="el" w:eastAsia="el"/>
        </w:rPr>
        <w:t>ο αριθμός των αναφορών ύποπτων ή ασύνηθων συναλλαγών ή δραστηριοτήτων που υποβλήθηκαν στην Αρχή,</w:t>
      </w:r>
      <w:r>
        <w:rPr>
          <w:rStyle w:val="Hyperlink"/>
          <w:b/>
          <w:bCs/>
          <w:color w:val="000000"/>
          <w:sz w:val="20"/>
          <w:szCs w:val="20"/>
          <w:u w:val="none" w:color="0000EE"/>
          <w:vertAlign w:val="superscript"/>
          <w:lang w:val="el" w:eastAsia="el"/>
        </w:rPr>
        <w:footnoteReference w:id="311"/>
      </w:r>
    </w:p>
    <w:p>
      <w:pPr>
        <w:pStyle w:val="StructureList1"/>
        <w:spacing w:before="120" w:after="0"/>
        <w:rPr>
          <w:lang w:val="el" w:eastAsia="el"/>
        </w:rPr>
      </w:pPr>
      <w:r>
        <w:rPr>
          <w:b/>
          <w:bCs/>
          <w:lang w:val="el" w:eastAsia="el"/>
        </w:rPr>
        <w:t>ββ)</w:t>
      </w:r>
      <w:r>
        <w:rPr>
          <w:b/>
          <w:bCs/>
          <w:lang w:val="en" w:eastAsia="en"/>
        </w:rPr>
        <w:tab/>
      </w:r>
      <w:r>
        <w:rPr>
          <w:b/>
          <w:bCs/>
          <w:lang w:val="el" w:eastAsia="el"/>
        </w:rPr>
        <w:t>η κατηγοριοποίηση αυτών των αναφορών ανάλογα με τους αποστέλλοντες,</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βγ)</w:t>
      </w:r>
      <w:r>
        <w:rPr>
          <w:b/>
          <w:bCs/>
          <w:lang w:val="en" w:eastAsia="en"/>
        </w:rPr>
        <w:tab/>
      </w:r>
      <w:r>
        <w:rPr>
          <w:b/>
          <w:bCs/>
          <w:lang w:val="el" w:eastAsia="el"/>
        </w:rPr>
        <w:t>ο αριθμός των υποθέσεων που έχουν διερευνηθεί,</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βδ)</w:t>
      </w:r>
      <w:r>
        <w:rPr>
          <w:b/>
          <w:bCs/>
          <w:lang w:val="en" w:eastAsia="en"/>
        </w:rPr>
        <w:tab/>
      </w:r>
      <w:r>
        <w:rPr>
          <w:b/>
          <w:bCs/>
          <w:lang w:val="el" w:eastAsia="el"/>
        </w:rPr>
        <w:t>ο αριθμός των υποθέσεων που έχουν τεθεί στο αρχείο,</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βε)</w:t>
      </w:r>
      <w:r>
        <w:rPr>
          <w:b/>
          <w:bCs/>
          <w:lang w:val="en" w:eastAsia="en"/>
        </w:rPr>
        <w:tab/>
      </w:r>
      <w:r>
        <w:rPr>
          <w:b/>
          <w:bCs/>
          <w:lang w:val="el" w:eastAsia="el"/>
        </w:rPr>
        <w:t>ο αριθμός των πορισμάτων που έχουν υποβληθεί στον Εισαγγελέα,</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βστ)</w:t>
      </w:r>
      <w:r>
        <w:rPr>
          <w:b/>
          <w:bCs/>
          <w:lang w:val="en" w:eastAsia="en"/>
        </w:rPr>
        <w:tab/>
      </w:r>
      <w:r>
        <w:rPr>
          <w:b/>
          <w:bCs/>
          <w:lang w:val="el" w:eastAsia="el"/>
        </w:rPr>
        <w:t>τα είδη των βασικών αδικημάτων που έχουν εντοπιστεί,</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βζ)</w:t>
      </w:r>
      <w:r>
        <w:rPr>
          <w:b/>
          <w:bCs/>
          <w:lang w:val="en" w:eastAsia="en"/>
        </w:rPr>
        <w:tab/>
      </w:r>
      <w:r>
        <w:rPr>
          <w:b/>
          <w:bCs/>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βη)</w:t>
      </w:r>
      <w:r>
        <w:rPr>
          <w:b/>
          <w:bCs/>
          <w:lang w:val="en" w:eastAsia="en"/>
        </w:rPr>
        <w:tab/>
      </w:r>
      <w:r>
        <w:rPr>
          <w:b/>
          <w:bCs/>
          <w:lang w:val="el" w:eastAsia="el"/>
        </w:rPr>
        <w:t>ο αριθμός των προσώπων που έχουν καταδικαστεί για τα ανωτέρω αδικήματα,</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βθ)</w:t>
      </w:r>
      <w:r>
        <w:rPr>
          <w:b/>
          <w:bCs/>
          <w:lang w:val="en" w:eastAsia="en"/>
        </w:rPr>
        <w:tab/>
      </w:r>
      <w:r>
        <w:rPr>
          <w:b/>
          <w:bCs/>
          <w:lang w:val="el" w:eastAsia="el"/>
        </w:rPr>
        <w:t>η αξία των περιουσιακών στοιχείων που έχουν δεσμευθεί, κατασχεθεί ή δημευθεί,</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γ)</w:t>
      </w:r>
      <w:r>
        <w:rPr>
          <w:b/>
          <w:bCs/>
          <w:lang w:val="en" w:eastAsia="en"/>
        </w:rPr>
        <w:tab/>
      </w:r>
      <w:r>
        <w:rPr>
          <w:b/>
          <w:bCs/>
          <w:lang w:val="el" w:eastAsia="el"/>
        </w:rPr>
        <w:t>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δ)</w:t>
      </w:r>
      <w:r>
        <w:rPr>
          <w:b/>
          <w:bCs/>
          <w:lang w:val="en" w:eastAsia="en"/>
        </w:rPr>
        <w:tab/>
      </w:r>
      <w:r>
        <w:rPr>
          <w:b/>
          <w:bCs/>
          <w:lang w:val="el" w:eastAsia="el"/>
        </w:rPr>
        <w:t>τη συλλογή, ταξινόμηση και επεξεργασία των στοιχείων του άρθρου 33,</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ε)</w:t>
      </w:r>
      <w:r>
        <w:rPr>
          <w:b/>
          <w:bCs/>
          <w:lang w:val="en" w:eastAsia="en"/>
        </w:rPr>
        <w:tab/>
      </w:r>
      <w:r>
        <w:rPr>
          <w:b/>
          <w:bCs/>
          <w:lang w:val="el" w:eastAsia="el"/>
        </w:rPr>
        <w:t>τα στατιστικά στοιχεία τα οποία αναφέρονται στην παρ. 7 του άρθρου 6 και περιλαμβάνονται στις εκθέσεις των αρμόδιων αρχών,</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στ)</w:t>
      </w:r>
      <w:r>
        <w:rPr>
          <w:b/>
          <w:bCs/>
          <w:lang w:val="en" w:eastAsia="en"/>
        </w:rPr>
        <w:tab/>
      </w:r>
      <w:r>
        <w:rPr>
          <w:b/>
          <w:bCs/>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ζ)</w:t>
      </w:r>
      <w:r>
        <w:rPr>
          <w:b/>
          <w:bCs/>
          <w:lang w:val="en" w:eastAsia="en"/>
        </w:rPr>
        <w:tab/>
      </w:r>
      <w:r>
        <w:rPr>
          <w:b/>
          <w:bCs/>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 και</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η)</w:t>
      </w:r>
      <w:r>
        <w:rPr>
          <w:b/>
          <w:bCs/>
          <w:lang w:val="en" w:eastAsia="en"/>
        </w:rPr>
        <w:tab/>
      </w:r>
      <w:r>
        <w:rPr>
          <w:b/>
          <w:bCs/>
          <w:lang w:val="el" w:eastAsia="el"/>
        </w:rPr>
        <w:t>μετρήσιμα δεδομένα που αφορούν στο Κεντρικό Μητρώο Πραγματικών Δικαιούχων του άρθρου 20, ιδίως τον αριθμό των υπόχρεων καταχώρισης, των καταχωρίσεων, των παραβάσεων που διαπιστώθηκαν βάσει ελέγχων, των κυρώσεων που επιβλήθηκαν, των αναντιστοιχιών και των εξαιρέσεων πρόσβασης σε πληροφορίες που έχουν καταχωρισθεί.</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b/>
          <w:bCs/>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Συλλογή δικαστικών δεδομένων και στοιχείων</w:t>
      </w:r>
    </w:p>
    <w:p>
      <w:pPr>
        <w:spacing w:before="240" w:after="240"/>
        <w:rPr>
          <w:lang w:val="el" w:eastAsia="el"/>
        </w:rPr>
      </w:pPr>
      <w:r>
        <w:rPr>
          <w:b/>
          <w:bCs/>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b/>
          <w:bCs/>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b/>
          <w:bCs/>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b/>
          <w:bCs/>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b/>
          <w:bCs/>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b/>
          <w:bCs/>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b/>
          <w:bCs/>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b/>
          <w:bCs/>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b/>
          <w:bCs/>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b/>
          <w:bCs/>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w:t>
      </w:r>
      <w:r>
        <w:rPr>
          <w:b/>
          <w:bCs/>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b/>
          <w:bCs/>
          <w:color w:val="000000"/>
          <w:sz w:val="20"/>
          <w:szCs w:val="20"/>
          <w:u w:val="none" w:color="0000EE"/>
          <w:vertAlign w:val="superscript"/>
          <w:lang w:val="el" w:eastAsia="el"/>
        </w:rPr>
        <w:footnoteReference w:id="330"/>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α)</w:t>
      </w:r>
      <w:r>
        <w:rPr>
          <w:b/>
          <w:bCs/>
          <w:lang w:val="en" w:eastAsia="en"/>
        </w:rPr>
        <w:tab/>
      </w:r>
      <w:r>
        <w:rPr>
          <w:b/>
          <w:bCs/>
          <w:lang w:val="el" w:eastAsia="el"/>
        </w:rPr>
        <w:t>το αίτημα θεωρείται ότι περιλαμβάνει επίσης φορολογικά θέματα,</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β)</w:t>
      </w:r>
      <w:r>
        <w:rPr>
          <w:b/>
          <w:bCs/>
          <w:lang w:val="en" w:eastAsia="en"/>
        </w:rPr>
        <w:tab/>
      </w:r>
      <w:r>
        <w:rPr>
          <w:b/>
          <w:bCs/>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γ)</w:t>
      </w:r>
      <w:r>
        <w:rPr>
          <w:b/>
          <w:bCs/>
          <w:lang w:val="en" w:eastAsia="en"/>
        </w:rPr>
        <w:tab/>
      </w:r>
      <w:r>
        <w:rPr>
          <w:b/>
          <w:bCs/>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b/>
          <w:bCs/>
          <w:lang w:val="el" w:eastAsia="el"/>
        </w:rPr>
        <w:t xml:space="preserve"> Οι διατάξεις της παρ. 1 δεν εμποδίζουν την ανταλλαγή πληροφοριών μεταξύ:</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την άσκηση προσφυγής κατά απόφασής τους, συμπεριλαμβανομένης δικαστικής διαδικασίας,</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γ)</w:t>
      </w:r>
      <w:r>
        <w:rPr>
          <w:b/>
          <w:bCs/>
          <w:lang w:val="en" w:eastAsia="en"/>
        </w:rPr>
        <w:tab/>
      </w:r>
      <w:r>
        <w:rPr>
          <w:b/>
          <w:bCs/>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b/>
          <w:bCs/>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b/>
          <w:bCs/>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γ)</w:t>
      </w:r>
      <w:r>
        <w:rPr>
          <w:b/>
          <w:bCs/>
          <w:lang w:val="en" w:eastAsia="en"/>
        </w:rPr>
        <w:tab/>
      </w:r>
      <w:r>
        <w:rPr>
          <w:b/>
          <w:bCs/>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b/>
          <w:bCs/>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είναι απολύτως αναγκαίες για την εκπλήρωση της εντολής που αναφέρεται στην περ. α) ή</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γ)</w:t>
      </w:r>
      <w:r>
        <w:rPr>
          <w:b/>
          <w:bCs/>
          <w:lang w:val="en" w:eastAsia="en"/>
        </w:rPr>
        <w:tab/>
      </w:r>
      <w:r>
        <w:rPr>
          <w:b/>
          <w:bCs/>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δ)</w:t>
      </w:r>
      <w:r>
        <w:rPr>
          <w:b/>
          <w:bCs/>
          <w:lang w:val="en" w:eastAsia="en"/>
        </w:rPr>
        <w:tab/>
      </w:r>
      <w:r>
        <w:rPr>
          <w:b/>
          <w:bCs/>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b/>
          <w:bCs/>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b/>
          <w:bCs/>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b/>
          <w:bCs/>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b/>
          <w:bCs/>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b/>
          <w:bCs/>
          <w:lang w:val="el" w:eastAsia="el"/>
        </w:rPr>
        <w:t>Επιπρόσθετα, τα υπόχρεα πρόσωπα θεσπίζουν διαδικασίες που επιτρέπουν στους εργαζομένους τους να καταγγέλλουν παραβάσεις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b/>
          <w:bCs/>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b/>
          <w:bCs/>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b/>
          <w:bCs/>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b/>
          <w:bCs/>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b/>
          <w:bCs/>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5.</w:t>
      </w:r>
      <w:r>
        <w:rPr>
          <w:b/>
          <w:bCs/>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6.</w:t>
      </w:r>
      <w:r>
        <w:rPr>
          <w:b/>
          <w:bCs/>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b/>
          <w:bCs/>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Οι πάροχοι υπηρεσιών κρυπτοστοιχείων που είναι εγκατεστημένοι στην Ελλάδα με μορφή διαφορετική από υποκατάστημα και των οποίων η έδρα βρίσκεται σε άλλο κράτος μέλος της Ευρωπαϊκής Ένωσης ορίζουν ένα κεντρικό σημείο επαφής στην Ελλάδα, το οποίο είναι αρμόδιο να εξασφαλίζει για λογαριασμό τους τη συμμόρφωση στον παρόντα και να διευκολύνει την εποπτεία από την Επιτροπή Κεφαλαιαγοράς και την Τράπεζα της Ελλάδος, συμπεριλαμβανομένης της παροχής εγγράφων και πληροφοριών προς αυτές ύστερα από σχετικό αίτημα.</w:t>
      </w:r>
      <w:r>
        <w:rPr>
          <w:rStyle w:val="Hyperlink"/>
          <w:b/>
          <w:bCs/>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Κατάρτιση και εκπαίδευση (άρθρο 46 παρ. 1 εδάφια α΄ και β΄ της Οδηγίας 2015/849) </w:t>
      </w:r>
    </w:p>
    <w:p>
      <w:pPr>
        <w:spacing w:before="240" w:after="240"/>
        <w:rPr>
          <w:lang w:val="el" w:eastAsia="el"/>
        </w:rPr>
      </w:pPr>
      <w:r>
        <w:rPr>
          <w:b/>
          <w:bCs/>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b/>
          <w:bCs/>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b/>
          <w:bCs/>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b/>
          <w:bCs/>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b/>
          <w:bCs/>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b/>
          <w:bCs/>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Ποινικές κυρώσεις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w:t>
      </w:r>
      <w:r>
        <w:rPr>
          <w:b/>
          <w:bCs/>
          <w:lang w:val="en" w:eastAsia="en"/>
        </w:rPr>
        <w:tab/>
      </w:r>
      <w:r>
        <w:rPr>
          <w:b/>
          <w:bCs/>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αα)</w:t>
      </w:r>
      <w:r>
        <w:rPr>
          <w:b/>
          <w:bCs/>
          <w:lang w:val="en" w:eastAsia="en"/>
        </w:rPr>
        <w:tab/>
      </w:r>
      <w:r>
        <w:rPr>
          <w:b/>
          <w:bCs/>
          <w:lang w:val="el" w:eastAsia="el"/>
        </w:rPr>
        <w:t>αν το αντικείμενο της νομιμοποίησης υπερβαίνει συνολικά σε αξία το ποσό των εκατό είκοσι χιλιάδων (120.000) ευρώ, ή</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ββ)</w:t>
      </w:r>
      <w:r>
        <w:rPr>
          <w:b/>
          <w:bCs/>
          <w:lang w:val="en" w:eastAsia="en"/>
        </w:rPr>
        <w:tab/>
      </w:r>
      <w:r>
        <w:rPr>
          <w:b/>
          <w:bCs/>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γγ)</w:t>
      </w:r>
      <w:r>
        <w:rPr>
          <w:b/>
          <w:bCs/>
          <w:lang w:val="en" w:eastAsia="en"/>
        </w:rPr>
        <w:tab/>
      </w:r>
      <w:r>
        <w:rPr>
          <w:b/>
          <w:bCs/>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γ)</w:t>
      </w:r>
      <w:r>
        <w:rPr>
          <w:b/>
          <w:bCs/>
          <w:lang w:val="en" w:eastAsia="en"/>
        </w:rPr>
        <w:tab/>
      </w:r>
      <w:r>
        <w:rPr>
          <w:b/>
          <w:bCs/>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δ)</w:t>
      </w:r>
      <w:r>
        <w:rPr>
          <w:b/>
          <w:bCs/>
          <w:lang w:val="en" w:eastAsia="en"/>
        </w:rPr>
        <w:tab/>
      </w:r>
      <w:r>
        <w:rPr>
          <w:b/>
          <w:bCs/>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ε)</w:t>
      </w:r>
      <w:r>
        <w:rPr>
          <w:b/>
          <w:bCs/>
          <w:lang w:val="en" w:eastAsia="en"/>
        </w:rPr>
        <w:tab/>
      </w:r>
      <w:r>
        <w:rPr>
          <w:b/>
          <w:bCs/>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στ)</w:t>
      </w:r>
      <w:r>
        <w:rPr>
          <w:b/>
          <w:bCs/>
          <w:lang w:val="en" w:eastAsia="en"/>
        </w:rPr>
        <w:tab/>
      </w:r>
      <w:r>
        <w:rPr>
          <w:b/>
          <w:bCs/>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ζ)</w:t>
      </w:r>
      <w:r>
        <w:rPr>
          <w:b/>
          <w:bCs/>
          <w:lang w:val="en" w:eastAsia="en"/>
        </w:rPr>
        <w:tab/>
      </w:r>
      <w:r>
        <w:rPr>
          <w:b/>
          <w:bCs/>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η)</w:t>
      </w:r>
      <w:r>
        <w:rPr>
          <w:b/>
          <w:bCs/>
          <w:lang w:val="en" w:eastAsia="en"/>
        </w:rPr>
        <w:tab/>
      </w:r>
      <w:r>
        <w:rPr>
          <w:b/>
          <w:bCs/>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2.</w:t>
      </w:r>
      <w:r>
        <w:rPr>
          <w:b/>
          <w:bCs/>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3.</w:t>
      </w:r>
      <w:r>
        <w:rPr>
          <w:b/>
          <w:bCs/>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w:t>
      </w:r>
      <w:r>
        <w:rPr>
          <w:b/>
          <w:bCs/>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b/>
          <w:bCs/>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6.</w:t>
      </w:r>
      <w:r>
        <w:rPr>
          <w:b/>
          <w:bCs/>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b/>
          <w:bCs/>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Δήμευση περιουσιακών στοιχείων</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5.</w:t>
      </w:r>
      <w:r>
        <w:rPr>
          <w:b/>
          <w:bCs/>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b/>
          <w:bCs/>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b/>
          <w:bCs/>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α)</w:t>
      </w:r>
      <w:r>
        <w:rPr>
          <w:b/>
          <w:bCs/>
          <w:lang w:val="en" w:eastAsia="en"/>
        </w:rPr>
        <w:tab/>
      </w:r>
      <w:r>
        <w:rPr>
          <w:b/>
          <w:bCs/>
          <w:lang w:val="el" w:eastAsia="el"/>
        </w:rPr>
        <w:t>των περ. α’, β’, γ’ και θ’ του άρθρου 4 του παρόντος, και των άρθρων 237Α, 323Α και 396 του Ποινικού Κώδικα (ΠΚ, 4619/2019, Α’ 95),</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207, 208, 208Α ΠΚ,</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216, 372, 374, 375 και της παρ. 1 του άρθρου 394 ΠΚ, εφόσον αφορούν μέσα πληρωμής πλην των μετρητών,</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348Α, 348Β, 348Γ, 349 ΠΚ,</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292Β ΠΚ.</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b/>
          <w:bCs/>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Δέσμευση και απαγόρευση εκποίησης περιουσιακών στοιχείων - Εξουσιοδοτική διάταξη</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w:t>
      </w:r>
      <w:r>
        <w:rPr>
          <w:b/>
          <w:bCs/>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b/>
          <w:bCs/>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b/>
          <w:bCs/>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b/>
          <w:bCs/>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b/>
          <w:bCs/>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b/>
          <w:bCs/>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8.</w:t>
      </w:r>
      <w:r>
        <w:rPr>
          <w:b/>
          <w:bCs/>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9.</w:t>
      </w:r>
      <w:r>
        <w:rPr>
          <w:b/>
          <w:bCs/>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10.</w:t>
      </w:r>
      <w:r>
        <w:rPr>
          <w:b/>
          <w:bCs/>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w:t>
      </w:r>
      <w:r>
        <w:rPr>
          <w:b/>
          <w:bCs/>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12.</w:t>
      </w:r>
      <w:r>
        <w:rPr>
          <w:b/>
          <w:bCs/>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13.</w:t>
      </w:r>
      <w:r>
        <w:rPr>
          <w:b/>
          <w:bCs/>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b/>
          <w:bCs/>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b/>
          <w:bCs/>
          <w:lang w:val="el" w:eastAsia="el"/>
        </w:rPr>
        <w:t>ε)</w:t>
      </w:r>
      <w:r>
        <w:rPr>
          <w:b/>
          <w:bCs/>
          <w:lang w:val="en" w:eastAsia="en"/>
        </w:rPr>
        <w:tab/>
      </w:r>
      <w:r>
        <w:rPr>
          <w:b/>
          <w:bCs/>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b/>
          <w:bCs/>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b/>
          <w:bCs/>
          <w:lang w:val="el" w:eastAsia="el"/>
        </w:rPr>
        <w:t>η)</w:t>
      </w:r>
      <w:r>
        <w:rPr>
          <w:b/>
          <w:bCs/>
          <w:lang w:val="en" w:eastAsia="en"/>
        </w:rPr>
        <w:tab/>
      </w:r>
      <w:r>
        <w:rPr>
          <w:b/>
          <w:bCs/>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b/>
          <w:bCs/>
          <w:lang w:val="el" w:eastAsia="el"/>
        </w:rPr>
        <w:t>θ)</w:t>
      </w:r>
      <w:r>
        <w:rPr>
          <w:b/>
          <w:bCs/>
          <w:lang w:val="en" w:eastAsia="en"/>
        </w:rPr>
        <w:tab/>
      </w:r>
      <w:r>
        <w:rPr>
          <w:b/>
          <w:bCs/>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b/>
          <w:bCs/>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Πρόσβαση δικαστικών αρχών σε αρχεία και στοιχεία </w:t>
      </w:r>
    </w:p>
    <w:p>
      <w:pPr>
        <w:spacing w:before="240" w:after="240"/>
        <w:rPr>
          <w:lang w:val="el" w:eastAsia="el"/>
        </w:rPr>
      </w:pPr>
      <w:r>
        <w:rPr>
          <w:b/>
          <w:bCs/>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Ευθύνη νομικών προσώπων και οντοτήτων</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w:t>
      </w:r>
      <w:r>
        <w:rPr>
          <w:b/>
          <w:bCs/>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β)</w:t>
      </w:r>
      <w:r>
        <w:rPr>
          <w:b/>
          <w:bCs/>
          <w:lang w:val="en" w:eastAsia="en"/>
        </w:rPr>
        <w:tab/>
      </w:r>
      <w:r>
        <w:rPr>
          <w:b/>
          <w:bCs/>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γ)</w:t>
      </w:r>
      <w:r>
        <w:rPr>
          <w:b/>
          <w:bCs/>
          <w:lang w:val="en" w:eastAsia="en"/>
        </w:rPr>
        <w:tab/>
      </w:r>
      <w:r>
        <w:rPr>
          <w:b/>
          <w:bCs/>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b/>
          <w:bCs/>
          <w:lang w:val="el" w:eastAsia="el"/>
        </w:rPr>
        <w:t>δ)</w:t>
      </w:r>
      <w:r>
        <w:rPr>
          <w:b/>
          <w:bCs/>
          <w:lang w:val="en" w:eastAsia="en"/>
        </w:rPr>
        <w:tab/>
      </w:r>
      <w:r>
        <w:rPr>
          <w:b/>
          <w:bCs/>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r>
        <w:rPr>
          <w:rStyle w:val="Hyperlink"/>
          <w:b/>
          <w:bCs/>
          <w:color w:val="000000"/>
          <w:sz w:val="20"/>
          <w:szCs w:val="20"/>
          <w:u w:val="none" w:color="0000EE"/>
          <w:vertAlign w:val="superscript"/>
          <w:lang w:val="el" w:eastAsia="el"/>
        </w:rPr>
        <w:footnoteReference w:id="414"/>
      </w:r>
    </w:p>
    <w:p>
      <w:pPr>
        <w:spacing w:before="240" w:after="240"/>
        <w:rPr>
          <w:lang w:val="el" w:eastAsia="el"/>
        </w:rPr>
      </w:pPr>
      <w:r>
        <w:rPr>
          <w:b/>
          <w:bCs/>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b/>
          <w:bCs/>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δέκα χιλιάδες (10.000) ευρώ έως πέντε εκατομμύρια (5.000.000) ευρώ.</w:t>
      </w:r>
    </w:p>
    <w:p>
      <w:pPr>
        <w:spacing w:before="240" w:after="240"/>
        <w:rPr>
          <w:lang w:val="el" w:eastAsia="el"/>
        </w:rPr>
      </w:pPr>
      <w:r>
        <w:rPr>
          <w:b/>
          <w:bCs/>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β)</w:t>
      </w:r>
      <w:r>
        <w:rPr>
          <w:b/>
          <w:bCs/>
          <w:lang w:val="en" w:eastAsia="en"/>
        </w:rPr>
        <w:tab/>
      </w:r>
      <w:r>
        <w:rPr>
          <w:b/>
          <w:bCs/>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b/>
          <w:bCs/>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b/>
          <w:bCs/>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η βαρύτητα και η διάρκεια της παράβασης,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ο βαθμός ευθύνης του νομικού προσώπου ή της οντότητας,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η οικονομική επιφάνεια του νομικού προσώπου ή της οντότητας,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το ύψος των παράνομων εσόδων ή του προκύψαντος οφέλους,</w:t>
      </w:r>
    </w:p>
    <w:p>
      <w:pPr>
        <w:pStyle w:val="StructureList1"/>
        <w:spacing w:before="120" w:after="0"/>
        <w:rPr>
          <w:lang w:val="el" w:eastAsia="el"/>
        </w:rPr>
      </w:pPr>
      <w:r>
        <w:rPr>
          <w:b/>
          <w:bCs/>
          <w:lang w:val="el" w:eastAsia="el"/>
        </w:rPr>
        <w:t>ε)</w:t>
      </w:r>
      <w:r>
        <w:rPr>
          <w:b/>
          <w:bCs/>
          <w:lang w:val="en" w:eastAsia="en"/>
        </w:rPr>
        <w:tab/>
      </w:r>
      <w:r>
        <w:rPr>
          <w:b/>
          <w:bCs/>
          <w:lang w:val="el" w:eastAsia="el"/>
        </w:rPr>
        <w:t>οι ζημίες τρίτων που προέκυψαν από το αδίκημα,</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b/>
          <w:bCs/>
          <w:lang w:val="el" w:eastAsia="el"/>
        </w:rPr>
        <w:t>ζ)</w:t>
      </w:r>
      <w:r>
        <w:rPr>
          <w:b/>
          <w:bCs/>
          <w:lang w:val="en" w:eastAsia="en"/>
        </w:rPr>
        <w:tab/>
      </w:r>
      <w:r>
        <w:rPr>
          <w:b/>
          <w:bCs/>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b/>
          <w:bCs/>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b/>
          <w:bCs/>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b/>
          <w:bCs/>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b/>
          <w:bCs/>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b/>
          <w:bCs/>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b/>
          <w:bCs/>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υπόχρεα νομικά πρόσωπα ή οντότητες:</w:t>
      </w:r>
    </w:p>
    <w:p>
      <w:pPr>
        <w:pStyle w:val="StructureList1"/>
        <w:spacing w:before="120" w:after="0"/>
        <w:rPr>
          <w:lang w:val="el" w:eastAsia="el"/>
        </w:rPr>
      </w:pPr>
      <w:r>
        <w:rPr>
          <w:b/>
          <w:bCs/>
          <w:lang w:val="el" w:eastAsia="el"/>
        </w:rPr>
        <w:t>αα)</w:t>
      </w:r>
      <w:r>
        <w:rPr>
          <w:b/>
          <w:bCs/>
          <w:lang w:val="en" w:eastAsia="en"/>
        </w:rPr>
        <w:tab/>
      </w:r>
      <w:r>
        <w:rPr>
          <w:b/>
          <w:bCs/>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γγ)</w:t>
      </w:r>
      <w:r>
        <w:rPr>
          <w:b/>
          <w:bCs/>
          <w:lang w:val="en" w:eastAsia="en"/>
        </w:rPr>
        <w:tab/>
      </w:r>
      <w:r>
        <w:rPr>
          <w:b/>
          <w:bCs/>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b/>
          <w:bCs/>
          <w:lang w:val="el" w:eastAsia="el"/>
        </w:rPr>
        <w:t>δδ)</w:t>
      </w:r>
      <w:r>
        <w:rPr>
          <w:b/>
          <w:bCs/>
          <w:lang w:val="en" w:eastAsia="en"/>
        </w:rPr>
        <w:tab/>
      </w:r>
      <w:r>
        <w:rPr>
          <w:b/>
          <w:bCs/>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b/>
          <w:bCs/>
          <w:lang w:val="el" w:eastAsia="el"/>
        </w:rPr>
        <w:t>εε)</w:t>
      </w:r>
      <w:r>
        <w:rPr>
          <w:b/>
          <w:bCs/>
          <w:lang w:val="en" w:eastAsia="en"/>
        </w:rPr>
        <w:tab/>
      </w:r>
      <w:r>
        <w:rPr>
          <w:b/>
          <w:bCs/>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b/>
          <w:bCs/>
          <w:lang w:val="el" w:eastAsia="el"/>
        </w:rPr>
        <w:t>στστ)</w:t>
      </w:r>
      <w:r>
        <w:rPr>
          <w:b/>
          <w:bCs/>
          <w:lang w:val="en" w:eastAsia="en"/>
        </w:rPr>
        <w:tab/>
      </w:r>
      <w:r>
        <w:rPr>
          <w:b/>
          <w:bCs/>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υπόχρεα φυσικά πρόσωπα:</w:t>
      </w:r>
    </w:p>
    <w:p>
      <w:pPr>
        <w:pStyle w:val="StructureList1"/>
        <w:spacing w:before="120" w:after="0"/>
        <w:rPr>
          <w:lang w:val="el" w:eastAsia="el"/>
        </w:rPr>
      </w:pPr>
      <w:r>
        <w:rPr>
          <w:b/>
          <w:bCs/>
          <w:lang w:val="el" w:eastAsia="el"/>
        </w:rPr>
        <w:t>αα)</w:t>
      </w:r>
      <w:r>
        <w:rPr>
          <w:b/>
          <w:bCs/>
          <w:lang w:val="en" w:eastAsia="en"/>
        </w:rPr>
        <w:tab/>
      </w:r>
      <w:r>
        <w:rPr>
          <w:b/>
          <w:bCs/>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b/>
          <w:bCs/>
          <w:lang w:val="el" w:eastAsia="el"/>
        </w:rPr>
        <w:t>ββ)</w:t>
      </w:r>
      <w:r>
        <w:rPr>
          <w:b/>
          <w:bCs/>
          <w:lang w:val="en" w:eastAsia="en"/>
        </w:rPr>
        <w:tab/>
      </w:r>
      <w:r>
        <w:rPr>
          <w:b/>
          <w:bCs/>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b/>
          <w:bCs/>
          <w:lang w:val="el" w:eastAsia="el"/>
        </w:rPr>
        <w:t>γγ)</w:t>
      </w:r>
      <w:r>
        <w:rPr>
          <w:b/>
          <w:bCs/>
          <w:lang w:val="en" w:eastAsia="en"/>
        </w:rPr>
        <w:tab/>
      </w:r>
      <w:r>
        <w:rPr>
          <w:b/>
          <w:bCs/>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b/>
          <w:bCs/>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b/>
          <w:bCs/>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b/>
          <w:bCs/>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b/>
          <w:bCs/>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b/>
          <w:bCs/>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b/>
          <w:bCs/>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b/>
          <w:bCs/>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b/>
          <w:bCs/>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b/>
          <w:bCs/>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b/>
          <w:bCs/>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b/>
          <w:bCs/>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b/>
          <w:bCs/>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6.</w:t>
      </w:r>
      <w:r>
        <w:rPr>
          <w:b/>
          <w:bCs/>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b/>
          <w:bCs/>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b/>
          <w:bCs/>
          <w:lang w:val="el" w:eastAsia="el"/>
        </w:rPr>
        <w:t xml:space="preserve"> Α΄ Μονάδα Διερεύνησης Χρηματοοικονομικών Πληροφοριών</w:t>
      </w:r>
    </w:p>
    <w:p>
      <w:pPr>
        <w:pStyle w:val="StructureList1"/>
        <w:spacing w:before="120" w:after="0"/>
        <w:rPr>
          <w:lang w:val="el" w:eastAsia="el"/>
        </w:rPr>
      </w:pPr>
      <w:r>
        <w:rPr>
          <w:b/>
          <w:bCs/>
          <w:lang w:val="el" w:eastAsia="el"/>
        </w:rPr>
        <w:t>α)</w:t>
      </w:r>
      <w:r>
        <w:rPr>
          <w:b/>
          <w:bCs/>
          <w:lang w:val="en" w:eastAsia="en"/>
        </w:rPr>
        <w:tab/>
      </w:r>
      <w:r>
        <w:rPr>
          <w:b/>
          <w:bCs/>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Α.Α.Δ.Ε. που προτείνεται από τον Διοικητή της,</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b/>
          <w:bCs/>
          <w:lang w:val="el" w:eastAsia="el"/>
        </w:rPr>
        <w:t>εε)</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στστ)</w:t>
      </w:r>
      <w:r>
        <w:rPr>
          <w:b/>
          <w:bCs/>
          <w:lang w:val="en" w:eastAsia="en"/>
        </w:rPr>
        <w:tab/>
      </w:r>
      <w:r>
        <w:rPr>
          <w:b/>
          <w:bCs/>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ζζ)</w:t>
      </w:r>
      <w:r>
        <w:rPr>
          <w:b/>
          <w:bCs/>
          <w:lang w:val="en" w:eastAsia="en"/>
        </w:rPr>
        <w:tab/>
      </w:r>
      <w:r>
        <w:rPr>
          <w:b/>
          <w:bCs/>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b/>
          <w:bCs/>
          <w:lang w:val="el" w:eastAsia="el"/>
        </w:rPr>
        <w:t>ηη)</w:t>
      </w:r>
      <w:r>
        <w:rPr>
          <w:b/>
          <w:bCs/>
          <w:lang w:val="en" w:eastAsia="en"/>
        </w:rPr>
        <w:tab/>
      </w:r>
      <w:r>
        <w:rPr>
          <w:b/>
          <w:bCs/>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b/>
          <w:bCs/>
          <w:lang w:val="el" w:eastAsia="el"/>
        </w:rPr>
        <w:t>θθ)</w:t>
      </w:r>
      <w:r>
        <w:rPr>
          <w:b/>
          <w:bCs/>
          <w:lang w:val="en" w:eastAsia="en"/>
        </w:rPr>
        <w:tab/>
      </w:r>
      <w:r>
        <w:rPr>
          <w:b/>
          <w:bCs/>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είναι αρμόδιο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b/>
          <w:bCs/>
          <w:lang w:val="el" w:eastAsia="el"/>
        </w:rPr>
        <w:t>ββ)</w:t>
      </w:r>
      <w:r>
        <w:rPr>
          <w:b/>
          <w:bCs/>
          <w:lang w:val="en" w:eastAsia="en"/>
        </w:rPr>
        <w:tab/>
      </w:r>
      <w:r>
        <w:rPr>
          <w:b/>
          <w:bCs/>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b/>
          <w:bCs/>
          <w:lang w:val="el" w:eastAsia="el"/>
        </w:rPr>
        <w:t>δδ)</w:t>
      </w:r>
      <w:r>
        <w:rPr>
          <w:b/>
          <w:bCs/>
          <w:lang w:val="en" w:eastAsia="en"/>
        </w:rPr>
        <w:tab/>
      </w:r>
      <w:r>
        <w:rPr>
          <w:b/>
          <w:bCs/>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b/>
          <w:bCs/>
          <w:lang w:val="el" w:eastAsia="el"/>
        </w:rPr>
        <w:t>εε)</w:t>
      </w:r>
      <w:r>
        <w:rPr>
          <w:b/>
          <w:bCs/>
          <w:lang w:val="en" w:eastAsia="en"/>
        </w:rPr>
        <w:tab/>
      </w:r>
      <w:r>
        <w:rPr>
          <w:b/>
          <w:bCs/>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δ)</w:t>
      </w:r>
      <w:r>
        <w:rPr>
          <w:b/>
          <w:bCs/>
          <w:lang w:val="en" w:eastAsia="en"/>
        </w:rPr>
        <w:tab/>
      </w:r>
      <w:r>
        <w:rPr>
          <w:b/>
          <w:bCs/>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b/>
          <w:bCs/>
          <w:lang w:val="el" w:eastAsia="el"/>
        </w:rPr>
        <w:t>στ)</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b/>
          <w:bCs/>
          <w:lang w:val="el" w:eastAsia="el"/>
        </w:rPr>
        <w:t xml:space="preserve"> Β΄ Μονάδα Χρηματοοικονομικών Κυρώσεων</w:t>
      </w:r>
    </w:p>
    <w:p>
      <w:pPr>
        <w:pStyle w:val="StructureList1"/>
        <w:spacing w:before="120" w:after="0"/>
        <w:rPr>
          <w:lang w:val="el" w:eastAsia="el"/>
        </w:rPr>
      </w:pPr>
      <w:r>
        <w:rPr>
          <w:b/>
          <w:bCs/>
          <w:lang w:val="el" w:eastAsia="el"/>
        </w:rPr>
        <w:t>α)</w:t>
      </w:r>
      <w:r>
        <w:rPr>
          <w:b/>
          <w:bCs/>
          <w:lang w:val="en" w:eastAsia="en"/>
        </w:rPr>
        <w:tab/>
      </w:r>
      <w:r>
        <w:rPr>
          <w:b/>
          <w:bCs/>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της Ελληνικής Αστυνομίας που προτείνεται από τον Υπουργό Προστασίας του Πολίτη,</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δ)</w:t>
      </w:r>
      <w:r>
        <w:rPr>
          <w:b/>
          <w:bCs/>
          <w:lang w:val="en" w:eastAsia="en"/>
        </w:rPr>
        <w:tab/>
      </w:r>
      <w:r>
        <w:rPr>
          <w:b/>
          <w:bCs/>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b/>
          <w:bCs/>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b/>
          <w:bCs/>
          <w:lang w:val="el" w:eastAsia="el"/>
        </w:rPr>
        <w:t>ε)</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Γ΄ Μονάδα Ελέγχου Δηλώσεων Περιουσιακής Κατάστασης</w:t>
      </w:r>
    </w:p>
    <w:p>
      <w:pPr>
        <w:pStyle w:val="StructureList1"/>
        <w:spacing w:before="120" w:after="0"/>
        <w:rPr>
          <w:lang w:val="el" w:eastAsia="el"/>
        </w:rPr>
      </w:pPr>
      <w:r>
        <w:rPr>
          <w:b/>
          <w:bCs/>
          <w:lang w:val="el" w:eastAsia="el"/>
        </w:rPr>
        <w:t>α)</w:t>
      </w:r>
      <w:r>
        <w:rPr>
          <w:b/>
          <w:bCs/>
          <w:lang w:val="en" w:eastAsia="en"/>
        </w:rPr>
        <w:tab/>
      </w:r>
      <w:r>
        <w:rPr>
          <w:b/>
          <w:bCs/>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το Υπουργείο Δικαιοσύνης, που προτείνεται από τον αρμόδιο Υπουργό.</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δέχεται τις δηλώσεις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άρθρου 25 του ίδιου νόμου, σύμφωνα με όσα ορίζονται στο άρθρο 27 του ίδιου νόμου,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b/>
          <w:bCs/>
          <w:lang w:val="el" w:eastAsia="el"/>
        </w:rPr>
        <w:t>γγ)</w:t>
      </w:r>
      <w:r>
        <w:rPr>
          <w:b/>
          <w:bCs/>
          <w:lang w:val="en" w:eastAsia="en"/>
        </w:rPr>
        <w:tab/>
      </w:r>
      <w:r>
        <w:rPr>
          <w:b/>
          <w:bCs/>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b/>
          <w:bCs/>
          <w:lang w:val="el" w:eastAsia="el"/>
        </w:rPr>
        <w:t>δδ)</w:t>
      </w:r>
      <w:r>
        <w:rPr>
          <w:b/>
          <w:bCs/>
          <w:lang w:val="en" w:eastAsia="en"/>
        </w:rPr>
        <w:tab/>
      </w:r>
      <w:r>
        <w:rPr>
          <w:b/>
          <w:bCs/>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εε)</w:t>
      </w:r>
      <w:r>
        <w:rPr>
          <w:b/>
          <w:bCs/>
          <w:lang w:val="en" w:eastAsia="en"/>
        </w:rPr>
        <w:tab/>
      </w:r>
      <w:r>
        <w:rPr>
          <w:b/>
          <w:bCs/>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στστ)</w:t>
      </w:r>
      <w:r>
        <w:rPr>
          <w:b/>
          <w:bCs/>
          <w:lang w:val="en" w:eastAsia="en"/>
        </w:rPr>
        <w:tab/>
      </w:r>
      <w:r>
        <w:rPr>
          <w:b/>
          <w:bCs/>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b/>
          <w:bCs/>
          <w:color w:val="000000"/>
          <w:sz w:val="20"/>
          <w:szCs w:val="20"/>
          <w:u w:val="none" w:color="0000EE"/>
          <w:vertAlign w:val="superscript"/>
          <w:lang w:val="el" w:eastAsia="el"/>
        </w:rPr>
        <w:footnoteReference w:id="432"/>
      </w:r>
    </w:p>
    <w:p>
      <w:pPr>
        <w:spacing w:before="240" w:after="240"/>
        <w:rPr>
          <w:lang w:val="el" w:eastAsia="el"/>
        </w:rPr>
      </w:pPr>
      <w:r>
        <w:rPr>
          <w:b/>
          <w:bCs/>
          <w:lang w:val="el" w:eastAsia="el"/>
        </w:rPr>
        <w:t>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δ)</w:t>
      </w:r>
      <w:r>
        <w:rPr>
          <w:b/>
          <w:bCs/>
          <w:lang w:val="en" w:eastAsia="en"/>
        </w:rPr>
        <w:tab/>
      </w:r>
      <w:r>
        <w:rPr>
          <w:b/>
          <w:bCs/>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b/>
          <w:bCs/>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b/>
          <w:bCs/>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b/>
          <w:bCs/>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b/>
          <w:bCs/>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b/>
          <w:bCs/>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b/>
          <w:bCs/>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b/>
          <w:bCs/>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b/>
          <w:bCs/>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καταδικαστικές αποφάσεις για την τέλεση τρομοκρατικών πράξεων,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b/>
          <w:bCs/>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b/>
          <w:bCs/>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b/>
          <w:bCs/>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b/>
          <w:bCs/>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5.</w:t>
      </w:r>
      <w:r>
        <w:rPr>
          <w:b/>
          <w:bCs/>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b/>
          <w:bCs/>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b/>
          <w:bCs/>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b/>
          <w:bCs/>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b/>
          <w:bCs/>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b/>
          <w:bCs/>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b/>
          <w:bCs/>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b/>
          <w:bCs/>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b/>
          <w:bCs/>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b/>
          <w:bCs/>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b/>
          <w:bCs/>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b/>
          <w:bCs/>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Προσωπικό και λειτουργία της Αρχής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w:t>
      </w:r>
      <w:r>
        <w:rPr>
          <w:b/>
          <w:bCs/>
          <w:lang w:val="el" w:eastAsia="el"/>
        </w:rPr>
        <w:t xml:space="preserve"> Για τις ανάγκες των Μονάδων της Αρχής και του Αυτοτελούς Γραφείου Διοικητικής Υποστήριξης συστήνονται ενενήντα τρεις (93) οργανικές θέσεις και δύο (2) θέσεις συνεργατών - μετακλητών υπαλλήλων.</w:t>
      </w:r>
      <w:r>
        <w:rPr>
          <w:rStyle w:val="Hyperlink"/>
          <w:b/>
          <w:bCs/>
          <w:color w:val="000000"/>
          <w:sz w:val="20"/>
          <w:szCs w:val="20"/>
          <w:u w:val="none" w:color="0000EE"/>
          <w:vertAlign w:val="superscript"/>
          <w:lang w:val="el" w:eastAsia="el"/>
        </w:rPr>
        <w:footnoteReference w:id="439"/>
      </w:r>
    </w:p>
    <w:p>
      <w:pPr>
        <w:spacing w:before="240" w:after="240"/>
        <w:rPr>
          <w:lang w:val="el" w:eastAsia="el"/>
        </w:rPr>
      </w:pPr>
      <w:r>
        <w:rPr>
          <w:b/>
          <w:bCs/>
          <w:lang w:val="el" w:eastAsia="el"/>
        </w:rPr>
        <w:t>Οι θέσεις του πρώτου εδαφίου πληρούνται με πρόσληψη, διορισμό, μετάταξη και απόσπαση.</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b/>
          <w:bCs/>
          <w:lang w:val="el" w:eastAsia="el"/>
        </w:rPr>
        <w:t xml:space="preserve"> Η Αρχή στελεχώνεται από μόνιμους δημοσίους υπαλλήλους, υπαλλήλους με σχέση εργασίας ιδιωτικού δικαίου αορίστου χρόνου και έως δύο (2) συνεργάτες μετακλητούς υπαλλήλους, οι οποίοι καταλαμβάνουν αντίστοιχες θέσεις της παρ. 1. Η πλήρωση των κενών οργανικών θέσεων γίνεται:</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 μετακλητών υπαλλήλων. Για την πρόσληψη ειδικού επιστημονικού προσωπικού εφαρμόζεται, κατ' αναλογία, το άρθρο 57 του ν. 5043/2023 (Α' 91), περί πρόσληψης προσωπικού. Οι συνεργάτες -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και προσλαμβάνονται κατ' επιλογή του Προέδρου, εφαρμοζομένων κατά τα λοιπά αναλογικά των άρθρων 46 έως 48 του ν. 4622/2019, περί της στελέχωσης των ιδιαίτερων γραφείων.</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b/>
          <w:bCs/>
          <w:lang w:val="el" w:eastAsia="el"/>
        </w:rPr>
        <w:t xml:space="preserve"> Πέραν του ανωτέρω προσωπικού, στην Αρχή δύναται να αποσπάται προσωπικό ως εξής:</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α)</w:t>
      </w:r>
      <w:r>
        <w:rPr>
          <w:b/>
          <w:bCs/>
          <w:lang w:val="en" w:eastAsia="en"/>
        </w:rPr>
        <w:tab/>
      </w:r>
      <w:r>
        <w:rPr>
          <w:b/>
          <w:bCs/>
          <w:lang w:val="el" w:eastAsia="el"/>
        </w:rPr>
        <w:t>ένστολοι από την Ελληνική Αστυνομία, το Πυροσβεστικό Σώμα και το Λιμενικό Σώμα - Ελληνική Ακτοφυλακή,</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β)</w:t>
      </w:r>
      <w:r>
        <w:rPr>
          <w:b/>
          <w:bCs/>
          <w:lang w:val="en" w:eastAsia="en"/>
        </w:rPr>
        <w:tab/>
      </w:r>
      <w:r>
        <w:rPr>
          <w:b/>
          <w:bCs/>
          <w:lang w:val="el" w:eastAsia="el"/>
        </w:rPr>
        <w:t>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γ)</w:t>
      </w:r>
      <w:r>
        <w:rPr>
          <w:b/>
          <w:bCs/>
          <w:lang w:val="en" w:eastAsia="en"/>
        </w:rPr>
        <w:tab/>
      </w:r>
      <w:r>
        <w:rPr>
          <w:b/>
          <w:bCs/>
          <w:lang w:val="el" w:eastAsia="el"/>
        </w:rPr>
        <w:t>στελέχη της Τράπεζας της Ελλάδος, της Επιτροπής Κεφαλαιαγοράς και της Επιτροπής Λογιστικής Τυποποίησης και Ελέγχου.</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b/>
          <w:bCs/>
          <w:lang w:val="el" w:eastAsia="el"/>
        </w:rPr>
        <w:t xml:space="preserve"> Οι αποσπάσεις της περ. β) της παρ. 2 και των περ. α) και γ) της παρ. 3 διενεργούνται με απόφαση του Προέδρου της Αρχής, ύστερα από σύμφωνη γνώμη του αρμόδιου φορέα προέλευσης, κατά παρέκκλιση κάθε άλλης γενικής ή ειδικής διάταξης περί αποσπάσεων. Οι αποσπάσεις των ενστόλων της Ελληνικής Αστυνομίας, της περ. α, της παρ. 3, διενεργούνται με απόφαση του προέδρου της Αρχής ύστερα από σύμφωνη γνώμη του Υπουργού Προστασίας του Πολίτη. Το σύνολο των θέσεων των αποσπασμένων υπαλλήλων των παρ. 2 και 3 δεν δύναται να υπερβαίνει το τριάντα τοις εκατό (30%) των θέσεων της παρ. 1. Οι υπάλληλοι της παρ. 3 δύνανται να καταλαμβάνουν θέσεις προϊσταμένων εντός της Αρχής, σύμφωνα με την περ. δ) της παρ. 13.</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b/>
          <w:bCs/>
          <w:lang w:val="el" w:eastAsia="el"/>
        </w:rPr>
        <w:t xml:space="preserve"> Η χρονική διάρκεια των αποσπάσεων στην Αρχή ορίζεται σε τρία (3) έτη με δυνατότητα ισόχρονης ανανέωσης για μία (1) φορά και αρχίζει από την ημερομηνία ανάληψης υπηρεσίας του αποσπασμένου υπαλλήλου στην Αρχή. Η διαδικασία της απόσπασης των παρ. 2 και 3 ολοκληρώνεται μέσα σε προθεσμία ενός (1) μηνός από τη διαβίβαση της απόφασης του Προέδρου της Αρχής στον φορέα προέλευσης, με την επιφύλαξη των αποσπάσεων των υπαλλήλων της περ. β) της παρ. 3.</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Η απόσπαση ανανεώνεται, με την ίδια ως άνω διαδικασία δύο (2) μήνες πριν από τη λήξη της και λήγει οποτεδήποτε για λόγους αναγόμενους αποκλειστικά στην άσκηση των καθηκόντων του αποσπώμενου προσωπικού ή κατόπιν αίτησής του, ύστερα από απόφαση του Προέδρου της Αρχής.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Ο χρόνος υπηρεσίας των αποσπασμένων υπαλλήλων λογίζεται ως χρόνος πραγματικής υπηρεσίας στην οργανική τους θέση για τη βαθμολογική και μισθολογική τους εξέλιξη, καθώς και για κάθε άλλη συνέπεια.</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6.</w:t>
      </w:r>
      <w:r>
        <w:rPr>
          <w:b/>
          <w:bCs/>
          <w:lang w:val="el" w:eastAsia="el"/>
        </w:rPr>
        <w:t xml:space="preserve"> Υπάλληλος που προσλαμβάνεται, διορίζεται ή μετατάσσεται στην Αρχή, σύμφωνα με την παρ. 2, δεν μπορεί να μεταταχθεί ή αποσπαστεί σε άλλο φορέα πριν παρέλθει χρονικό διάστημα έξι (6) ετών από την πράξη πρόσληψης, διορισμού ή μετάταξης. Το προηγούμενο εδάφιο δεν εφαρμόζεται για αποσπάσεις στην Ευρωπαϊκή Αρχή για την καταπολέμηση της νομιμοποίησης εσόδων από παράνομες δραστηριότητες και της χρηματοδότησης της τρομοκρατίας (ΑΜLΑ), που έχει συσταθεί δυνάμει του Κανονισμού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1093/2010, (ΕΕ) 1094/2010 και (ΕΕ) 1095/2010 (Σειρά L/19.6.2024).</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7.</w:t>
      </w:r>
      <w:r>
        <w:rPr>
          <w:b/>
          <w:bCs/>
          <w:lang w:val="el" w:eastAsia="el"/>
        </w:rPr>
        <w:t xml:space="preserve"> Τα προσόντα που απαιτούνται για την πρόσληψη, τον διορισμό ή τη μετάταξη στην Αρχή ορίζονται στο π.δ. 85/2022 (Α' 237), με την επιφύλαξη όσων προβλέπονται στον Οργανισμό της Αρχής. Το προσωπικό της Αρχής διαθέτει την απαιτούμενη επιστημονική κατάρτιση, ακεραιότητα, υπηρεσιακή εμπειρία και ικανότητα για την ανάληψη θέσης σε Μονάδα της Αρχής, καθώς και άριστο υπηρεσιακό μητρώο, κατά προτίμηση δε και γνώση της αγγλικής γλώσσας. Δεν πρέπει να συντρέχουν σε αυτό τα κωλύματα διορισμού του Κώδικα Κατάστασης Δημοσίων Πολιτικών Διοικητικών Υπαλλήλων και Υπαλλήλων Ν.Π.Δ.Δ. (ν. 3528/2007, Α' 26). Η κάλυψη των θέσεων ευθύνης, σύμφωνα με τα όσα ορίζονται στην κείμενη νομοθεσία, γίνεται μόνο από υπαλλήλους που κατέχουν οργανική θέση στην Αρχή.</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8.</w:t>
      </w:r>
      <w:r>
        <w:rPr>
          <w:b/>
          <w:bCs/>
          <w:lang w:val="el" w:eastAsia="el"/>
        </w:rPr>
        <w:t xml:space="preserve"> Για τις αποδοχές του προσωπικού της Αρχής, εφαρμόζεται το άρθρο 51Α.</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9.</w:t>
      </w:r>
      <w:r>
        <w:rPr>
          <w:b/>
          <w:bCs/>
          <w:lang w:val="el" w:eastAsia="el"/>
        </w:rPr>
        <w:t xml:space="preserve"> Ο Πρόεδρος της Αρχής αποφασίζει για την κατανομή των υποθέσεων, καθώς και τις περιπτώσεις στις οποίες είναι αναγκαία η εμπλοκή δύο (2) ή και όλων των Μονάδων στην έρευνα της ίδιας υπόθεσης.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10.</w:t>
      </w:r>
      <w:r>
        <w:rPr>
          <w:b/>
          <w:bCs/>
          <w:lang w:val="el" w:eastAsia="el"/>
        </w:rPr>
        <w:t xml:space="preserve"> Για τη διοικητική και γραμματειακή υποστήριξη του έργου του Προέδρου της Αρχής, συνιστάται Αυτοτελές Γραφείο Διοικητικής Υποστήριξης, στο οποίο κατανέμονται έως δέκα (10) εκ των θέσεων της παρ. 1, υπάγεται απευθείας στον Πρόεδρο και στελεχώνεται, σύμφωνα με το παρόν.</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11.</w:t>
      </w:r>
      <w:r>
        <w:rPr>
          <w:b/>
          <w:bCs/>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για την απόδοση και τη συμπεριφορά κάθε υπαλλήλου της Αρχής, την οποία, για τους αποσπασμένους υπαλλήλους, αποστέλλει στον φορέα προέλευσης του υπαλλήλου. Η αξιολόγηση του προσωπικού και των προϊσταμένων διενεργείται κατ' ανάλογη εφαρμογή του ν. 4940/2022 (Α' 112) και επέχει θέση αξιολόγησης που εφαρμόζεται στον δημόσιο τομέα.</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12.</w:t>
      </w:r>
      <w:r>
        <w:rPr>
          <w:b/>
          <w:bCs/>
          <w:lang w:val="el" w:eastAsia="el"/>
        </w:rPr>
        <w:t xml:space="preserve">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13.</w:t>
      </w:r>
      <w:r>
        <w:rPr>
          <w:b/>
          <w:bCs/>
          <w:lang w:val="el" w:eastAsia="el"/>
        </w:rPr>
        <w:t xml:space="preserve"> Με απόφαση του Προέδρου της Αρχής: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α)</w:t>
      </w:r>
      <w:r>
        <w:rPr>
          <w:b/>
          <w:bCs/>
          <w:lang w:val="en" w:eastAsia="en"/>
        </w:rPr>
        <w:tab/>
      </w:r>
      <w:r>
        <w:rPr>
          <w:b/>
          <w:bCs/>
          <w:lang w:val="el" w:eastAsia="el"/>
        </w:rPr>
        <w:t>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τοποθετούνται ή μετακινούνται οι υπάλληλοι στις επιμέρους μονάδες της Αρχής,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γ)</w:t>
      </w:r>
      <w:r>
        <w:rPr>
          <w:b/>
          <w:bCs/>
          <w:lang w:val="en" w:eastAsia="en"/>
        </w:rPr>
        <w:tab/>
      </w:r>
      <w:r>
        <w:rPr>
          <w:b/>
          <w:bCs/>
          <w:lang w:val="el" w:eastAsia="el"/>
        </w:rPr>
        <w:t>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και</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δ)</w:t>
      </w:r>
      <w:r>
        <w:rPr>
          <w:b/>
          <w:bCs/>
          <w:lang w:val="en" w:eastAsia="en"/>
        </w:rPr>
        <w:tab/>
      </w:r>
      <w:r>
        <w:rPr>
          <w:b/>
          <w:bCs/>
          <w:lang w:val="el" w:eastAsia="el"/>
        </w:rPr>
        <w:t>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r>
        <w:rPr>
          <w:rStyle w:val="Hyperlink"/>
          <w:b/>
          <w:bCs/>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 xml:space="preserve">Άρθρο 51A. </w:t>
      </w:r>
    </w:p>
    <w:p>
      <w:pPr>
        <w:pStyle w:val="Heading6"/>
        <w:spacing w:before="240" w:after="240"/>
        <w:rPr>
          <w:lang w:val="el" w:eastAsia="el"/>
        </w:rPr>
      </w:pPr>
      <w:r>
        <w:rPr>
          <w:b/>
          <w:bCs/>
          <w:lang w:val="el" w:eastAsia="el"/>
        </w:rPr>
        <w:t>Μισθολογικό καθεστώς Αρχής - Εξουσιοδοτική διάταξη</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1.</w:t>
      </w:r>
      <w:r>
        <w:rPr>
          <w:b/>
          <w:bCs/>
          <w:lang w:val="el" w:eastAsia="el"/>
        </w:rPr>
        <w:t xml:space="preserve"> Στον Πρόεδρο και τα μέλη της Αρχής καταβάλλεται αποζημίωση. Στο σύνολο του προσωπικού που υπηρετεί στην Αρχή καταβάλλονται, πέραν των αποδοχών της θέσης τους, πρόσθετες αμοιβές οι οποίες δεν υπόκεινται σε κρατήσεις υπέρ τρίτων.</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2.</w:t>
      </w:r>
      <w:r>
        <w:rPr>
          <w:b/>
          <w:bCs/>
          <w:lang w:val="el" w:eastAsia="el"/>
        </w:rPr>
        <w:t xml:space="preserve"> Στους υπαλλήλους που υπηρετούν στην Αρχή εξακολουθεί να καταβάλλεται:</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η προσωπική διαφορά του άρθρου 27 του ν. 4354/2015 (A' 176), περί διασφάλισης αποδοχών, στο ύψος που αυτή έχει προσδιοριστεί κατά την ημερομηνία ανάληψης υπηρεσίας στην Αρχή και</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η οικογενειακή παροχή του άρθρου 15 του ν. 4354/2015.</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Στους προϊστάμενους των οργανικών μονάδων της Αρχής καταβάλλεται, για όσο χρόνο ασκούν τα συγκεκριμένα καθήκοντα, το αντίστοιχο με τη θέση μηνιαίο επίδομα, όπως αυτό ορίζεται με τις ισχύουσες διατάξεις.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b/>
          <w:bCs/>
          <w:lang w:val="el" w:eastAsia="el"/>
        </w:rPr>
        <w:t xml:space="preserve"> Οι υπάλληλοι που υπηρετούν με απόσπαση στην Αρχή λαμβάνουν το σύνολο των αποδοχών και επιδομάτων της οργανικής τους θέσης σύμφωνα με την παρ. 1 του άρθρου 23 του ν. 4354/2015. Οι αποδοχές του αποσπασθέντος προσωπικού συνεχίζουν να καταβάλλονται από την υπηρεσία προέλευσής του, σύμφωνα με το άρθρο 54 του ν. 4407/2016 (Α' 134) κατ' εξαίρεση της παρ. 2 του άρθρου 23 του ν. 4354/2015.</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3Α.</w:t>
      </w:r>
      <w:r>
        <w:rPr>
          <w:b/>
          <w:bCs/>
          <w:lang w:val="el" w:eastAsia="el"/>
        </w:rPr>
        <w:t xml:space="preserve"> Ο Γενικός Διευθυντής Οικονομικών Υπηρεσιών του Υπουργείου Εθνικής Οικονομίας και Οικονομικών και η οικεία Γενική Διεύθυνση ασκούν τις αρμοδιότητες, έχουν τα δικαιώματα και υπέχουν τις υποχρεώσεις των άρθρων 24, περί Προϊσταμένων Οικονομικών Υπηρεσιών φορέων της Κεντρικής Διοίκησης, 26, περί υποχρεώσεων των προϊσταμένων Οικονομικών Υπηρεσιών φορέων της Κεντρικής Διοίκησης και λοιπών φορέων της Γενικής Κυβέρνησης, και 69Γ, περί ανάθεσης καθηκόντων και αρμοδιοτήτων στους Προϊσταμένους Οικονομικών Υπηρεσιών, του ν. 4270/2014 (Α’143), επί των οικονομικών και μισθολογικών θεμάτων της Αρχής.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b/>
          <w:bCs/>
          <w:lang w:val="el" w:eastAsia="el"/>
        </w:rPr>
        <w:t xml:space="preserve"> Με απόφαση του Υπουργού Εθνικής Οικονομίας και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της παρ. 1.</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b/>
          <w:bCs/>
          <w:lang w:val="el" w:eastAsia="el"/>
        </w:rPr>
        <w:t xml:space="preserve"> Με απόφαση του Προέδρου, υπό τις προϋποθέσεις του άρθρου 20 του ν. 4354/2015, περί αποζημίωσης για εργασία καθ' υπέρβαση του υποχρεωτικού ωραρίου και αποζημίωσης για εργασία προς συμπλήρωση του υποχρεωτικού ωραρίου, το προσωπικό της Αρχής λαμβάνει αποζημίωση για υπερωριακή εργασία και εργασία κατά τις νυχτερινές ώρες ή κατά τις Κυριακές και εξαιρέσιμες ημέρες, σύμφωνα με τον ν. 4270/2014 (Α' 143) και το π.δ. 54/2018 (Α' 103).</w:t>
      </w:r>
      <w:r>
        <w:rPr>
          <w:rStyle w:val="Hyperlink"/>
          <w:b/>
          <w:bCs/>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 xml:space="preserve">Άρθρο 51B. </w:t>
      </w:r>
    </w:p>
    <w:p>
      <w:pPr>
        <w:pStyle w:val="Heading6"/>
        <w:spacing w:before="240" w:after="240"/>
        <w:rPr>
          <w:lang w:val="el" w:eastAsia="el"/>
        </w:rPr>
      </w:pPr>
      <w:r>
        <w:rPr>
          <w:b/>
          <w:bCs/>
          <w:lang w:val="el" w:eastAsia="el"/>
        </w:rPr>
        <w:t>Πειθαρχικά συμβούλια - Εξουσιοδοτική διάταξη</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b/>
          <w:bCs/>
          <w:lang w:val="el" w:eastAsia="el"/>
        </w:rPr>
        <w:t xml:space="preserve"> Ο Πρόεδρος, τα μέλη και οι υπάλληλοι κάθε Μονάδας, που παραβαίνουν υπαίτια τα καθήκοντα και τις υποχρεώσεις τους, υπέχουν, ανεξάρτητα από την ποινική, και πειθαρχική ευθύνη. Η πειθαρχική διαδικασία που ακολουθείται, έχει ως εξής:</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 με την επιφύλαξη των περ. β) και γ) της παρούσας,</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β)</w:t>
      </w:r>
      <w:r>
        <w:rPr>
          <w:b/>
          <w:bCs/>
          <w:lang w:val="en" w:eastAsia="en"/>
        </w:rPr>
        <w:tab/>
      </w:r>
      <w:r>
        <w:rPr>
          <w:b/>
          <w:bCs/>
          <w:lang w:val="el" w:eastAsia="el"/>
        </w:rPr>
        <w:t>ειδικά για τους αποσπασμένους υπαλλήλους, οι οποίοι προέρχονται από φορείς εκτός του πεδίου εφαρμογής του Κώδικα Κατάστασης Δημοσίων Πολιτικών Διοικητικών Υπαλλήλων και Υπαλλήλων Ν.Π.Δ.Δ., η πειθαρχική δίωξη ασκείται και η υπόθεση εκδικάζεται από τα αρμόδια πειθαρχικά όργανα των φορέων από τους οποίους προέρχονται, ύστερα από αναφορά του Προέδρου της Αρχής προς αυτά,</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Προϊσταμένους των Α', Β' και Γ' Μονάδων, την πειθαρχική δίωξη ασκεί ο Πρόεδρος της Αρχής,</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μέλη των Μονάδων, η πειθαρχική δίωξη ασκείται, κατά περίπτωση, από τον εποπτεύοντα Υπουργό ή Διοικητή ή Πρόεδρο του φορέα προέλευσης, ύστερα από αναφορά του Προέδρου της Αρχής προς τα πειθαρχικά συμβούλια των φορέων προέλευσης και η υπόθεση εκδικάζεται από τα αρμόδια πειθαρχικά όργανα των φορέων αυτών,</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Πρόεδρο, η πειθαρχική δίωξη ασκείται και η υπόθεση εκδικάζεται από τα όργανα που προβλέπονται στο Σύνταγμα και τον Κώδικα Δικαστικών Λειτουργών (ν. 4938/2022, Α' 109).</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2.</w:t>
      </w:r>
      <w:r>
        <w:rPr>
          <w:b/>
          <w:bCs/>
          <w:lang w:val="el" w:eastAsia="el"/>
        </w:rPr>
        <w:t xml:space="preserve"> Με απόφαση του Προέδρου, η οποία δημοσιεύεται στην Εφημερίδα της Κυβερνήσεως, συστήνεται και συγκροτείται το Πειθαρχικό Συμβούλιο της Αρχής, στη σύνθεση του οποίου μετέχουν:</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με τον αναπληρωτή του που ορίζεται με απόφαση του Προέδρου της Αρχής και</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β)</w:t>
      </w:r>
      <w:r>
        <w:rPr>
          <w:b/>
          <w:bCs/>
          <w:lang w:val="en" w:eastAsia="en"/>
        </w:rPr>
        <w:tab/>
      </w:r>
      <w:r>
        <w:rPr>
          <w:b/>
          <w:bCs/>
          <w:lang w:val="el" w:eastAsia="el"/>
        </w:rPr>
        <w:t>δύο (2) Πάρεδροι του Νομικού Συμβουλίου του Κράτους, με τους αναπληρωτές τους, οι οποίοι ορίζονται από τον Πρόεδρο του Νομικού Συμβουλίου του Κράτους.</w:t>
      </w:r>
      <w:r>
        <w:rPr>
          <w:rStyle w:val="Hyperlink"/>
          <w:b/>
          <w:bCs/>
          <w:color w:val="000000"/>
          <w:sz w:val="20"/>
          <w:szCs w:val="20"/>
          <w:u w:val="none" w:color="0000EE"/>
          <w:vertAlign w:val="superscript"/>
          <w:lang w:val="el" w:eastAsia="el"/>
        </w:rPr>
        <w:footnoteReference w:id="483"/>
      </w:r>
    </w:p>
    <w:p>
      <w:pPr>
        <w:spacing w:before="240" w:after="240"/>
        <w:rPr>
          <w:lang w:val="el" w:eastAsia="el"/>
        </w:rPr>
      </w:pPr>
      <w:r>
        <w:rPr>
          <w:b/>
          <w:bCs/>
          <w:lang w:val="el" w:eastAsia="el"/>
        </w:rPr>
        <w:t>Η θητεία του Πειθαρχικού Συμβουλίου ορίζεται διετής. Με την ίδια απόφαση ορίζεται η αμοιβή των μελών του Πειθαρχικού Συμβουλίου.</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Το Πειθαρχικό Συμβούλιο της Αρχής έχει αποκλειστική αρμοδιότητα για την άσκηση της πειθαρχικής εξουσίας στους υπαλλήλους που υπηρετούν με οργανική θέση στην Αρχή, καθώς και στους αποσπασμένους από φορείς εντός του πεδίου εφαρμογής του Κώδικα Κατάστασης Δημοσίων Πολιτικών Διοικητικών Υπαλλήλων και Υπαλλήλων Ν.Π.Δ.Δ., εκτός των Προϊσταμένων των Α', Β' και Γ' Μονάδων της Αρχής, για τους οποίους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Για την αρμοδιότητα του Πειθαρχικού Συμβουλίου της Αρχής εφαρμόζεται αναλόγως το άρθρο 120 του Κώδικα Κατάστασης Δημοσίων Πολιτικών Διοικητικών Υπαλλήλων και Υπαλλήλων Ν.Π.Δ.Δ..</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3.</w:t>
      </w:r>
      <w:r>
        <w:rPr>
          <w:b/>
          <w:bCs/>
          <w:lang w:val="el" w:eastAsia="el"/>
        </w:rPr>
        <w:t xml:space="preserve">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Κώδικα Κατάστασης Δημοσίων Πολιτικών Διοικητικών Υπαλλήλων και Υπαλλήλων Ν.Π.Δ.Δ.. Αν κρίνονται υπάλληλοι της Αρχής, στο ως άνω Πειθαρχικό Συμβούλιο μετέχει, αντί του μέλους που προβλέπεται στην περ. δ) της παρ. 1 του άρθρου 146Α, ο Πρόεδρος της Αρχής, ο οποίος, με απόφασή του, ορίζει ως αναπληρωτή του Προϊστάμενο Μονάδας της Αρχής, πριν από την έναρξη λειτουργίας του Συμβουλίου.</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Εθνικής Οικονομίας και Οικονομικών και Εσωτερικών καθορίζονται ο ειδικότερος τρόπος λειτουργίας του Πειθαρχικού Συμβουλίου της Αρχής, καθώς και κάθε άλλο σχετικό θέμα σχετικό με την εφαρμογή της παρ. 1.</w:t>
      </w:r>
      <w:r>
        <w:rPr>
          <w:rStyle w:val="Hyperlink"/>
          <w:b/>
          <w:bCs/>
          <w:color w:val="000000"/>
          <w:sz w:val="20"/>
          <w:szCs w:val="20"/>
          <w:u w:val="none" w:color="0000EE"/>
          <w:vertAlign w:val="superscript"/>
          <w:lang w:val="el" w:eastAsia="el"/>
        </w:rPr>
        <w:footnoteReference w:id="487"/>
      </w:r>
    </w:p>
    <w:p>
      <w:pPr>
        <w:pStyle w:val="Heading6"/>
        <w:spacing w:before="240" w:after="240"/>
        <w:rPr>
          <w:lang w:val="el" w:eastAsia="el"/>
        </w:rPr>
      </w:pPr>
      <w:r>
        <w:rPr>
          <w:b/>
          <w:bCs/>
          <w:lang w:val="el" w:eastAsia="el"/>
        </w:rPr>
        <w:t xml:space="preserve">Άρθρο 51Γ. </w:t>
      </w:r>
    </w:p>
    <w:p>
      <w:pPr>
        <w:pStyle w:val="Heading6"/>
        <w:spacing w:before="240" w:after="240"/>
        <w:rPr>
          <w:lang w:val="el" w:eastAsia="el"/>
        </w:rPr>
      </w:pPr>
      <w:r>
        <w:rPr>
          <w:b/>
          <w:bCs/>
          <w:lang w:val="el" w:eastAsia="el"/>
        </w:rPr>
        <w:t>Υπηρεσιακό Συμβούλιο</w:t>
      </w:r>
      <w:r>
        <w:rPr>
          <w:rStyle w:val="Hyperlink"/>
          <w:b/>
          <w:bCs/>
          <w:color w:val="000000"/>
          <w:sz w:val="20"/>
          <w:szCs w:val="20"/>
          <w:u w:val="none" w:color="0000EE"/>
          <w:vertAlign w:val="superscript"/>
          <w:lang w:val="el" w:eastAsia="el"/>
        </w:rPr>
        <w:footnoteReference w:id="488"/>
      </w:r>
    </w:p>
    <w:p>
      <w:pPr>
        <w:spacing w:before="240" w:after="240"/>
        <w:rPr>
          <w:lang w:val="el" w:eastAsia="el"/>
        </w:rPr>
      </w:pPr>
      <w:r>
        <w:rPr>
          <w:b/>
          <w:bCs/>
          <w:lang w:val="el" w:eastAsia="el"/>
        </w:rPr>
        <w:t>Συστήνεται και συγκροτείται, με απόφαση του Προέδρου της Αρχής, πενταμελές Υπηρεσιακό Συμβούλιο για το πάσης φύσεως προσωπικό που υπηρετεί στην Αρχή. Στη σύνθεση του Υπηρεσιακού Συμβουλίου μετέχουν με θητεία δύο (2) ετών:</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της Α’ Μονάδας της Αρχής που κατέχει θέση Προϊσταμένου Διεύθυνσης ή ανώτερη, ως Πρόεδρος, με τον αναπληρωτή του που ορίζεται με απόφαση του Προέδρου της Αρχής,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της Α’ Μονάδας της Αρχής που κατέχει θέση Προϊσταμένου Τμήματος ή ανώτερη και ασκεί εν γένει καθήκοντα διοικητικής υποστήριξης, ανθρώπινου δυναμικού ή οικονομικών υπηρεσιών με τον αναπληρωτή του, που ορίζεται με απόφαση του Προέδρου της Αρχής,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γ)</w:t>
      </w:r>
      <w:r>
        <w:rPr>
          <w:b/>
          <w:bCs/>
          <w:lang w:val="en" w:eastAsia="en"/>
        </w:rPr>
        <w:tab/>
      </w:r>
      <w:r>
        <w:rPr>
          <w:b/>
          <w:bCs/>
          <w:lang w:val="el" w:eastAsia="el"/>
        </w:rPr>
        <w:t>ο Προϊστάμενος άλλης Μονάδας που ορίζεται μαζί με τον αναπληρωτή του, με κλήρωση και</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δ)</w:t>
      </w:r>
      <w:r>
        <w:rPr>
          <w:b/>
          <w:bCs/>
          <w:lang w:val="en" w:eastAsia="en"/>
        </w:rPr>
        <w:tab/>
      </w:r>
      <w:r>
        <w:rPr>
          <w:b/>
          <w:bCs/>
          <w:lang w:val="el" w:eastAsia="el"/>
        </w:rPr>
        <w:t>δύο (2) αιρετοί εκπρόσωποι του προσωπικού της Αρχής που έχουν οργανική θέση στον φορέα με τους αναπληρωτές τους κατά τη σειρά εκλογής τους. Μέχρι τη διενέργεια εκλογών ανάδειξης αιρετών εκπροσώπων, το Υπηρεσιακό Συμβούλιο του παρόντος λειτουργεί νόμιμα με τα τρία (3) τακτικά μέλη.</w:t>
      </w:r>
      <w:r>
        <w:rPr>
          <w:rStyle w:val="Hyperlink"/>
          <w:b/>
          <w:bCs/>
          <w:color w:val="000000"/>
          <w:sz w:val="20"/>
          <w:szCs w:val="20"/>
          <w:u w:val="none" w:color="0000EE"/>
          <w:vertAlign w:val="superscript"/>
          <w:lang w:val="el" w:eastAsia="el"/>
        </w:rPr>
        <w:footnoteReference w:id="49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Άσκηση αρμοδιοτήτων από την Α.Α.Δ.Ε. ως αρχή του άρθρου 6 </w:t>
      </w:r>
    </w:p>
    <w:p>
      <w:pPr>
        <w:spacing w:before="240" w:after="240"/>
        <w:rPr>
          <w:lang w:val="el" w:eastAsia="el"/>
        </w:rPr>
      </w:pPr>
      <w:r>
        <w:rPr>
          <w:b/>
          <w:bCs/>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Μεταβατικές διατάξεις </w:t>
      </w:r>
    </w:p>
    <w:p>
      <w:pPr>
        <w:pStyle w:val="MainText"/>
        <w:spacing w:before="120" w:after="0"/>
        <w:rPr>
          <w:lang w:val="el" w:eastAsia="el"/>
        </w:rPr>
      </w:pPr>
      <w:r>
        <w:rPr>
          <w:b/>
          <w:bCs/>
          <w:lang w:val="el" w:eastAsia="el"/>
        </w:rPr>
        <w:t>1.</w:t>
      </w:r>
      <w:r>
        <w:rPr>
          <w:b/>
          <w:bCs/>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b/>
          <w:bCs/>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b/>
          <w:bCs/>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b/>
          <w:bCs/>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b/>
          <w:bCs/>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b/>
          <w:bCs/>
          <w:lang w:val="el" w:eastAsia="el"/>
        </w:rPr>
        <w:t xml:space="preserve"> Με την έναρξη ισχύος του παρόντος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1 έως και 54 του Ν. 3691/2008,</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62Α του Ν. 4170/2013 (Α΄163),</w:t>
      </w:r>
    </w:p>
    <w:p>
      <w:pPr>
        <w:pStyle w:val="StructureList1"/>
        <w:spacing w:before="120" w:after="0"/>
        <w:rPr>
          <w:lang w:val="el" w:eastAsia="el"/>
        </w:rPr>
      </w:pPr>
      <w:r>
        <w:rPr>
          <w:b/>
          <w:bCs/>
          <w:lang w:val="el" w:eastAsia="el"/>
        </w:rPr>
        <w:t>γ)</w:t>
      </w:r>
      <w:r>
        <w:rPr>
          <w:b/>
          <w:bCs/>
          <w:lang w:val="en" w:eastAsia="en"/>
        </w:rPr>
        <w:tab/>
      </w:r>
      <w:r>
        <w:rPr>
          <w:b/>
          <w:bCs/>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b/>
          <w:bCs/>
          <w:lang w:val="el" w:eastAsia="el"/>
        </w:rPr>
        <w:t xml:space="preserve">Άρθρο 55. </w:t>
      </w:r>
    </w:p>
    <w:p>
      <w:pPr>
        <w:spacing w:before="240" w:after="240"/>
        <w:rPr>
          <w:lang w:val="el" w:eastAsia="el"/>
        </w:rPr>
      </w:pPr>
      <w:r>
        <w:rPr>
          <w:b/>
          <w:bCs/>
          <w:lang w:val="el" w:eastAsia="el"/>
        </w:rPr>
        <w:t>Μετά το άρθρο 3 του Ν. 4182/2013 (Α΄ 185) προστίθεται άρθρο 3Α, ως εξής:</w:t>
      </w:r>
    </w:p>
    <w:p>
      <w:pPr>
        <w:spacing w:before="240" w:after="240"/>
        <w:rPr>
          <w:lang w:val="el" w:eastAsia="el"/>
        </w:rPr>
      </w:pPr>
      <w:r>
        <w:rPr>
          <w:b/>
          <w:bCs/>
          <w:lang w:val="el" w:eastAsia="el"/>
        </w:rPr>
        <w:t>« Άρθρο 3Α</w:t>
      </w:r>
    </w:p>
    <w:p>
      <w:pPr>
        <w:spacing w:before="240" w:after="240"/>
        <w:rPr>
          <w:lang w:val="el" w:eastAsia="el"/>
        </w:rPr>
      </w:pPr>
      <w:r>
        <w:rPr>
          <w:b/>
          <w:bCs/>
          <w:lang w:val="el" w:eastAsia="el"/>
        </w:rPr>
        <w:t>Ρύθμιση θεμάτων δωρεών προς φορείς δημόσιου τομέα</w:t>
      </w:r>
    </w:p>
    <w:p>
      <w:pPr>
        <w:spacing w:before="240" w:after="240"/>
        <w:rPr>
          <w:lang w:val="el" w:eastAsia="el"/>
        </w:rPr>
      </w:pPr>
      <w:r>
        <w:rPr>
          <w:b/>
          <w:bCs/>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b/>
          <w:bCs/>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b/>
          <w:bCs/>
          <w:lang w:val="el" w:eastAsia="el"/>
        </w:rPr>
        <w:t>β. Η δαπάνη, η οποία καλύπτεται εξ ολοκλήρου από τον δωρητή.</w:t>
      </w:r>
    </w:p>
    <w:p>
      <w:pPr>
        <w:spacing w:before="240" w:after="240"/>
        <w:rPr>
          <w:lang w:val="el" w:eastAsia="el"/>
        </w:rPr>
      </w:pPr>
      <w:r>
        <w:rPr>
          <w:b/>
          <w:bCs/>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b/>
          <w:bCs/>
          <w:lang w:val="el" w:eastAsia="el"/>
        </w:rPr>
        <w:t>αα) η σύνταξη τεχνικών προδιαγραφών,</w:t>
      </w:r>
    </w:p>
    <w:p>
      <w:pPr>
        <w:spacing w:before="240" w:after="240"/>
        <w:rPr>
          <w:lang w:val="el" w:eastAsia="el"/>
        </w:rPr>
      </w:pPr>
      <w:r>
        <w:rPr>
          <w:b/>
          <w:bCs/>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b/>
          <w:bCs/>
          <w:lang w:val="el" w:eastAsia="el"/>
        </w:rPr>
        <w:t>γγ) η έρευνα αγοράς και η υποβολή στον δωρητή τουλάχιστον τριών (3) προσφορών,</w:t>
      </w:r>
    </w:p>
    <w:p>
      <w:pPr>
        <w:spacing w:before="240" w:after="240"/>
        <w:rPr>
          <w:lang w:val="el" w:eastAsia="el"/>
        </w:rPr>
      </w:pPr>
      <w:r>
        <w:rPr>
          <w:b/>
          <w:bCs/>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b/>
          <w:bCs/>
          <w:lang w:val="el" w:eastAsia="el"/>
        </w:rPr>
        <w:t>εε) η εφαρμογή κανόνων ακεραιότητας,</w:t>
      </w:r>
    </w:p>
    <w:p>
      <w:pPr>
        <w:spacing w:before="240" w:after="240"/>
        <w:rPr>
          <w:lang w:val="el" w:eastAsia="el"/>
        </w:rPr>
      </w:pPr>
      <w:r>
        <w:rPr>
          <w:b/>
          <w:bCs/>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b/>
          <w:bCs/>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b/>
          <w:bCs/>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b/>
          <w:bCs/>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b/>
          <w:bCs/>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b/>
          <w:bCs/>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b/>
          <w:bCs/>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b/>
          <w:bCs/>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b/>
          <w:bCs/>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b/>
          <w:bCs/>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b/>
          <w:bCs/>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b/>
          <w:bCs/>
          <w:lang w:val="el" w:eastAsia="el"/>
        </w:rPr>
        <w:t>Άρθρο 56.</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w:t>
      </w:r>
      <w:r>
        <w:rPr>
          <w:b/>
          <w:bCs/>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w:t>
      </w:r>
      <w:r>
        <w:rPr>
          <w:b/>
          <w:bCs/>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3.</w:t>
      </w:r>
      <w:r>
        <w:rPr>
          <w:b/>
          <w:bCs/>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4.</w:t>
      </w:r>
      <w:r>
        <w:rPr>
          <w:b/>
          <w:bCs/>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b/>
          <w:bCs/>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b/>
          <w:bCs/>
          <w:lang w:val="el" w:eastAsia="el"/>
        </w:rPr>
        <w:t xml:space="preserve"> Μετά το άρθρο 66 του π.δ. 21/31.10.1932 (Α΄ 387) προστίθεται νέο άρθρο 66Α, ως εξής:</w:t>
      </w:r>
    </w:p>
    <w:p>
      <w:pPr>
        <w:spacing w:before="240" w:after="240"/>
        <w:rPr>
          <w:lang w:val="el" w:eastAsia="el"/>
        </w:rPr>
      </w:pPr>
      <w:r>
        <w:rPr>
          <w:b/>
          <w:bCs/>
          <w:lang w:val="el" w:eastAsia="el"/>
        </w:rPr>
        <w:t>« Άρθρο 66Α</w:t>
      </w:r>
    </w:p>
    <w:p>
      <w:pPr>
        <w:spacing w:before="240" w:after="240"/>
        <w:rPr>
          <w:lang w:val="el" w:eastAsia="el"/>
        </w:rPr>
      </w:pPr>
      <w:r>
        <w:rPr>
          <w:b/>
          <w:bCs/>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b/>
          <w:bCs/>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b/>
          <w:bCs/>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b/>
          <w:bCs/>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b/>
          <w:bCs/>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b/>
          <w:bCs/>
          <w:lang w:val="el" w:eastAsia="el"/>
        </w:rPr>
        <w:t xml:space="preserve"> Στην παρ. 4 του άρθρου 70 του π.δ. 21/31.10.1932 προστίθεται δεύτερο εδάφιο, ως εξής:</w:t>
      </w:r>
    </w:p>
    <w:p>
      <w:pPr>
        <w:spacing w:before="240" w:after="240"/>
        <w:rPr>
          <w:lang w:val="el" w:eastAsia="el"/>
        </w:rPr>
      </w:pPr>
      <w:r>
        <w:rPr>
          <w:b/>
          <w:bCs/>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b/>
          <w:bCs/>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b/>
          <w:bCs/>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b/>
          <w:bCs/>
          <w:lang w:val="el" w:eastAsia="el"/>
        </w:rPr>
        <w:t>α. Υπάλληλοι Κατηγορίας Πανεπιστημιακής Εκπαίδευσης:</w:t>
      </w:r>
    </w:p>
    <w:p>
      <w:pPr>
        <w:spacing w:before="240" w:after="240"/>
        <w:rPr>
          <w:lang w:val="el" w:eastAsia="el"/>
        </w:rPr>
      </w:pPr>
      <w:r>
        <w:rPr>
          <w:b/>
          <w:bCs/>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β. Υπάλληλοι Κατηγορίας Τεχνολογικής Εκπαίδευσης:</w:t>
      </w:r>
    </w:p>
    <w:p>
      <w:pPr>
        <w:spacing w:before="240" w:after="240"/>
        <w:rPr>
          <w:lang w:val="el" w:eastAsia="el"/>
        </w:rPr>
      </w:pPr>
      <w:r>
        <w:rPr>
          <w:b/>
          <w:bCs/>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b/>
          <w:bCs/>
          <w:lang w:val="el" w:eastAsia="el"/>
        </w:rPr>
        <w:t>γ. Υπάλληλοι Κατηγορίας Δευτεροβάθμιας Εκπαίδευσης:</w:t>
      </w:r>
    </w:p>
    <w:p>
      <w:pPr>
        <w:spacing w:before="240" w:after="240"/>
        <w:rPr>
          <w:lang w:val="el" w:eastAsia="el"/>
        </w:rPr>
      </w:pPr>
      <w:r>
        <w:rPr>
          <w:b/>
          <w:bCs/>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b/>
          <w:bCs/>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Υπολογισμός καταβαλλόμενων μερισμάτων από το Μετοχικό Ταμείο Αεροπορίας</w:t>
      </w:r>
    </w:p>
    <w:p>
      <w:pPr>
        <w:spacing w:before="240" w:after="240"/>
        <w:rPr>
          <w:lang w:val="el" w:eastAsia="el"/>
        </w:rPr>
      </w:pPr>
      <w:r>
        <w:rPr>
          <w:b/>
          <w:bCs/>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b/>
          <w:bCs/>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b/>
          <w:bCs/>
          <w:lang w:val="el" w:eastAsia="el"/>
        </w:rPr>
        <w:t>αα. Α΄ Κατηγορία μισθολογικής κατάταξης:</w:t>
      </w:r>
    </w:p>
    <w:p>
      <w:pPr>
        <w:spacing w:before="240" w:after="240"/>
        <w:rPr>
          <w:lang w:val="el" w:eastAsia="el"/>
        </w:rPr>
      </w:pPr>
      <w:r>
        <w:rPr>
          <w:b/>
          <w:bCs/>
          <w:lang w:val="el" w:eastAsia="el"/>
        </w:rPr>
        <w:t>(1) Αρχηγός Γ.Ε.ΕΘ.Α. (Κλιμάκιο 1): μερίδια 36.</w:t>
      </w:r>
    </w:p>
    <w:p>
      <w:pPr>
        <w:spacing w:before="240" w:after="240"/>
        <w:rPr>
          <w:lang w:val="el" w:eastAsia="el"/>
        </w:rPr>
      </w:pPr>
      <w:r>
        <w:rPr>
          <w:b/>
          <w:bCs/>
          <w:lang w:val="el" w:eastAsia="el"/>
        </w:rPr>
        <w:t>(2) Αρχηγός Γ.Ε.Α. (Κλιμάκιο 2): μερίδια 35.</w:t>
      </w:r>
    </w:p>
    <w:p>
      <w:pPr>
        <w:spacing w:before="240" w:after="240"/>
        <w:rPr>
          <w:lang w:val="el" w:eastAsia="el"/>
        </w:rPr>
      </w:pPr>
      <w:r>
        <w:rPr>
          <w:b/>
          <w:bCs/>
          <w:lang w:val="el" w:eastAsia="el"/>
        </w:rPr>
        <w:t>(3) Αρχηγός Α.Τ.Α. (Κλιμάκιο 3): μερίδια 34.</w:t>
      </w:r>
    </w:p>
    <w:p>
      <w:pPr>
        <w:spacing w:before="240" w:after="240"/>
        <w:rPr>
          <w:lang w:val="el" w:eastAsia="el"/>
        </w:rPr>
      </w:pPr>
      <w:r>
        <w:rPr>
          <w:b/>
          <w:bCs/>
          <w:lang w:val="el" w:eastAsia="el"/>
        </w:rPr>
        <w:t>(4) Αντιπτέραρχος: μερίδια 33,5 για τα Κλιμάκια 4 και 5.</w:t>
      </w:r>
    </w:p>
    <w:p>
      <w:pPr>
        <w:spacing w:before="240" w:after="240"/>
        <w:rPr>
          <w:lang w:val="el" w:eastAsia="el"/>
        </w:rPr>
      </w:pPr>
      <w:r>
        <w:rPr>
          <w:b/>
          <w:bCs/>
          <w:lang w:val="el" w:eastAsia="el"/>
        </w:rPr>
        <w:t>(5) Υποπτέραρχος: μερίδια 32,3 για τα Κλιμάκια 5 και 6 και μερίδια 32 για τα Κλιμάκια 7 έως 9.</w:t>
      </w:r>
    </w:p>
    <w:p>
      <w:pPr>
        <w:spacing w:before="240" w:after="240"/>
        <w:rPr>
          <w:lang w:val="el" w:eastAsia="el"/>
        </w:rPr>
      </w:pPr>
      <w:r>
        <w:rPr>
          <w:b/>
          <w:bCs/>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b/>
          <w:bCs/>
          <w:lang w:val="el" w:eastAsia="el"/>
        </w:rPr>
        <w:t>(7) Σμήναρχος: μερίδια 30 για τα Κλιμάκια 7 έως 11, και μερίδια 28 για τα Κλιμάκια 12 έως 19.</w:t>
      </w:r>
    </w:p>
    <w:p>
      <w:pPr>
        <w:spacing w:before="240" w:after="240"/>
        <w:rPr>
          <w:lang w:val="el" w:eastAsia="el"/>
        </w:rPr>
      </w:pPr>
      <w:r>
        <w:rPr>
          <w:b/>
          <w:bCs/>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b/>
          <w:bCs/>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b/>
          <w:bCs/>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b/>
          <w:bCs/>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b/>
          <w:bCs/>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b/>
          <w:bCs/>
          <w:lang w:val="el" w:eastAsia="el"/>
        </w:rPr>
        <w:t>ββ. Β΄ Κατηγορία μισθολογικής κατάταξης:</w:t>
      </w:r>
    </w:p>
    <w:p>
      <w:pPr>
        <w:spacing w:before="240" w:after="240"/>
        <w:rPr>
          <w:lang w:val="el" w:eastAsia="el"/>
        </w:rPr>
      </w:pPr>
      <w:r>
        <w:rPr>
          <w:b/>
          <w:bCs/>
          <w:lang w:val="el" w:eastAsia="el"/>
        </w:rPr>
        <w:t>(1) Σμήναρχος: μερίδια 27 για τα Κλιμάκια 1 και 2.</w:t>
      </w:r>
    </w:p>
    <w:p>
      <w:pPr>
        <w:spacing w:before="240" w:after="240"/>
        <w:rPr>
          <w:lang w:val="el" w:eastAsia="el"/>
        </w:rPr>
      </w:pPr>
      <w:r>
        <w:rPr>
          <w:b/>
          <w:bCs/>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b/>
          <w:bCs/>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b/>
          <w:bCs/>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b/>
          <w:bCs/>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b/>
          <w:bCs/>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b/>
          <w:bCs/>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b/>
          <w:bCs/>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b/>
          <w:bCs/>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b/>
          <w:bCs/>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b/>
          <w:bCs/>
          <w:lang w:val="el" w:eastAsia="el"/>
        </w:rPr>
        <w:t>γγ. Γ΄ Κατηγορία μισθολογικής κατάταξης:</w:t>
      </w:r>
    </w:p>
    <w:p>
      <w:pPr>
        <w:spacing w:before="240" w:after="240"/>
        <w:rPr>
          <w:lang w:val="el" w:eastAsia="el"/>
        </w:rPr>
      </w:pPr>
      <w:r>
        <w:rPr>
          <w:b/>
          <w:bCs/>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b/>
          <w:bCs/>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b/>
          <w:bCs/>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b/>
          <w:bCs/>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b/>
          <w:bCs/>
          <w:lang w:val="el" w:eastAsia="el"/>
        </w:rPr>
        <w:t>(5) Υποσμηνίας: μερίδια 10 για τα Κλιμάκια 18 και 19 και μερίδια 7 για τα Κλιμάκια 20 και 21.</w:t>
      </w:r>
    </w:p>
    <w:p>
      <w:pPr>
        <w:spacing w:before="240" w:after="240"/>
        <w:rPr>
          <w:lang w:val="el" w:eastAsia="el"/>
        </w:rPr>
      </w:pPr>
      <w:r>
        <w:rPr>
          <w:b/>
          <w:bCs/>
          <w:lang w:val="el" w:eastAsia="el"/>
        </w:rPr>
        <w:t>(6) Σμηνίτης: μερίδια 6 για τα Κλιμάκια 20 έως 22.</w:t>
      </w:r>
    </w:p>
    <w:p>
      <w:pPr>
        <w:spacing w:before="240" w:after="240"/>
        <w:rPr>
          <w:lang w:val="el" w:eastAsia="el"/>
        </w:rPr>
      </w:pPr>
      <w:r>
        <w:rPr>
          <w:b/>
          <w:bCs/>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b/>
          <w:bCs/>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b/>
          <w:bCs/>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b/>
          <w:bCs/>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b/>
          <w:bCs/>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b/>
          <w:bCs/>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b/>
          <w:bCs/>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b/>
          <w:bCs/>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Τροποποίηση του άρθρου 26 του Ν. 4258/2014 (Α΄ 94)</w:t>
      </w:r>
    </w:p>
    <w:p>
      <w:pPr>
        <w:spacing w:before="240" w:after="240"/>
        <w:rPr>
          <w:lang w:val="el" w:eastAsia="el"/>
        </w:rPr>
      </w:pPr>
      <w:r>
        <w:rPr>
          <w:b/>
          <w:bCs/>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b/>
          <w:bCs/>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Τροποποίηση του άρθρου 32 του Ν. 4361/2016</w:t>
      </w:r>
    </w:p>
    <w:p>
      <w:pPr>
        <w:spacing w:before="240" w:after="240"/>
        <w:rPr>
          <w:lang w:val="el" w:eastAsia="el"/>
        </w:rPr>
      </w:pPr>
      <w:r>
        <w:rPr>
          <w:b/>
          <w:bCs/>
          <w:lang w:val="el" w:eastAsia="el"/>
        </w:rPr>
        <w:t>Στο άρθρο 32 του Ν. 4361/2016, όπως ισχύει, προστίθεται νέα παράγραφος 7 ως εξής:</w:t>
      </w:r>
    </w:p>
    <w:p>
      <w:pPr>
        <w:spacing w:before="240" w:after="240"/>
        <w:rPr>
          <w:lang w:val="el" w:eastAsia="el"/>
        </w:rPr>
      </w:pPr>
      <w:r>
        <w:rPr>
          <w:b/>
          <w:bCs/>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Τροποποίηση του α . ν . 1920/1939</w:t>
      </w:r>
    </w:p>
    <w:p>
      <w:pPr>
        <w:pStyle w:val="MainText"/>
        <w:spacing w:before="120" w:after="0"/>
        <w:rPr>
          <w:lang w:val="el" w:eastAsia="el"/>
        </w:rPr>
      </w:pPr>
      <w:r>
        <w:rPr>
          <w:b/>
          <w:bCs/>
          <w:lang w:val="el" w:eastAsia="el"/>
        </w:rPr>
        <w:t>1.</w:t>
      </w:r>
      <w:r>
        <w:rPr>
          <w:b/>
          <w:bCs/>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b/>
          <w:bCs/>
          <w:lang w:val="el" w:eastAsia="el"/>
        </w:rPr>
        <w:t>1) τον Υπουργό Εξωτερικών,</w:t>
      </w:r>
    </w:p>
    <w:p>
      <w:pPr>
        <w:spacing w:before="240" w:after="240"/>
        <w:rPr>
          <w:lang w:val="el" w:eastAsia="el"/>
        </w:rPr>
      </w:pPr>
      <w:r>
        <w:rPr>
          <w:b/>
          <w:bCs/>
          <w:lang w:val="el" w:eastAsia="el"/>
        </w:rPr>
        <w:t>2) τον Υπουργό Οικονομίας και Ανάπτυξης,</w:t>
      </w:r>
    </w:p>
    <w:p>
      <w:pPr>
        <w:spacing w:before="240" w:after="240"/>
        <w:rPr>
          <w:lang w:val="el" w:eastAsia="el"/>
        </w:rPr>
      </w:pPr>
      <w:r>
        <w:rPr>
          <w:b/>
          <w:bCs/>
          <w:lang w:val="el" w:eastAsia="el"/>
        </w:rPr>
        <w:t>3) τον Υπουργό Πολιτισμού και Αθλητισμού,</w:t>
      </w:r>
    </w:p>
    <w:p>
      <w:pPr>
        <w:spacing w:before="240" w:after="240"/>
        <w:rPr>
          <w:lang w:val="el" w:eastAsia="el"/>
        </w:rPr>
      </w:pPr>
      <w:r>
        <w:rPr>
          <w:b/>
          <w:bCs/>
          <w:lang w:val="el" w:eastAsia="el"/>
        </w:rPr>
        <w:t>4) τον Υπουργό Αγροτικής Ανάπτυξης και Τροφίμων,</w:t>
      </w:r>
    </w:p>
    <w:p>
      <w:pPr>
        <w:spacing w:before="240" w:after="240"/>
        <w:rPr>
          <w:lang w:val="el" w:eastAsia="el"/>
        </w:rPr>
      </w:pPr>
      <w:r>
        <w:rPr>
          <w:b/>
          <w:bCs/>
          <w:lang w:val="el" w:eastAsia="el"/>
        </w:rPr>
        <w:t>5) τον Υπουργό Τουρισμού,</w:t>
      </w:r>
    </w:p>
    <w:p>
      <w:pPr>
        <w:spacing w:before="240" w:after="240"/>
        <w:rPr>
          <w:lang w:val="el" w:eastAsia="el"/>
        </w:rPr>
      </w:pPr>
      <w:r>
        <w:rPr>
          <w:b/>
          <w:bCs/>
          <w:lang w:val="el" w:eastAsia="el"/>
        </w:rPr>
        <w:t>6) τον Γενικό Γραμματέα της Περιφέρειας Αττικής,</w:t>
      </w:r>
    </w:p>
    <w:p>
      <w:pPr>
        <w:spacing w:before="240" w:after="240"/>
        <w:rPr>
          <w:lang w:val="el" w:eastAsia="el"/>
        </w:rPr>
      </w:pPr>
      <w:r>
        <w:rPr>
          <w:b/>
          <w:bCs/>
          <w:lang w:val="el" w:eastAsia="el"/>
        </w:rPr>
        <w:t>7) τον Δήμαρχο Αθηναίων,</w:t>
      </w:r>
    </w:p>
    <w:p>
      <w:pPr>
        <w:spacing w:before="240" w:after="240"/>
        <w:rPr>
          <w:lang w:val="el" w:eastAsia="el"/>
        </w:rPr>
      </w:pPr>
      <w:r>
        <w:rPr>
          <w:b/>
          <w:bCs/>
          <w:lang w:val="el" w:eastAsia="el"/>
        </w:rPr>
        <w:t>8) τον Δικηγορικό Σύλλογο Αθηνών,</w:t>
      </w:r>
    </w:p>
    <w:p>
      <w:pPr>
        <w:spacing w:before="240" w:after="240"/>
        <w:rPr>
          <w:lang w:val="el" w:eastAsia="el"/>
        </w:rPr>
      </w:pPr>
      <w:r>
        <w:rPr>
          <w:b/>
          <w:bCs/>
          <w:lang w:val="el" w:eastAsia="el"/>
        </w:rPr>
        <w:t>9) το Εθνικό Μετσόβιο Πολυτεχνείο,</w:t>
      </w:r>
    </w:p>
    <w:p>
      <w:pPr>
        <w:spacing w:before="240" w:after="240"/>
        <w:rPr>
          <w:lang w:val="el" w:eastAsia="el"/>
        </w:rPr>
      </w:pPr>
      <w:r>
        <w:rPr>
          <w:b/>
          <w:bCs/>
          <w:lang w:val="el" w:eastAsia="el"/>
        </w:rPr>
        <w:t>10) το Γεωπονικό Πανεπιστήμιο Αθηνών,</w:t>
      </w:r>
    </w:p>
    <w:p>
      <w:pPr>
        <w:spacing w:before="240" w:after="240"/>
        <w:rPr>
          <w:lang w:val="el" w:eastAsia="el"/>
        </w:rPr>
      </w:pPr>
      <w:r>
        <w:rPr>
          <w:b/>
          <w:bCs/>
          <w:lang w:val="el" w:eastAsia="el"/>
        </w:rPr>
        <w:t>11) το Οικονομικό Πανεπιστήμιο Αθηνών,</w:t>
      </w:r>
    </w:p>
    <w:p>
      <w:pPr>
        <w:spacing w:before="240" w:after="240"/>
        <w:rPr>
          <w:lang w:val="el" w:eastAsia="el"/>
        </w:rPr>
      </w:pPr>
      <w:r>
        <w:rPr>
          <w:b/>
          <w:bCs/>
          <w:lang w:val="el" w:eastAsia="el"/>
        </w:rPr>
        <w:t>12) την Ανώτατη Σχολή Καλών Τεχνών,</w:t>
      </w:r>
    </w:p>
    <w:p>
      <w:pPr>
        <w:spacing w:before="240" w:after="240"/>
        <w:rPr>
          <w:lang w:val="el" w:eastAsia="el"/>
        </w:rPr>
      </w:pPr>
      <w:r>
        <w:rPr>
          <w:b/>
          <w:bCs/>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b/>
          <w:bCs/>
          <w:lang w:val="el" w:eastAsia="el"/>
        </w:rPr>
        <w:t>14) τον Εμπορικό Σύλλογο Αθηνών,</w:t>
      </w:r>
    </w:p>
    <w:p>
      <w:pPr>
        <w:spacing w:before="240" w:after="240"/>
        <w:rPr>
          <w:lang w:val="el" w:eastAsia="el"/>
        </w:rPr>
      </w:pPr>
      <w:r>
        <w:rPr>
          <w:b/>
          <w:bCs/>
          <w:lang w:val="el" w:eastAsia="el"/>
        </w:rPr>
        <w:t>15) το Σύνδεσμο των εν Ελλάδι Τουριστικών και Ταξιδιωτικών Γραφείων,</w:t>
      </w:r>
    </w:p>
    <w:p>
      <w:pPr>
        <w:spacing w:before="240" w:after="240"/>
        <w:rPr>
          <w:lang w:val="el" w:eastAsia="el"/>
        </w:rPr>
      </w:pPr>
      <w:r>
        <w:rPr>
          <w:b/>
          <w:bCs/>
          <w:lang w:val="el" w:eastAsia="el"/>
        </w:rPr>
        <w:t>16) την Πανηπειρωτική Ομοσπονδία Ελλάδας.</w:t>
      </w:r>
    </w:p>
    <w:p>
      <w:pPr>
        <w:spacing w:before="240" w:after="240"/>
        <w:rPr>
          <w:lang w:val="el" w:eastAsia="el"/>
        </w:rPr>
      </w:pPr>
      <w:r>
        <w:rPr>
          <w:b/>
          <w:bCs/>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b/>
          <w:bCs/>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b/>
          <w:bCs/>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b/>
          <w:bCs/>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b/>
          <w:bCs/>
          <w:lang w:val="el" w:eastAsia="el"/>
        </w:rPr>
        <w:t xml:space="preserve"> Η παρ. 1 του άρθρου 23 του α.ν. 1920/1939 αντικαθίσταται ως εξής:</w:t>
      </w:r>
    </w:p>
    <w:p>
      <w:pPr>
        <w:spacing w:before="240" w:after="240"/>
        <w:rPr>
          <w:lang w:val="el" w:eastAsia="el"/>
        </w:rPr>
      </w:pPr>
      <w:r>
        <w:rPr>
          <w:b/>
          <w:bCs/>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b/>
          <w:bCs/>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b/>
          <w:bCs/>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b/>
          <w:bCs/>
          <w:lang w:val="el" w:eastAsia="el"/>
        </w:rPr>
        <w:t xml:space="preserve"> Οι παράγραφοι 1 και 2 του άρθρου 25 του α.ν. 1920/1939, αντικαθίστανται ως εξής:</w:t>
      </w:r>
    </w:p>
    <w:p>
      <w:pPr>
        <w:spacing w:before="240" w:after="240"/>
        <w:rPr>
          <w:lang w:val="el" w:eastAsia="el"/>
        </w:rPr>
      </w:pPr>
      <w:r>
        <w:rPr>
          <w:b/>
          <w:bCs/>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b/>
          <w:bCs/>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b/>
          <w:bCs/>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b/>
          <w:bCs/>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b/>
          <w:bCs/>
          <w:lang w:val="el" w:eastAsia="el"/>
        </w:rPr>
        <w:t xml:space="preserve"> Στο τέλος της παρ. 4 του άρθρου 26 του α.ν. 1920/1939 προστίθενται εδάφια ως εξής:</w:t>
      </w:r>
    </w:p>
    <w:p>
      <w:pPr>
        <w:spacing w:before="240" w:after="240"/>
        <w:rPr>
          <w:lang w:val="el" w:eastAsia="el"/>
        </w:rPr>
      </w:pPr>
      <w:r>
        <w:rPr>
          <w:b/>
          <w:bCs/>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b/>
          <w:bCs/>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b/>
          <w:bCs/>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b/>
          <w:bCs/>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b/>
          <w:bCs/>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Τροποποίηση του άρθρου 30 του Ν. 3296/2004</w:t>
      </w:r>
    </w:p>
    <w:p>
      <w:pPr>
        <w:pStyle w:val="MainText"/>
        <w:spacing w:before="120" w:after="0"/>
        <w:rPr>
          <w:lang w:val="el" w:eastAsia="el"/>
        </w:rPr>
      </w:pPr>
      <w:r>
        <w:rPr>
          <w:b/>
          <w:bCs/>
          <w:lang w:val="el" w:eastAsia="el"/>
        </w:rPr>
        <w:t>1.</w:t>
      </w:r>
      <w:r>
        <w:rPr>
          <w:b/>
          <w:bCs/>
          <w:lang w:val="el" w:eastAsia="el"/>
        </w:rPr>
        <w:t xml:space="preserve"> Η περίπτωση ε΄ της παρ. 5 του άρθρου 30 του Ν. 3296/2004 (Α΄ 253) αντικαθίσταται ως εξής:</w:t>
      </w:r>
    </w:p>
    <w:p>
      <w:pPr>
        <w:spacing w:before="240" w:after="240"/>
        <w:rPr>
          <w:lang w:val="el" w:eastAsia="el"/>
        </w:rPr>
      </w:pPr>
      <w:r>
        <w:rPr>
          <w:b/>
          <w:bCs/>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b/>
          <w:bCs/>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b/>
          <w:bCs/>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b/>
          <w:bCs/>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b/>
          <w:bCs/>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b/>
          <w:bCs/>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b/>
          <w:bCs/>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b/>
          <w:bCs/>
          <w:lang w:val="el" w:eastAsia="el"/>
        </w:rPr>
        <w:t>ββ)</w:t>
      </w:r>
      <w:r>
        <w:rPr>
          <w:b/>
          <w:bCs/>
          <w:lang w:val="en" w:eastAsia="en"/>
        </w:rPr>
        <w:tab/>
      </w:r>
      <w:r>
        <w:rPr>
          <w:b/>
          <w:bCs/>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b/>
          <w:bCs/>
          <w:lang w:val="el" w:eastAsia="el"/>
        </w:rPr>
        <w:t>γγ)</w:t>
      </w:r>
      <w:r>
        <w:rPr>
          <w:b/>
          <w:bCs/>
          <w:lang w:val="en" w:eastAsia="en"/>
        </w:rPr>
        <w:tab/>
      </w:r>
      <w:r>
        <w:rPr>
          <w:b/>
          <w:bCs/>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b/>
          <w:bCs/>
          <w:lang w:val="el" w:eastAsia="el"/>
        </w:rPr>
        <w:t>δδ)</w:t>
      </w:r>
      <w:r>
        <w:rPr>
          <w:b/>
          <w:bCs/>
          <w:lang w:val="en" w:eastAsia="en"/>
        </w:rPr>
        <w:tab/>
      </w:r>
      <w:r>
        <w:rPr>
          <w:b/>
          <w:bCs/>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b/>
          <w:bCs/>
          <w:lang w:val="el" w:eastAsia="el"/>
        </w:rPr>
        <w:t>εε)</w:t>
      </w:r>
      <w:r>
        <w:rPr>
          <w:b/>
          <w:bCs/>
          <w:lang w:val="en" w:eastAsia="en"/>
        </w:rPr>
        <w:tab/>
      </w:r>
      <w:r>
        <w:rPr>
          <w:b/>
          <w:bCs/>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b/>
          <w:bCs/>
          <w:lang w:val="el" w:eastAsia="el"/>
        </w:rPr>
        <w:t xml:space="preserve"> Στο τέλος της παρ. 6 του άρθρου 30 του Ν. 3296/2004 προστίθεται εδάφιο, ως εξής:</w:t>
      </w:r>
    </w:p>
    <w:p>
      <w:pPr>
        <w:spacing w:before="240" w:after="240"/>
        <w:rPr>
          <w:lang w:val="el" w:eastAsia="el"/>
        </w:rPr>
      </w:pPr>
      <w:r>
        <w:rPr>
          <w:b/>
          <w:bCs/>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b/>
          <w:bCs/>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b/>
          <w:bCs/>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b/>
          <w:bCs/>
          <w:lang w:val="el" w:eastAsia="el"/>
        </w:rPr>
        <w:t xml:space="preserve"> Στο τέλος της παρ. 5 του άρθρου 53Α του Ν. 2960/2001 , προστίθεται εδάφιο ως εξής:</w:t>
      </w:r>
    </w:p>
    <w:p>
      <w:pPr>
        <w:spacing w:before="240" w:after="240"/>
        <w:rPr>
          <w:lang w:val="el" w:eastAsia="el"/>
        </w:rPr>
      </w:pPr>
      <w:r>
        <w:rPr>
          <w:b/>
          <w:bCs/>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b/>
          <w:bCs/>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b/>
          <w:bCs/>
          <w:lang w:val="el" w:eastAsia="el"/>
        </w:rPr>
        <w:t xml:space="preserve">Άρθρο 66. </w:t>
      </w:r>
    </w:p>
    <w:p>
      <w:pPr>
        <w:pStyle w:val="MainText"/>
        <w:spacing w:before="120" w:after="0"/>
        <w:rPr>
          <w:lang w:val="el" w:eastAsia="el"/>
        </w:rPr>
      </w:pPr>
      <w:r>
        <w:rPr>
          <w:b/>
          <w:bCs/>
          <w:lang w:val="el" w:eastAsia="el"/>
        </w:rPr>
        <w:t>1.</w:t>
      </w:r>
      <w:r>
        <w:rPr>
          <w:b/>
          <w:bCs/>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b/>
          <w:bCs/>
          <w:lang w:val="el" w:eastAsia="el"/>
        </w:rPr>
        <w:t xml:space="preserve"> Μετά το άρθρο 33 του Ν. 4389/2016 (Α΄ 94) εισάγεται νέο άρθρο 33Α, ως εξής:</w:t>
      </w:r>
    </w:p>
    <w:p>
      <w:pPr>
        <w:spacing w:before="240" w:after="240"/>
        <w:rPr>
          <w:lang w:val="el" w:eastAsia="el"/>
        </w:rPr>
      </w:pPr>
      <w:r>
        <w:rPr>
          <w:b/>
          <w:bCs/>
          <w:lang w:val="el" w:eastAsia="el"/>
        </w:rPr>
        <w:t>« Άρθρο 33Α</w:t>
      </w:r>
    </w:p>
    <w:p>
      <w:pPr>
        <w:spacing w:before="240" w:after="240"/>
        <w:rPr>
          <w:lang w:val="el" w:eastAsia="el"/>
        </w:rPr>
      </w:pPr>
      <w:r>
        <w:rPr>
          <w:b/>
          <w:bCs/>
          <w:lang w:val="el" w:eastAsia="el"/>
        </w:rPr>
        <w:t>Νομική Υπεράσπιση - Δικαστικά έξοδα</w:t>
      </w:r>
    </w:p>
    <w:p>
      <w:pPr>
        <w:spacing w:before="240" w:after="240"/>
        <w:rPr>
          <w:lang w:val="el" w:eastAsia="el"/>
        </w:rPr>
      </w:pPr>
      <w:r>
        <w:rPr>
          <w:b/>
          <w:bCs/>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b/>
          <w:bCs/>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b/>
          <w:bCs/>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b/>
          <w:bCs/>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b/>
          <w:bCs/>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b/>
          <w:bCs/>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b/>
          <w:bCs/>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b/>
          <w:bCs/>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b/>
          <w:bCs/>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b/>
          <w:bCs/>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b/>
          <w:bCs/>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Τροποποίηση του Παραρτήματος Γ΄ της παρ. 7 του άρθρου 196 του Ν. 4389/2016</w:t>
      </w:r>
    </w:p>
    <w:p>
      <w:pPr>
        <w:spacing w:before="240" w:after="240"/>
        <w:rPr>
          <w:lang w:val="el" w:eastAsia="el"/>
        </w:rPr>
      </w:pPr>
      <w:r>
        <w:rPr>
          <w:b/>
          <w:bCs/>
          <w:lang w:val="el" w:eastAsia="el"/>
        </w:rPr>
        <w:t>Το Παράρτημα Γ΄ της </w:t>
      </w:r>
      <w:r>
        <w:rPr>
          <w:rStyle w:val="link"/>
          <w:b/>
          <w:bCs/>
          <w:lang w:val="el" w:eastAsia="el"/>
        </w:rPr>
        <w:t>παρ. 7 του άρθρου 196 του Ν. 4389/2016</w:t>
      </w:r>
      <w:r>
        <w:rPr>
          <w:b/>
          <w:bCs/>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b/>
          <w:bCs/>
          <w:lang w:val="el" w:eastAsia="el"/>
        </w:rPr>
        <w:t xml:space="preserve">»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b/>
          <w:bCs/>
          <w:lang w:val="el" w:eastAsia="el"/>
        </w:rPr>
        <w:t>(Παράρτημα 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b/>
          <w:bCs/>
          <w:lang w:val="el" w:eastAsia="el"/>
        </w:rPr>
        <w:t>γ)</w:t>
      </w:r>
      <w:r>
        <w:rPr>
          <w:b/>
          <w:bCs/>
          <w:lang w:val="en" w:eastAsia="en"/>
        </w:rPr>
        <w:tab/>
      </w:r>
      <w:r>
        <w:rPr>
          <w:b/>
          <w:bCs/>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b/>
          <w:bCs/>
          <w:lang w:val="el" w:eastAsia="el"/>
        </w:rPr>
        <w:t>β)</w:t>
      </w:r>
      <w:r>
        <w:rPr>
          <w:b/>
          <w:bCs/>
          <w:lang w:val="en" w:eastAsia="en"/>
        </w:rPr>
        <w:tab/>
      </w:r>
      <w:r>
        <w:rPr>
          <w:b/>
          <w:bCs/>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b/>
          <w:bCs/>
          <w:lang w:val="el" w:eastAsia="el"/>
        </w:rPr>
        <w:t>ε)</w:t>
      </w:r>
      <w:r>
        <w:rPr>
          <w:b/>
          <w:bCs/>
          <w:lang w:val="en" w:eastAsia="en"/>
        </w:rPr>
        <w:tab/>
      </w:r>
      <w:r>
        <w:rPr>
          <w:b/>
          <w:bCs/>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b/>
          <w:bCs/>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b/>
          <w:bCs/>
          <w:lang w:val="el" w:eastAsia="el"/>
        </w:rPr>
        <w:t>α)</w:t>
      </w:r>
      <w:r>
        <w:rPr>
          <w:b/>
          <w:bCs/>
          <w:lang w:val="en" w:eastAsia="en"/>
        </w:rPr>
        <w:tab/>
      </w:r>
      <w:r>
        <w:rPr>
          <w:b/>
          <w:bCs/>
          <w:lang w:val="el" w:eastAsia="el"/>
        </w:rPr>
        <w:t>κράτη μέλη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b/>
          <w:bCs/>
          <w:lang w:val="el" w:eastAsia="el"/>
        </w:rPr>
        <w:t>(Παράρτημα III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επιχειρηματική σχέση που αναπτύσσεται σε ασυνήθιστες περιστάσεις,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b/>
          <w:bCs/>
          <w:lang w:val="el" w:eastAsia="el"/>
        </w:rPr>
        <w:t>γ)</w:t>
      </w:r>
      <w:r>
        <w:rPr>
          <w:b/>
          <w:bCs/>
          <w:lang w:val="en" w:eastAsia="en"/>
        </w:rPr>
        <w:tab/>
      </w:r>
      <w:r>
        <w:rPr>
          <w:b/>
          <w:bCs/>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b/>
          <w:bCs/>
          <w:lang w:val="el" w:eastAsia="el"/>
        </w:rPr>
        <w:t>ε)</w:t>
      </w:r>
      <w:r>
        <w:rPr>
          <w:b/>
          <w:bCs/>
          <w:lang w:val="en" w:eastAsia="en"/>
        </w:rPr>
        <w:tab/>
      </w:r>
      <w:r>
        <w:rPr>
          <w:b/>
          <w:bCs/>
          <w:lang w:val="el" w:eastAsia="el"/>
        </w:rPr>
        <w:t>επιχειρήσεις έντασης μετρητών,</w:t>
      </w:r>
    </w:p>
    <w:p>
      <w:pPr>
        <w:pStyle w:val="StructureList1"/>
        <w:spacing w:before="120" w:after="0"/>
        <w:rPr>
          <w:lang w:val="el" w:eastAsia="el"/>
        </w:rPr>
      </w:pPr>
      <w:r>
        <w:rPr>
          <w:b/>
          <w:bCs/>
          <w:lang w:val="el" w:eastAsia="el"/>
        </w:rPr>
        <w:t>στ)</w:t>
      </w:r>
      <w:r>
        <w:rPr>
          <w:b/>
          <w:bCs/>
          <w:lang w:val="en" w:eastAsia="en"/>
        </w:rPr>
        <w:tab/>
      </w:r>
      <w:r>
        <w:rPr>
          <w:b/>
          <w:bCs/>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b/>
          <w:bCs/>
          <w:lang w:val="el" w:eastAsia="el"/>
        </w:rPr>
        <w:t>ζ)</w:t>
      </w:r>
      <w:r>
        <w:rPr>
          <w:b/>
          <w:bCs/>
          <w:lang w:val="en" w:eastAsia="en"/>
        </w:rPr>
        <w:tab/>
      </w:r>
      <w:r>
        <w:rPr>
          <w:b/>
          <w:bCs/>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ιδιωτική τραπεζική,</w:t>
      </w:r>
    </w:p>
    <w:p>
      <w:pPr>
        <w:pStyle w:val="StructureList1"/>
        <w:spacing w:before="120" w:after="0"/>
        <w:rPr>
          <w:lang w:val="el" w:eastAsia="el"/>
        </w:rPr>
      </w:pPr>
      <w:r>
        <w:rPr>
          <w:b/>
          <w:bCs/>
          <w:lang w:val="el" w:eastAsia="el"/>
        </w:rPr>
        <w:t>β)</w:t>
      </w:r>
      <w:r>
        <w:rPr>
          <w:b/>
          <w:bCs/>
          <w:lang w:val="en" w:eastAsia="en"/>
        </w:rPr>
        <w:tab/>
      </w:r>
      <w:r>
        <w:rPr>
          <w:b/>
          <w:bCs/>
          <w:lang w:val="el" w:eastAsia="el"/>
        </w:rPr>
        <w:t>προϊόντα ή συναλλαγές που ευνοούν την ανωνυμία,</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b/>
          <w:bCs/>
          <w:lang w:val="el" w:eastAsia="el"/>
        </w:rPr>
        <w:t>ε)</w:t>
      </w:r>
      <w:r>
        <w:rPr>
          <w:b/>
          <w:bCs/>
          <w:lang w:val="en" w:eastAsia="en"/>
        </w:rPr>
        <w:tab/>
      </w:r>
      <w:r>
        <w:rPr>
          <w:b/>
          <w:bCs/>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b/>
          <w:bCs/>
          <w:lang w:val="el" w:eastAsia="el"/>
        </w:rPr>
        <w:t>στ)</w:t>
      </w:r>
      <w:r>
        <w:rPr>
          <w:b/>
          <w:bCs/>
          <w:lang w:val="en" w:eastAsia="en"/>
        </w:rPr>
        <w:tab/>
      </w:r>
      <w:r>
        <w:rPr>
          <w:b/>
          <w:bCs/>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b/>
          <w:bCs/>
          <w:lang w:val="el" w:eastAsia="el"/>
        </w:rPr>
        <w:t xml:space="preserve"> Γεωγραφικοί παράγοντες κινδύνου:</w:t>
      </w:r>
    </w:p>
    <w:p>
      <w:pPr>
        <w:pStyle w:val="StructureList1"/>
        <w:spacing w:before="120" w:after="0"/>
        <w:rPr>
          <w:lang w:val="el" w:eastAsia="el"/>
        </w:rPr>
      </w:pPr>
      <w:r>
        <w:rPr>
          <w:b/>
          <w:bCs/>
          <w:lang w:val="el" w:eastAsia="el"/>
        </w:rPr>
        <w:t>α)</w:t>
      </w:r>
      <w:r>
        <w:rPr>
          <w:b/>
          <w:bCs/>
          <w:lang w:val="en" w:eastAsia="en"/>
        </w:rPr>
        <w:tab/>
      </w:r>
      <w:r>
        <w:rPr>
          <w:b/>
          <w:bCs/>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b/>
          <w:bCs/>
          <w:lang w:val="el" w:eastAsia="el"/>
        </w:rPr>
        <w:t>δ)</w:t>
      </w:r>
      <w:r>
        <w:rPr>
          <w:b/>
          <w:bCs/>
          <w:lang w:val="en" w:eastAsia="en"/>
        </w:rPr>
        <w:tab/>
      </w:r>
      <w:r>
        <w:rPr>
          <w:b/>
          <w:bCs/>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 </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 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b/>
          <w:bCs/>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b/>
          <w:bCs/>
          <w:lang w:val="el" w:eastAsia="el"/>
        </w:rPr>
        <w:t>Αναπληρωτής  Υπουργός Εθνικής Άμυνας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b/>
          <w:bCs/>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ΕΥΑΓΓΕΛΟΣ ΑΠΟΣΤΟΛΟΥ</w:t>
      </w:r>
    </w:p>
    <w:p>
      <w:pPr>
        <w:spacing w:before="240" w:after="240"/>
        <w:rPr>
          <w:lang w:val="el" w:eastAsia="el"/>
        </w:rPr>
      </w:pPr>
      <w:r>
        <w:rPr>
          <w:b/>
          <w:bCs/>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b/>
          <w:bCs/>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b/>
          <w:bCs/>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b/>
          <w:bCs/>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Μεταναστευτικής Πολιτικής</w:t>
      </w:r>
    </w:p>
    <w:p>
      <w:pPr>
        <w:spacing w:before="240" w:after="240"/>
        <w:rPr>
          <w:lang w:val="el" w:eastAsia="el"/>
        </w:rPr>
      </w:pPr>
      <w:r>
        <w:rPr>
          <w:b/>
          <w:bCs/>
          <w:lang w:val="el" w:eastAsia="el"/>
        </w:rPr>
        <w:t>ΔΗΜΗΤΡΙΟΣ ΒΙΤΣΑΣ</w:t>
      </w:r>
    </w:p>
    <w:p>
      <w:pPr>
        <w:spacing w:before="240" w:after="240"/>
        <w:rPr>
          <w:lang w:val="el" w:eastAsia="el"/>
        </w:rPr>
      </w:pPr>
      <w:r>
        <w:rPr>
          <w:b/>
          <w:bCs/>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b/>
          <w:bCs/>
          <w:lang w:val="el" w:eastAsia="el"/>
        </w:rPr>
        <w:t>Εθνικής Άμυνας</w:t>
      </w:r>
    </w:p>
    <w:p>
      <w:pPr>
        <w:spacing w:before="240" w:after="240"/>
        <w:rPr>
          <w:lang w:val="el" w:eastAsia="el"/>
        </w:rPr>
      </w:pPr>
      <w:r>
        <w:rPr>
          <w:b/>
          <w:bCs/>
          <w:lang w:val="el" w:eastAsia="el"/>
        </w:rPr>
        <w:t>ΠΑΝΑΓΙΩΤΗΣ ΚΑΜΜΕΝΟΣ</w:t>
      </w:r>
    </w:p>
    <w:p>
      <w:pPr>
        <w:spacing w:before="240" w:after="240"/>
        <w:rPr>
          <w:lang w:val="el" w:eastAsia="el"/>
        </w:rPr>
      </w:pPr>
      <w:r>
        <w:rPr>
          <w:b/>
          <w:bCs/>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b/>
          <w:bCs/>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b/>
          <w:bCs/>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16" w:history="1">
        <w:r>
          <w:rPr>
            <w:rStyle w:val="Hyperlink"/>
            <w:color w:val="0000EE"/>
            <w:u w:color="0000EE"/>
            <w:lang w:val="el" w:eastAsia="el"/>
          </w:rPr>
          <w:t>Προσθήκη 5193/2025, Άρθρο 116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9" w:history="1">
        <w:r>
          <w:rPr>
            <w:rStyle w:val="Hyperlink"/>
            <w:color w:val="0000EE"/>
            <w:u w:color="0000EE"/>
            <w:lang w:val="el" w:eastAsia="el"/>
          </w:rPr>
          <w:t>Τροποποίηση 4701/2020,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6" w:history="1">
        <w:r>
          <w:rPr>
            <w:rStyle w:val="Hyperlink"/>
            <w:color w:val="0000EE"/>
            <w:u w:color="0000EE"/>
            <w:lang w:val="el" w:eastAsia="el"/>
          </w:rPr>
          <w:t>Τροποποίηση 5193/2025, Άρθρο 116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4" w:anchor="art_62" w:history="1">
        <w:r>
          <w:rPr>
            <w:rStyle w:val="Hyperlink"/>
            <w:color w:val="0000EE"/>
            <w:u w:color="0000EE"/>
            <w:lang w:val="el" w:eastAsia="el"/>
          </w:rPr>
          <w:t>Τροποποίηση 4607/2019, Άρθρο 62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6" w:history="1">
        <w:r>
          <w:rPr>
            <w:rStyle w:val="Hyperlink"/>
            <w:color w:val="0000EE"/>
            <w:u w:color="0000EE"/>
            <w:lang w:val="el" w:eastAsia="el"/>
          </w:rPr>
          <w:t>Προσθήκη 5193/2025, Άρθρο 116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0" w:history="1">
        <w:r>
          <w:rPr>
            <w:rStyle w:val="Hyperlink"/>
            <w:color w:val="0000EE"/>
            <w:u w:color="0000EE"/>
            <w:lang w:val="el" w:eastAsia="el"/>
          </w:rPr>
          <w:t>Τροποποίηση 5039/2023, Άρθρο 70</w:t>
        </w:r>
      </w:hyperlink>
      <w:r>
        <w:rPr>
          <w:lang w:val="el" w:eastAsia="el"/>
        </w:rPr>
        <w:t xml:space="preserve">; </w:t>
      </w:r>
      <w:hyperlink r:id="rId27"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 w:history="1">
        <w:r>
          <w:rPr>
            <w:rStyle w:val="Hyperlink"/>
            <w:color w:val="0000EE"/>
            <w:u w:color="0000EE"/>
            <w:lang w:val="el" w:eastAsia="el"/>
          </w:rPr>
          <w:t>Τροποποίηση 4816/2021,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 w:history="1">
        <w:r>
          <w:rPr>
            <w:rStyle w:val="Hyperlink"/>
            <w:color w:val="0000EE"/>
            <w:u w:color="0000EE"/>
            <w:lang w:val="el" w:eastAsia="el"/>
          </w:rPr>
          <w:t>Τροποποίηση 4816/2021,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4816/2021,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5232/2025, Άρθρο 15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7" w:anchor="art_59" w:history="1">
        <w:r>
          <w:rPr>
            <w:rStyle w:val="Hyperlink"/>
            <w:color w:val="0000EE"/>
            <w:u w:color="0000EE"/>
            <w:lang w:val="el" w:eastAsia="el"/>
          </w:rPr>
          <w:t>Τροποποίηση 4701/2020,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7" w:history="1">
        <w:r>
          <w:rPr>
            <w:rStyle w:val="Hyperlink"/>
            <w:color w:val="0000EE"/>
            <w:u w:color="0000EE"/>
            <w:lang w:val="el" w:eastAsia="el"/>
          </w:rPr>
          <w:t>Προσθήκη 5193/2025, Άρθρο 117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17" w:history="1">
        <w:r>
          <w:rPr>
            <w:rStyle w:val="Hyperlink"/>
            <w:color w:val="0000EE"/>
            <w:u w:color="0000EE"/>
            <w:lang w:val="el" w:eastAsia="el"/>
          </w:rPr>
          <w:t>Τροποποίηση 5193/2025, Άρθρο 117</w:t>
        </w:r>
      </w:hyperlink>
      <w:r>
        <w:rPr>
          <w:lang w:val="el" w:eastAsia="el"/>
        </w:rPr>
        <w:t>; Προσθήκη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7" w:history="1">
        <w:r>
          <w:rPr>
            <w:rStyle w:val="Hyperlink"/>
            <w:color w:val="0000EE"/>
            <w:u w:color="0000EE"/>
            <w:lang w:val="el" w:eastAsia="el"/>
          </w:rPr>
          <w:t>Αφαίρεση 5193/2025, Άρθρο 117</w:t>
        </w:r>
      </w:hyperlink>
      <w:r>
        <w:rPr>
          <w:lang w:val="el" w:eastAsia="el"/>
        </w:rPr>
        <w:t>; 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7" w:history="1">
        <w:r>
          <w:rPr>
            <w:rStyle w:val="Hyperlink"/>
            <w:color w:val="0000EE"/>
            <w:u w:color="0000EE"/>
            <w:lang w:val="el" w:eastAsia="el"/>
          </w:rPr>
          <w:t>Προσθήκη 5193/2025, Άρθρο 117</w:t>
        </w:r>
      </w:hyperlink>
      <w:r>
        <w:rPr>
          <w:lang w:val="el" w:eastAsia="el"/>
        </w:rPr>
        <w:t>; Τροποποίηση 4734/2020, Άρθρο 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6" w:history="1">
        <w:r>
          <w:rPr>
            <w:rStyle w:val="Hyperlink"/>
            <w:color w:val="0000EE"/>
            <w:u w:color="0000EE"/>
            <w:lang w:val="el" w:eastAsia="el"/>
          </w:rPr>
          <w:t>Τροποποίηση 5193/2025, Άρθρο 196</w:t>
        </w:r>
      </w:hyperlink>
      <w:r>
        <w:rPr>
          <w:lang w:val="el" w:eastAsia="el"/>
        </w:rPr>
        <w:t>; Προσθήκη 4734/2020, Άρθρο 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8" w:history="1">
        <w:r>
          <w:rPr>
            <w:rStyle w:val="Hyperlink"/>
            <w:color w:val="0000EE"/>
            <w:u w:color="0000EE"/>
            <w:lang w:val="el" w:eastAsia="el"/>
          </w:rPr>
          <w:t>Τροποποίηση 4583/2018, Άρθρο 78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4704/2020, Άρθρο 18</w:t>
        </w:r>
      </w:hyperlink>
      <w:r>
        <w:rPr>
          <w:lang w:val="el" w:eastAsia="el"/>
        </w:rPr>
        <w:t xml:space="preserve">; </w:t>
      </w:r>
      <w:hyperlink r:id="rId58" w:anchor="art_62" w:history="1">
        <w:r>
          <w:rPr>
            <w:rStyle w:val="Hyperlink"/>
            <w:color w:val="0000EE"/>
            <w:u w:color="0000EE"/>
            <w:lang w:val="el" w:eastAsia="el"/>
          </w:rPr>
          <w:t>Τροποποίηση 4607/2019,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8" w:history="1">
        <w:r>
          <w:rPr>
            <w:rStyle w:val="Hyperlink"/>
            <w:color w:val="0000EE"/>
            <w:u w:color="0000EE"/>
            <w:lang w:val="el" w:eastAsia="el"/>
          </w:rPr>
          <w:t>Τροποποίηση 5193/2025, Άρθρο 118</w:t>
        </w:r>
      </w:hyperlink>
      <w:r>
        <w:rPr>
          <w:lang w:val="el" w:eastAsia="el"/>
        </w:rPr>
        <w:t>; Τροποποίηση 4734/2020, Άρθρο 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19" w:history="1">
        <w:r>
          <w:rPr>
            <w:rStyle w:val="Hyperlink"/>
            <w:color w:val="0000EE"/>
            <w:u w:color="0000EE"/>
            <w:lang w:val="el" w:eastAsia="el"/>
          </w:rPr>
          <w:t>Τροποποίηση 5193/2025, Άρθρο 119</w:t>
        </w:r>
      </w:hyperlink>
      <w:r>
        <w:rPr>
          <w:lang w:val="el" w:eastAsia="el"/>
        </w:rPr>
        <w:t>; Τροποποίηση 4734/2020, Άρθρο 11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0" w:history="1">
        <w:r>
          <w:rPr>
            <w:rStyle w:val="Hyperlink"/>
            <w:b/>
            <w:bCs/>
            <w:color w:val="0000EE"/>
            <w:u w:color="0000EE"/>
            <w:lang w:val="el" w:eastAsia="el"/>
          </w:rPr>
          <w:t>Προσθήκη 5193/2025, Άρθρο 120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0" w:history="1">
        <w:r>
          <w:rPr>
            <w:rStyle w:val="Hyperlink"/>
            <w:b/>
            <w:bCs/>
            <w:color w:val="0000EE"/>
            <w:u w:color="0000EE"/>
            <w:lang w:val="el" w:eastAsia="el"/>
          </w:rPr>
          <w:t>Προσθήκη 5193/2025, Άρθρο 120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20" w:history="1">
        <w:r>
          <w:rPr>
            <w:rStyle w:val="Hyperlink"/>
            <w:b/>
            <w:bCs/>
            <w:color w:val="0000EE"/>
            <w:u w:color="0000EE"/>
            <w:lang w:val="el" w:eastAsia="el"/>
          </w:rPr>
          <w:t>Προσθήκη 5193/2025, Άρθρο 120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0" w:history="1">
        <w:r>
          <w:rPr>
            <w:rStyle w:val="Hyperlink"/>
            <w:b/>
            <w:bCs/>
            <w:color w:val="0000EE"/>
            <w:u w:color="0000EE"/>
            <w:lang w:val="el" w:eastAsia="el"/>
          </w:rPr>
          <w:t>Προσθήκη 5193/2025, Άρθρο 120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20" w:history="1">
        <w:r>
          <w:rPr>
            <w:rStyle w:val="Hyperlink"/>
            <w:b/>
            <w:bCs/>
            <w:color w:val="0000EE"/>
            <w:u w:color="0000EE"/>
            <w:lang w:val="el" w:eastAsia="el"/>
          </w:rPr>
          <w:t>Προσθήκη 5193/2025, Άρθρο 120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20" w:history="1">
        <w:r>
          <w:rPr>
            <w:rStyle w:val="Hyperlink"/>
            <w:b/>
            <w:bCs/>
            <w:color w:val="0000EE"/>
            <w:u w:color="0000EE"/>
            <w:lang w:val="el" w:eastAsia="el"/>
          </w:rPr>
          <w:t>Προσθήκη 5193/2025, Άρθρο 120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20" w:history="1">
        <w:r>
          <w:rPr>
            <w:rStyle w:val="Hyperlink"/>
            <w:b/>
            <w:bCs/>
            <w:color w:val="0000EE"/>
            <w:u w:color="0000EE"/>
            <w:lang w:val="el" w:eastAsia="el"/>
          </w:rPr>
          <w:t>Προσθήκη 5193/2025, Άρθρο 120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20" w:history="1">
        <w:r>
          <w:rPr>
            <w:rStyle w:val="Hyperlink"/>
            <w:b/>
            <w:bCs/>
            <w:color w:val="0000EE"/>
            <w:u w:color="0000EE"/>
            <w:lang w:val="el" w:eastAsia="el"/>
          </w:rPr>
          <w:t>Προσθήκη 5193/2025, Άρθρο 120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20" w:history="1">
        <w:r>
          <w:rPr>
            <w:rStyle w:val="Hyperlink"/>
            <w:b/>
            <w:bCs/>
            <w:color w:val="0000EE"/>
            <w:u w:color="0000EE"/>
            <w:lang w:val="el" w:eastAsia="el"/>
          </w:rPr>
          <w:t>Προσθήκη 5193/2025, Άρθρο 120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1" w:history="1">
        <w:r>
          <w:rPr>
            <w:rStyle w:val="Hyperlink"/>
            <w:b/>
            <w:bCs/>
            <w:color w:val="0000EE"/>
            <w:u w:color="0000EE"/>
            <w:lang w:val="el" w:eastAsia="el"/>
          </w:rPr>
          <w:t>Προσθήκη 5193/2025, Άρθρο 121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1" w:history="1">
        <w:r>
          <w:rPr>
            <w:rStyle w:val="Hyperlink"/>
            <w:b/>
            <w:bCs/>
            <w:color w:val="0000EE"/>
            <w:u w:color="0000EE"/>
            <w:lang w:val="el" w:eastAsia="el"/>
          </w:rPr>
          <w:t>Προσθήκη 5193/2025, Άρθρο 121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1" w:history="1">
        <w:r>
          <w:rPr>
            <w:rStyle w:val="Hyperlink"/>
            <w:b/>
            <w:bCs/>
            <w:color w:val="0000EE"/>
            <w:u w:color="0000EE"/>
            <w:lang w:val="el" w:eastAsia="el"/>
          </w:rPr>
          <w:t>Προσθήκη 5193/2025, Άρθρο 121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1" w:history="1">
        <w:r>
          <w:rPr>
            <w:rStyle w:val="Hyperlink"/>
            <w:b/>
            <w:bCs/>
            <w:color w:val="0000EE"/>
            <w:u w:color="0000EE"/>
            <w:lang w:val="el" w:eastAsia="el"/>
          </w:rPr>
          <w:t>Προσθήκη 5193/2025, Άρθρο 121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1" w:history="1">
        <w:r>
          <w:rPr>
            <w:rStyle w:val="Hyperlink"/>
            <w:b/>
            <w:bCs/>
            <w:color w:val="0000EE"/>
            <w:u w:color="0000EE"/>
            <w:lang w:val="el" w:eastAsia="el"/>
          </w:rPr>
          <w:t>Προσθήκη 5193/2025, Άρθρο 121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1" w:history="1">
        <w:r>
          <w:rPr>
            <w:rStyle w:val="Hyperlink"/>
            <w:b/>
            <w:bCs/>
            <w:color w:val="0000EE"/>
            <w:u w:color="0000EE"/>
            <w:lang w:val="el" w:eastAsia="el"/>
          </w:rPr>
          <w:t>Προσθήκη 5193/2025, Άρθρο 121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1" w:history="1">
        <w:r>
          <w:rPr>
            <w:rStyle w:val="Hyperlink"/>
            <w:b/>
            <w:bCs/>
            <w:color w:val="0000EE"/>
            <w:u w:color="0000EE"/>
            <w:lang w:val="el" w:eastAsia="el"/>
          </w:rPr>
          <w:t>Προσθήκη 5193/2025, Άρθρο 121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1" w:history="1">
        <w:r>
          <w:rPr>
            <w:rStyle w:val="Hyperlink"/>
            <w:b/>
            <w:bCs/>
            <w:color w:val="0000EE"/>
            <w:u w:color="0000EE"/>
            <w:lang w:val="el" w:eastAsia="el"/>
          </w:rPr>
          <w:t>Προσθήκη 5193/2025, Άρθρο 121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1" w:history="1">
        <w:r>
          <w:rPr>
            <w:rStyle w:val="Hyperlink"/>
            <w:b/>
            <w:bCs/>
            <w:color w:val="0000EE"/>
            <w:u w:color="0000EE"/>
            <w:lang w:val="el" w:eastAsia="el"/>
          </w:rPr>
          <w:t>Προσθήκη 5193/2025, Άρθρο 121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1" w:history="1">
        <w:r>
          <w:rPr>
            <w:rStyle w:val="Hyperlink"/>
            <w:b/>
            <w:bCs/>
            <w:color w:val="0000EE"/>
            <w:u w:color="0000EE"/>
            <w:lang w:val="el" w:eastAsia="el"/>
          </w:rPr>
          <w:t>Προσθήκη 5193/2025, Άρθρο 121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8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5259/2025, Άρθρο 202</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Αφαίρεση 5259/2025, Άρθρο 259; </w:t>
      </w:r>
      <w:hyperlink r:id="rId8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0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11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98" w:history="1">
        <w:r>
          <w:rPr>
            <w:rStyle w:val="Hyperlink"/>
            <w:b/>
            <w:bCs/>
            <w:color w:val="0000EE"/>
            <w:u w:color="0000EE"/>
            <w:lang w:val="el" w:eastAsia="el"/>
          </w:rPr>
          <w:t>Τροποποίηση 5193/2025, Άρθρο 198</w:t>
        </w:r>
      </w:hyperlink>
      <w:r>
        <w:rPr>
          <w:b/>
          <w:bCs/>
          <w:lang w:val="el" w:eastAsia="el"/>
        </w:rPr>
        <w:t>; Τροποποίηση 4734/2020, Άρθρο 16</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16</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27</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5259/2025, Άρθρο 203; Τροποποίηση 4734/2020, Άρθρο 17</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5259/2025, Άρθρο 203; Τροποποίηση 4734/2020, Άρθρο 17</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19</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32</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99" w:history="1">
        <w:r>
          <w:rPr>
            <w:rStyle w:val="Hyperlink"/>
            <w:b/>
            <w:bCs/>
            <w:color w:val="0000EE"/>
            <w:u w:color="0000EE"/>
            <w:lang w:val="el" w:eastAsia="el"/>
          </w:rPr>
          <w:t>Προσθήκη 5193/2025, Άρθρο 199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99" w:history="1">
        <w:r>
          <w:rPr>
            <w:rStyle w:val="Hyperlink"/>
            <w:b/>
            <w:bCs/>
            <w:color w:val="0000EE"/>
            <w:u w:color="0000EE"/>
            <w:lang w:val="el" w:eastAsia="el"/>
          </w:rPr>
          <w:t>Τροποποίηση 5193/2025, Άρθρο 199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99" w:history="1">
        <w:r>
          <w:rPr>
            <w:rStyle w:val="Hyperlink"/>
            <w:b/>
            <w:bCs/>
            <w:color w:val="0000EE"/>
            <w:u w:color="0000EE"/>
            <w:lang w:val="el" w:eastAsia="el"/>
          </w:rPr>
          <w:t>Τροποποίηση 5193/2025, Άρθρο 199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99" w:history="1">
        <w:r>
          <w:rPr>
            <w:rStyle w:val="Hyperlink"/>
            <w:b/>
            <w:bCs/>
            <w:color w:val="0000EE"/>
            <w:u w:color="0000EE"/>
            <w:lang w:val="el" w:eastAsia="el"/>
          </w:rPr>
          <w:t>Τροποποίηση 5193/2025, Άρθρο 199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99" w:history="1">
        <w:r>
          <w:rPr>
            <w:rStyle w:val="Hyperlink"/>
            <w:b/>
            <w:bCs/>
            <w:color w:val="0000EE"/>
            <w:u w:color="0000EE"/>
            <w:lang w:val="el" w:eastAsia="el"/>
          </w:rPr>
          <w:t>Τροποποίηση 5193/2025, Άρθρο 199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99" w:history="1">
        <w:r>
          <w:rPr>
            <w:rStyle w:val="Hyperlink"/>
            <w:b/>
            <w:bCs/>
            <w:color w:val="0000EE"/>
            <w:u w:color="0000EE"/>
            <w:lang w:val="el" w:eastAsia="el"/>
          </w:rPr>
          <w:t>Τροποποίηση 5193/2025, Άρθρο 199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99" w:history="1">
        <w:r>
          <w:rPr>
            <w:rStyle w:val="Hyperlink"/>
            <w:b/>
            <w:bCs/>
            <w:color w:val="0000EE"/>
            <w:u w:color="0000EE"/>
            <w:lang w:val="el" w:eastAsia="el"/>
          </w:rPr>
          <w:t>Τροποποίηση 5193/2025, Άρθρο 199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99" w:history="1">
        <w:r>
          <w:rPr>
            <w:rStyle w:val="Hyperlink"/>
            <w:b/>
            <w:bCs/>
            <w:color w:val="0000EE"/>
            <w:u w:color="0000EE"/>
            <w:lang w:val="el" w:eastAsia="el"/>
          </w:rPr>
          <w:t>Τροποποίηση 5193/2025, Άρθρο 199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99" w:history="1">
        <w:r>
          <w:rPr>
            <w:rStyle w:val="Hyperlink"/>
            <w:b/>
            <w:bCs/>
            <w:color w:val="0000EE"/>
            <w:u w:color="0000EE"/>
            <w:lang w:val="el" w:eastAsia="el"/>
          </w:rPr>
          <w:t>Τροποποίηση 5193/2025, Άρθρο 199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99" w:history="1">
        <w:r>
          <w:rPr>
            <w:rStyle w:val="Hyperlink"/>
            <w:b/>
            <w:bCs/>
            <w:color w:val="0000EE"/>
            <w:u w:color="0000EE"/>
            <w:lang w:val="el" w:eastAsia="el"/>
          </w:rPr>
          <w:t>Τροποποίηση 5193/2025, Άρθρο 199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99" w:history="1">
        <w:r>
          <w:rPr>
            <w:rStyle w:val="Hyperlink"/>
            <w:b/>
            <w:bCs/>
            <w:color w:val="0000EE"/>
            <w:u w:color="0000EE"/>
            <w:lang w:val="el" w:eastAsia="el"/>
          </w:rPr>
          <w:t>Τροποποίηση 5193/2025, Άρθρο 199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99" w:history="1">
        <w:r>
          <w:rPr>
            <w:rStyle w:val="Hyperlink"/>
            <w:b/>
            <w:bCs/>
            <w:color w:val="0000EE"/>
            <w:u w:color="0000EE"/>
            <w:lang w:val="el" w:eastAsia="el"/>
          </w:rPr>
          <w:t>Τροποποίηση 5193/2025, Άρθρο 199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99" w:history="1">
        <w:r>
          <w:rPr>
            <w:rStyle w:val="Hyperlink"/>
            <w:b/>
            <w:bCs/>
            <w:color w:val="0000EE"/>
            <w:u w:color="0000EE"/>
            <w:lang w:val="el" w:eastAsia="el"/>
          </w:rPr>
          <w:t>Τροποποίηση 5193/2025, Άρθρο 199</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99" w:history="1">
        <w:r>
          <w:rPr>
            <w:rStyle w:val="Hyperlink"/>
            <w:b/>
            <w:bCs/>
            <w:color w:val="0000EE"/>
            <w:u w:color="0000EE"/>
            <w:lang w:val="el" w:eastAsia="el"/>
          </w:rPr>
          <w:t>Τροποποίηση 5193/2025, Άρθρο 199</w:t>
        </w:r>
      </w:hyperlink>
      <w:r>
        <w:rPr>
          <w:b/>
          <w:bCs/>
          <w:lang w:val="el" w:eastAsia="el"/>
        </w:rPr>
        <w:t>; Τροποποίηση 4734/2020, Άρθρο 23</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99" w:history="1">
        <w:r>
          <w:rPr>
            <w:rStyle w:val="Hyperlink"/>
            <w:b/>
            <w:bCs/>
            <w:color w:val="0000EE"/>
            <w:u w:color="0000EE"/>
            <w:lang w:val="el" w:eastAsia="el"/>
          </w:rPr>
          <w:t>Τροποποίηση 5193/2025, Άρθρο 199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99" w:history="1">
        <w:r>
          <w:rPr>
            <w:rStyle w:val="Hyperlink"/>
            <w:b/>
            <w:bCs/>
            <w:color w:val="0000EE"/>
            <w:u w:color="0000EE"/>
            <w:lang w:val="el" w:eastAsia="el"/>
          </w:rPr>
          <w:t>Τροποποίηση 5193/2025, Άρθρο 199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23</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99" w:history="1">
        <w:r>
          <w:rPr>
            <w:rStyle w:val="Hyperlink"/>
            <w:b/>
            <w:bCs/>
            <w:color w:val="0000EE"/>
            <w:u w:color="0000EE"/>
            <w:lang w:val="el" w:eastAsia="el"/>
          </w:rPr>
          <w:t>Τροποποίηση 5193/2025, Άρθρο 199</w:t>
        </w:r>
      </w:hyperlink>
      <w:r>
        <w:rPr>
          <w:b/>
          <w:bCs/>
          <w:lang w:val="el" w:eastAsia="el"/>
        </w:rPr>
        <w:t>; Προσθήκη 4734/2020, Άρθρο 23</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99" w:history="1">
        <w:r>
          <w:rPr>
            <w:rStyle w:val="Hyperlink"/>
            <w:b/>
            <w:bCs/>
            <w:color w:val="0000EE"/>
            <w:u w:color="0000EE"/>
            <w:lang w:val="el" w:eastAsia="el"/>
          </w:rPr>
          <w:t>Προσθήκη 5193/2025, Άρθρο 199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23</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24</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22" w:history="1">
        <w:r>
          <w:rPr>
            <w:rStyle w:val="Hyperlink"/>
            <w:b/>
            <w:bCs/>
            <w:color w:val="0000EE"/>
            <w:u w:color="0000EE"/>
            <w:lang w:val="el" w:eastAsia="el"/>
          </w:rPr>
          <w:t>Προσθήκη 5193/2025, Άρθρο 122</w:t>
        </w:r>
      </w:hyperlink>
      <w:r>
        <w:rPr>
          <w:b/>
          <w:bCs/>
          <w:lang w:val="el" w:eastAsia="el"/>
        </w:rPr>
        <w:t>; Τροποποίηση 4734/2020, Άρθρο 28</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23" w:history="1">
        <w:r>
          <w:rPr>
            <w:rStyle w:val="Hyperlink"/>
            <w:b/>
            <w:bCs/>
            <w:color w:val="0000EE"/>
            <w:u w:color="0000EE"/>
            <w:lang w:val="el" w:eastAsia="el"/>
          </w:rPr>
          <w:t>Προσθήκη 5193/2025, Άρθρο 123</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57" w:history="1">
        <w:r>
          <w:rPr>
            <w:rStyle w:val="Hyperlink"/>
            <w:b/>
            <w:bCs/>
            <w:color w:val="0000EE"/>
            <w:u w:color="0000EE"/>
            <w:lang w:val="el" w:eastAsia="el"/>
          </w:rPr>
          <w:t>Προσθήκη 5042/2023, Άρθρο 57</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 w:history="1">
        <w:r>
          <w:rPr>
            <w:rStyle w:val="Hyperlink"/>
            <w:b/>
            <w:bCs/>
            <w:color w:val="0000EE"/>
            <w:u w:color="0000EE"/>
            <w:lang w:val="el" w:eastAsia="el"/>
          </w:rPr>
          <w:t>Τροποποίηση 4816/2021, Άρθρο 6</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 w:history="1">
        <w:r>
          <w:rPr>
            <w:rStyle w:val="Hyperlink"/>
            <w:b/>
            <w:bCs/>
            <w:color w:val="0000EE"/>
            <w:u w:color="0000EE"/>
            <w:lang w:val="el" w:eastAsia="el"/>
          </w:rPr>
          <w:t>Τροποποίηση 4816/2021, Άρθρο 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 w:history="1">
        <w:r>
          <w:rPr>
            <w:rStyle w:val="Hyperlink"/>
            <w:b/>
            <w:bCs/>
            <w:color w:val="0000EE"/>
            <w:u w:color="0000EE"/>
            <w:lang w:val="el" w:eastAsia="el"/>
          </w:rPr>
          <w:t>Τροποποίηση 4816/2021, Άρθρο 6</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4816/2021, Άρθρο 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4816/2021, Άρθρο 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0" w:history="1">
        <w:r>
          <w:rPr>
            <w:rStyle w:val="Hyperlink"/>
            <w:b/>
            <w:bCs/>
            <w:color w:val="0000EE"/>
            <w:u w:color="0000EE"/>
            <w:lang w:val="el" w:eastAsia="el"/>
          </w:rPr>
          <w:t>Τροποποίηση 5039/2023, Άρθρο 70</w:t>
        </w:r>
      </w:hyperlink>
      <w:r>
        <w:rPr>
          <w:b/>
          <w:bCs/>
          <w:lang w:val="el" w:eastAsia="el"/>
        </w:rPr>
        <w:t xml:space="preserve">; </w:t>
      </w:r>
      <w:hyperlink r:id="rId147" w:anchor="art_6" w:history="1">
        <w:r>
          <w:rPr>
            <w:rStyle w:val="Hyperlink"/>
            <w:b/>
            <w:bCs/>
            <w:color w:val="0000EE"/>
            <w:u w:color="0000EE"/>
            <w:lang w:val="el" w:eastAsia="el"/>
          </w:rPr>
          <w:t>Τροποποίηση 4816/2021, Άρθρο 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4816/2021, Άρθρο 6</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 w:history="1">
        <w:r>
          <w:rPr>
            <w:rStyle w:val="Hyperlink"/>
            <w:b/>
            <w:bCs/>
            <w:color w:val="0000EE"/>
            <w:u w:color="0000EE"/>
            <w:lang w:val="el" w:eastAsia="el"/>
          </w:rPr>
          <w:t>Τροποποίηση 4816/2021, Άρθρο 6</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4816/2021, Άρθρο 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4816/2021, Άρθρο 6</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 w:history="1">
        <w:r>
          <w:rPr>
            <w:rStyle w:val="Hyperlink"/>
            <w:b/>
            <w:bCs/>
            <w:color w:val="0000EE"/>
            <w:u w:color="0000EE"/>
            <w:lang w:val="el" w:eastAsia="el"/>
          </w:rPr>
          <w:t>Τροποποίηση 4816/2021, Άρθρο 6</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4816/2021, Άρθρο 6</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6" w:history="1">
        <w:r>
          <w:rPr>
            <w:rStyle w:val="Hyperlink"/>
            <w:b/>
            <w:bCs/>
            <w:color w:val="0000EE"/>
            <w:u w:color="0000EE"/>
            <w:lang w:val="el" w:eastAsia="el"/>
          </w:rPr>
          <w:t>Τροποποίηση 4816/2021, Άρθρο 6</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 w:history="1">
        <w:r>
          <w:rPr>
            <w:rStyle w:val="Hyperlink"/>
            <w:b/>
            <w:bCs/>
            <w:color w:val="0000EE"/>
            <w:u w:color="0000EE"/>
            <w:lang w:val="el" w:eastAsia="el"/>
          </w:rPr>
          <w:t>Τροποποίηση 4816/2021, Άρθρο 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 w:history="1">
        <w:r>
          <w:rPr>
            <w:rStyle w:val="Hyperlink"/>
            <w:b/>
            <w:bCs/>
            <w:color w:val="0000EE"/>
            <w:u w:color="0000EE"/>
            <w:lang w:val="el" w:eastAsia="el"/>
          </w:rPr>
          <w:t>Τροποποίηση 4816/2021, Άρθρο 6</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 w:history="1">
        <w:r>
          <w:rPr>
            <w:rStyle w:val="Hyperlink"/>
            <w:b/>
            <w:bCs/>
            <w:color w:val="0000EE"/>
            <w:u w:color="0000EE"/>
            <w:lang w:val="el" w:eastAsia="el"/>
          </w:rPr>
          <w:t>Τροποποίηση 4816/2021, Άρθρο 6</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 w:history="1">
        <w:r>
          <w:rPr>
            <w:rStyle w:val="Hyperlink"/>
            <w:b/>
            <w:bCs/>
            <w:color w:val="0000EE"/>
            <w:u w:color="0000EE"/>
            <w:lang w:val="el" w:eastAsia="el"/>
          </w:rPr>
          <w:t>Τροποποίηση 4816/2021, Άρθρο 6</w:t>
        </w:r>
      </w:hyperlink>
      <w:r>
        <w:rPr>
          <w:b/>
          <w:bCs/>
          <w:lang w:val="el" w:eastAsia="el"/>
        </w:rPr>
        <w:t>; Προσθήκη 4734/2020, Άρθρο 30</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6" w:history="1">
        <w:r>
          <w:rPr>
            <w:rStyle w:val="Hyperlink"/>
            <w:b/>
            <w:bCs/>
            <w:color w:val="0000EE"/>
            <w:u w:color="0000EE"/>
            <w:lang w:val="el" w:eastAsia="el"/>
          </w:rPr>
          <w:t>Τροποποίηση 4816/2021, Άρθρο 6</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7" w:history="1">
        <w:r>
          <w:rPr>
            <w:rStyle w:val="Hyperlink"/>
            <w:b/>
            <w:bCs/>
            <w:color w:val="0000EE"/>
            <w:u w:color="0000EE"/>
            <w:lang w:val="el" w:eastAsia="el"/>
          </w:rPr>
          <w:t>Τροποποίηση 4816/2021, Άρθρο 7</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7" w:history="1">
        <w:r>
          <w:rPr>
            <w:rStyle w:val="Hyperlink"/>
            <w:b/>
            <w:bCs/>
            <w:color w:val="0000EE"/>
            <w:u w:color="0000EE"/>
            <w:lang w:val="el" w:eastAsia="el"/>
          </w:rPr>
          <w:t>Τροποποίηση 4816/2021, Άρθρο 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 w:history="1">
        <w:r>
          <w:rPr>
            <w:rStyle w:val="Hyperlink"/>
            <w:b/>
            <w:bCs/>
            <w:color w:val="0000EE"/>
            <w:u w:color="0000EE"/>
            <w:lang w:val="el" w:eastAsia="el"/>
          </w:rPr>
          <w:t>Τροποποίηση 4816/2021, Άρθρο 7</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 w:history="1">
        <w:r>
          <w:rPr>
            <w:rStyle w:val="Hyperlink"/>
            <w:b/>
            <w:bCs/>
            <w:color w:val="0000EE"/>
            <w:u w:color="0000EE"/>
            <w:lang w:val="el" w:eastAsia="el"/>
          </w:rPr>
          <w:t>Τροποποίηση 4816/2021, Άρθρο 7</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4816/2021, Άρθρο 7</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7" w:history="1">
        <w:r>
          <w:rPr>
            <w:rStyle w:val="Hyperlink"/>
            <w:b/>
            <w:bCs/>
            <w:color w:val="0000EE"/>
            <w:u w:color="0000EE"/>
            <w:lang w:val="el" w:eastAsia="el"/>
          </w:rPr>
          <w:t>Προσθήκη 4816/2021, Άρθρο 7</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 w:history="1">
        <w:r>
          <w:rPr>
            <w:rStyle w:val="Hyperlink"/>
            <w:b/>
            <w:bCs/>
            <w:color w:val="0000EE"/>
            <w:u w:color="0000EE"/>
            <w:lang w:val="el" w:eastAsia="el"/>
          </w:rPr>
          <w:t>Τροποποίηση 4816/2021,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 w:history="1">
        <w:r>
          <w:rPr>
            <w:rStyle w:val="Hyperlink"/>
            <w:b/>
            <w:bCs/>
            <w:color w:val="0000EE"/>
            <w:u w:color="0000EE"/>
            <w:lang w:val="el" w:eastAsia="el"/>
          </w:rPr>
          <w:t>Τροποποίηση 4816/2021,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 w:history="1">
        <w:r>
          <w:rPr>
            <w:rStyle w:val="Hyperlink"/>
            <w:b/>
            <w:bCs/>
            <w:color w:val="0000EE"/>
            <w:u w:color="0000EE"/>
            <w:lang w:val="el" w:eastAsia="el"/>
          </w:rPr>
          <w:t>Τροποποίηση 4816/2021,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 w:history="1">
        <w:r>
          <w:rPr>
            <w:rStyle w:val="Hyperlink"/>
            <w:b/>
            <w:bCs/>
            <w:color w:val="0000EE"/>
            <w:u w:color="0000EE"/>
            <w:lang w:val="el" w:eastAsia="el"/>
          </w:rPr>
          <w:t>Τροποποίηση 4816/2021,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 w:history="1">
        <w:r>
          <w:rPr>
            <w:rStyle w:val="Hyperlink"/>
            <w:b/>
            <w:bCs/>
            <w:color w:val="0000EE"/>
            <w:u w:color="0000EE"/>
            <w:lang w:val="el" w:eastAsia="el"/>
          </w:rPr>
          <w:t>Τροποποίηση 4816/2021,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 w:history="1">
        <w:r>
          <w:rPr>
            <w:rStyle w:val="Hyperlink"/>
            <w:b/>
            <w:bCs/>
            <w:color w:val="0000EE"/>
            <w:u w:color="0000EE"/>
            <w:lang w:val="el" w:eastAsia="el"/>
          </w:rPr>
          <w:t>Τροποποίηση 4816/2021,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9" w:history="1">
        <w:r>
          <w:rPr>
            <w:rStyle w:val="Hyperlink"/>
            <w:b/>
            <w:bCs/>
            <w:color w:val="0000EE"/>
            <w:u w:color="0000EE"/>
            <w:lang w:val="el" w:eastAsia="el"/>
          </w:rPr>
          <w:t>Τροποποίηση 4816/2021, Άρθρο 9</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9" w:history="1">
        <w:r>
          <w:rPr>
            <w:rStyle w:val="Hyperlink"/>
            <w:b/>
            <w:bCs/>
            <w:color w:val="0000EE"/>
            <w:u w:color="0000EE"/>
            <w:lang w:val="el" w:eastAsia="el"/>
          </w:rPr>
          <w:t>Τροποποίηση 4816/2021, Άρθρο 9</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9" w:history="1">
        <w:r>
          <w:rPr>
            <w:rStyle w:val="Hyperlink"/>
            <w:b/>
            <w:bCs/>
            <w:color w:val="0000EE"/>
            <w:u w:color="0000EE"/>
            <w:lang w:val="el" w:eastAsia="el"/>
          </w:rPr>
          <w:t>Τροποποίηση 4816/2021, Άρθρο 9</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9" w:history="1">
        <w:r>
          <w:rPr>
            <w:rStyle w:val="Hyperlink"/>
            <w:b/>
            <w:bCs/>
            <w:color w:val="0000EE"/>
            <w:u w:color="0000EE"/>
            <w:lang w:val="el" w:eastAsia="el"/>
          </w:rPr>
          <w:t>Τροποποίηση 4816/2021, Άρθρο 9</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9" w:history="1">
        <w:r>
          <w:rPr>
            <w:rStyle w:val="Hyperlink"/>
            <w:b/>
            <w:bCs/>
            <w:color w:val="0000EE"/>
            <w:u w:color="0000EE"/>
            <w:lang w:val="el" w:eastAsia="el"/>
          </w:rPr>
          <w:t>Τροποποίηση 4816/2021, Άρθρο 9</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9" w:history="1">
        <w:r>
          <w:rPr>
            <w:rStyle w:val="Hyperlink"/>
            <w:b/>
            <w:bCs/>
            <w:color w:val="0000EE"/>
            <w:u w:color="0000EE"/>
            <w:lang w:val="el" w:eastAsia="el"/>
          </w:rPr>
          <w:t>Τροποποίηση 4816/2021, Άρθρο 9</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 w:history="1">
        <w:r>
          <w:rPr>
            <w:rStyle w:val="Hyperlink"/>
            <w:b/>
            <w:bCs/>
            <w:color w:val="0000EE"/>
            <w:u w:color="0000EE"/>
            <w:lang w:val="el" w:eastAsia="el"/>
          </w:rPr>
          <w:t>Τροποποίηση 4816/2021, Άρθρο 9</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0" w:anchor="art_9" w:history="1">
        <w:r>
          <w:rPr>
            <w:rStyle w:val="Hyperlink"/>
            <w:b/>
            <w:bCs/>
            <w:color w:val="0000EE"/>
            <w:u w:color="0000EE"/>
            <w:lang w:val="el" w:eastAsia="el"/>
          </w:rPr>
          <w:t>Τροποποίηση 4816/2021, Άρθρο 9</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2" w:anchor="art_9" w:history="1">
        <w:r>
          <w:rPr>
            <w:rStyle w:val="Hyperlink"/>
            <w:b/>
            <w:bCs/>
            <w:color w:val="0000EE"/>
            <w:u w:color="0000EE"/>
            <w:lang w:val="el" w:eastAsia="el"/>
          </w:rPr>
          <w:t>Προσθήκη 4816/2021, Άρθρο 9</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 w:history="1">
        <w:r>
          <w:rPr>
            <w:rStyle w:val="Hyperlink"/>
            <w:b/>
            <w:bCs/>
            <w:color w:val="0000EE"/>
            <w:u w:color="0000EE"/>
            <w:lang w:val="el" w:eastAsia="el"/>
          </w:rPr>
          <w:t>Προσθήκη 4816/2021, Άρθρο 9</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5" w:anchor="art_9" w:history="1">
        <w:r>
          <w:rPr>
            <w:rStyle w:val="Hyperlink"/>
            <w:b/>
            <w:bCs/>
            <w:color w:val="0000EE"/>
            <w:u w:color="0000EE"/>
            <w:lang w:val="el" w:eastAsia="el"/>
          </w:rPr>
          <w:t>Προσθήκη 4816/2021, Άρθρο 9</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9" w:history="1">
        <w:r>
          <w:rPr>
            <w:rStyle w:val="Hyperlink"/>
            <w:b/>
            <w:bCs/>
            <w:color w:val="0000EE"/>
            <w:u w:color="0000EE"/>
            <w:lang w:val="el" w:eastAsia="el"/>
          </w:rPr>
          <w:t>Προσθήκη 4816/2021, Άρθρο 9</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9" w:history="1">
        <w:r>
          <w:rPr>
            <w:rStyle w:val="Hyperlink"/>
            <w:b/>
            <w:bCs/>
            <w:color w:val="0000EE"/>
            <w:u w:color="0000EE"/>
            <w:lang w:val="el" w:eastAsia="el"/>
          </w:rPr>
          <w:t>Προσθήκη 4816/2021, Άρθρο 9</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 w:history="1">
        <w:r>
          <w:rPr>
            <w:rStyle w:val="Hyperlink"/>
            <w:b/>
            <w:bCs/>
            <w:color w:val="0000EE"/>
            <w:u w:color="0000EE"/>
            <w:lang w:val="el" w:eastAsia="el"/>
          </w:rPr>
          <w:t>Προσθήκη 4816/2021, Άρθρο 9</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 w:history="1">
        <w:r>
          <w:rPr>
            <w:rStyle w:val="Hyperlink"/>
            <w:b/>
            <w:bCs/>
            <w:color w:val="0000EE"/>
            <w:u w:color="0000EE"/>
            <w:lang w:val="el" w:eastAsia="el"/>
          </w:rPr>
          <w:t>Τροποποίηση 4816/2021, Άρθρο 10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33" w:history="1">
        <w:r>
          <w:rPr>
            <w:rStyle w:val="Hyperlink"/>
            <w:b/>
            <w:bCs/>
            <w:color w:val="0000EE"/>
            <w:u w:color="0000EE"/>
            <w:lang w:val="el" w:eastAsia="el"/>
          </w:rPr>
          <w:t>Τροποποίηση 5090/2024, Άρθρο 133</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0" w:history="1">
        <w:r>
          <w:rPr>
            <w:rStyle w:val="Hyperlink"/>
            <w:b/>
            <w:bCs/>
            <w:color w:val="0000EE"/>
            <w:u w:color="0000EE"/>
            <w:lang w:val="el" w:eastAsia="el"/>
          </w:rPr>
          <w:t>Τροποποίηση 4816/2021, Άρθρο 10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33" w:history="1">
        <w:r>
          <w:rPr>
            <w:rStyle w:val="Hyperlink"/>
            <w:b/>
            <w:bCs/>
            <w:color w:val="0000EE"/>
            <w:u w:color="0000EE"/>
            <w:lang w:val="el" w:eastAsia="el"/>
          </w:rPr>
          <w:t>Τροποποίηση 5090/2024, Άρθρο 133</w:t>
        </w:r>
      </w:hyperlink>
      <w:r>
        <w:rPr>
          <w:b/>
          <w:bCs/>
          <w:lang w:val="el" w:eastAsia="el"/>
        </w:rPr>
        <w:t xml:space="preserve">; </w:t>
      </w:r>
      <w:hyperlink r:id="rId193" w:anchor="art_10" w:history="1">
        <w:r>
          <w:rPr>
            <w:rStyle w:val="Hyperlink"/>
            <w:b/>
            <w:bCs/>
            <w:color w:val="0000EE"/>
            <w:u w:color="0000EE"/>
            <w:lang w:val="el" w:eastAsia="el"/>
          </w:rPr>
          <w:t>Τροποποίηση 4816/2021, Άρθρο 10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33" w:history="1">
        <w:r>
          <w:rPr>
            <w:rStyle w:val="Hyperlink"/>
            <w:b/>
            <w:bCs/>
            <w:color w:val="0000EE"/>
            <w:u w:color="0000EE"/>
            <w:lang w:val="el" w:eastAsia="el"/>
          </w:rPr>
          <w:t>Τροποποίηση 5090/2024, Άρθρο 133</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0" w:history="1">
        <w:r>
          <w:rPr>
            <w:rStyle w:val="Hyperlink"/>
            <w:b/>
            <w:bCs/>
            <w:color w:val="0000EE"/>
            <w:u w:color="0000EE"/>
            <w:lang w:val="el" w:eastAsia="el"/>
          </w:rPr>
          <w:t>Τροποποίηση 4816/2021, Άρθρο 10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5072/2023, Άρθρο 48</w:t>
      </w:r>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36" w:history="1">
        <w:r>
          <w:rPr>
            <w:rStyle w:val="Hyperlink"/>
            <w:b/>
            <w:bCs/>
            <w:color w:val="0000EE"/>
            <w:u w:color="0000EE"/>
            <w:lang w:val="el" w:eastAsia="el"/>
          </w:rPr>
          <w:t>Τροποποίηση 4798/2021, Άρθρο 236</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1" w:history="1">
        <w:r>
          <w:rPr>
            <w:rStyle w:val="Hyperlink"/>
            <w:b/>
            <w:bCs/>
            <w:color w:val="0000EE"/>
            <w:u w:color="0000EE"/>
            <w:lang w:val="el" w:eastAsia="el"/>
          </w:rPr>
          <w:t>Τροποποίηση 5079/2023, Άρθρο 51</w:t>
        </w:r>
      </w:hyperlink>
      <w:r>
        <w:rPr>
          <w:b/>
          <w:bCs/>
          <w:lang w:val="el" w:eastAsia="el"/>
        </w:rPr>
        <w:t xml:space="preserve">; </w:t>
      </w:r>
      <w:hyperlink r:id="rId198" w:anchor="art_63" w:history="1">
        <w:r>
          <w:rPr>
            <w:rStyle w:val="Hyperlink"/>
            <w:b/>
            <w:bCs/>
            <w:color w:val="0000EE"/>
            <w:u w:color="0000EE"/>
            <w:lang w:val="el" w:eastAsia="el"/>
          </w:rPr>
          <w:t>Τροποποίηση 4646/2019, Άρθρο 63</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03" w:history="1">
        <w:r>
          <w:rPr>
            <w:rStyle w:val="Hyperlink"/>
            <w:b/>
            <w:bCs/>
            <w:color w:val="0000EE"/>
            <w:u w:color="0000EE"/>
            <w:lang w:val="el" w:eastAsia="el"/>
          </w:rPr>
          <w:t>Αφαίρεση 5162/2024, Άρθρο 103</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Τροποποίηση 4816/2021, Άρθρο 11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3" w:history="1">
        <w:r>
          <w:rPr>
            <w:rStyle w:val="Hyperlink"/>
            <w:b/>
            <w:bCs/>
            <w:color w:val="0000EE"/>
            <w:u w:color="0000EE"/>
            <w:lang w:val="el" w:eastAsia="el"/>
          </w:rPr>
          <w:t>Αφαίρεση 5162/2024, Άρθρο 103</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3" w:history="1">
        <w:r>
          <w:rPr>
            <w:rStyle w:val="Hyperlink"/>
            <w:b/>
            <w:bCs/>
            <w:color w:val="0000EE"/>
            <w:u w:color="0000EE"/>
            <w:lang w:val="el" w:eastAsia="el"/>
          </w:rPr>
          <w:t>Αφαίρεση 5162/2024, Άρθρο 103</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3" w:history="1">
        <w:r>
          <w:rPr>
            <w:rStyle w:val="Hyperlink"/>
            <w:b/>
            <w:bCs/>
            <w:color w:val="0000EE"/>
            <w:u w:color="0000EE"/>
            <w:lang w:val="el" w:eastAsia="el"/>
          </w:rPr>
          <w:t>Τροποποίηση 5162/2024, Άρθρο 103</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3" w:history="1">
        <w:r>
          <w:rPr>
            <w:rStyle w:val="Hyperlink"/>
            <w:b/>
            <w:bCs/>
            <w:color w:val="0000EE"/>
            <w:u w:color="0000EE"/>
            <w:lang w:val="el" w:eastAsia="el"/>
          </w:rPr>
          <w:t>Προσθήκη 5162/2024, Άρθρο 103</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63" w:history="1">
        <w:r>
          <w:rPr>
            <w:rStyle w:val="Hyperlink"/>
            <w:b/>
            <w:bCs/>
            <w:color w:val="0000EE"/>
            <w:u w:color="0000EE"/>
            <w:lang w:val="el" w:eastAsia="el"/>
          </w:rPr>
          <w:t>Τροποποίηση 4646/2019, Άρθρο 63</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03" w:history="1">
        <w:r>
          <w:rPr>
            <w:rStyle w:val="Hyperlink"/>
            <w:b/>
            <w:bCs/>
            <w:color w:val="0000EE"/>
            <w:u w:color="0000EE"/>
            <w:lang w:val="el" w:eastAsia="el"/>
          </w:rPr>
          <w:t>Αφαίρεση 5162/2024, Άρθρο 103</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03" w:history="1">
        <w:r>
          <w:rPr>
            <w:rStyle w:val="Hyperlink"/>
            <w:b/>
            <w:bCs/>
            <w:color w:val="0000EE"/>
            <w:u w:color="0000EE"/>
            <w:lang w:val="el" w:eastAsia="el"/>
          </w:rPr>
          <w:t>Αφαίρεση 5162/2024, Άρθρο 103</w:t>
        </w:r>
      </w:hyperlink>
      <w:r>
        <w:rPr>
          <w:b/>
          <w:bCs/>
          <w:lang w:val="el" w:eastAsia="el"/>
        </w:rPr>
        <w:t xml:space="preserve">; </w:t>
      </w:r>
      <w:hyperlink r:id="rId208" w:anchor="art_63" w:history="1">
        <w:r>
          <w:rPr>
            <w:rStyle w:val="Hyperlink"/>
            <w:b/>
            <w:bCs/>
            <w:color w:val="0000EE"/>
            <w:u w:color="0000EE"/>
            <w:lang w:val="el" w:eastAsia="el"/>
          </w:rPr>
          <w:t>Προσθήκη 4646/2019, Άρθρο 63</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3" w:history="1">
        <w:r>
          <w:rPr>
            <w:rStyle w:val="Hyperlink"/>
            <w:b/>
            <w:bCs/>
            <w:color w:val="0000EE"/>
            <w:u w:color="0000EE"/>
            <w:lang w:val="el" w:eastAsia="el"/>
          </w:rPr>
          <w:t>Προσθήκη 5162/2024, Άρθρο 103</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03" w:history="1">
        <w:r>
          <w:rPr>
            <w:rStyle w:val="Hyperlink"/>
            <w:b/>
            <w:bCs/>
            <w:color w:val="0000EE"/>
            <w:u w:color="0000EE"/>
            <w:lang w:val="el" w:eastAsia="el"/>
          </w:rPr>
          <w:t>Προσθήκη 5162/2024, Άρθρο 103</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31</w:t>
      </w:r>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3" w:history="1">
        <w:r>
          <w:rPr>
            <w:rStyle w:val="Hyperlink"/>
            <w:b/>
            <w:bCs/>
            <w:color w:val="0000EE"/>
            <w:u w:color="0000EE"/>
            <w:lang w:val="el" w:eastAsia="el"/>
          </w:rPr>
          <w:t>Αφαίρεση 5162/2024, Άρθρο 113</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4" w:history="1">
        <w:r>
          <w:rPr>
            <w:rStyle w:val="Hyperlink"/>
            <w:b/>
            <w:bCs/>
            <w:color w:val="0000EE"/>
            <w:u w:color="0000EE"/>
            <w:lang w:val="el" w:eastAsia="el"/>
          </w:rPr>
          <w:t>Τροποποίηση 5162/2024,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04" w:history="1">
        <w:r>
          <w:rPr>
            <w:rStyle w:val="Hyperlink"/>
            <w:b/>
            <w:bCs/>
            <w:color w:val="0000EE"/>
            <w:u w:color="0000EE"/>
            <w:lang w:val="el" w:eastAsia="el"/>
          </w:rPr>
          <w:t>Τροποποίηση 5162/2024,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04" w:history="1">
        <w:r>
          <w:rPr>
            <w:rStyle w:val="Hyperlink"/>
            <w:b/>
            <w:bCs/>
            <w:color w:val="0000EE"/>
            <w:u w:color="0000EE"/>
            <w:lang w:val="el" w:eastAsia="el"/>
          </w:rPr>
          <w:t>Τροποποίηση 5162/2024,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04" w:history="1">
        <w:r>
          <w:rPr>
            <w:rStyle w:val="Hyperlink"/>
            <w:b/>
            <w:bCs/>
            <w:color w:val="0000EE"/>
            <w:u w:color="0000EE"/>
            <w:lang w:val="el" w:eastAsia="el"/>
          </w:rPr>
          <w:t>Τροποποίηση 5162/2024,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04" w:history="1">
        <w:r>
          <w:rPr>
            <w:rStyle w:val="Hyperlink"/>
            <w:b/>
            <w:bCs/>
            <w:color w:val="0000EE"/>
            <w:u w:color="0000EE"/>
            <w:lang w:val="el" w:eastAsia="el"/>
          </w:rPr>
          <w:t>Τροποποίηση 5162/2024,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04" w:history="1">
        <w:r>
          <w:rPr>
            <w:rStyle w:val="Hyperlink"/>
            <w:b/>
            <w:bCs/>
            <w:color w:val="0000EE"/>
            <w:u w:color="0000EE"/>
            <w:lang w:val="el" w:eastAsia="el"/>
          </w:rPr>
          <w:t>Τροποποίηση 5162/2024,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04" w:history="1">
        <w:r>
          <w:rPr>
            <w:rStyle w:val="Hyperlink"/>
            <w:b/>
            <w:bCs/>
            <w:color w:val="0000EE"/>
            <w:u w:color="0000EE"/>
            <w:lang w:val="el" w:eastAsia="el"/>
          </w:rPr>
          <w:t>Τροποποίηση 5162/2024,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04" w:history="1">
        <w:r>
          <w:rPr>
            <w:rStyle w:val="Hyperlink"/>
            <w:b/>
            <w:bCs/>
            <w:color w:val="0000EE"/>
            <w:u w:color="0000EE"/>
            <w:lang w:val="el" w:eastAsia="el"/>
          </w:rPr>
          <w:t>Τροποποίηση 5162/2024,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04" w:history="1">
        <w:r>
          <w:rPr>
            <w:rStyle w:val="Hyperlink"/>
            <w:b/>
            <w:bCs/>
            <w:color w:val="0000EE"/>
            <w:u w:color="0000EE"/>
            <w:lang w:val="el" w:eastAsia="el"/>
          </w:rPr>
          <w:t>Τροποποίηση 5162/2024,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4" w:history="1">
        <w:r>
          <w:rPr>
            <w:rStyle w:val="Hyperlink"/>
            <w:b/>
            <w:bCs/>
            <w:color w:val="0000EE"/>
            <w:u w:color="0000EE"/>
            <w:lang w:val="el" w:eastAsia="el"/>
          </w:rPr>
          <w:t>Τροποποίηση 5162/2024,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04" w:history="1">
        <w:r>
          <w:rPr>
            <w:rStyle w:val="Hyperlink"/>
            <w:b/>
            <w:bCs/>
            <w:color w:val="0000EE"/>
            <w:u w:color="0000EE"/>
            <w:lang w:val="el" w:eastAsia="el"/>
          </w:rPr>
          <w:t>Τροποποίηση 5162/2024,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04" w:history="1">
        <w:r>
          <w:rPr>
            <w:rStyle w:val="Hyperlink"/>
            <w:b/>
            <w:bCs/>
            <w:color w:val="0000EE"/>
            <w:u w:color="0000EE"/>
            <w:lang w:val="el" w:eastAsia="el"/>
          </w:rPr>
          <w:t>Τροποποίηση 5162/2024,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04" w:history="1">
        <w:r>
          <w:rPr>
            <w:rStyle w:val="Hyperlink"/>
            <w:b/>
            <w:bCs/>
            <w:color w:val="0000EE"/>
            <w:u w:color="0000EE"/>
            <w:lang w:val="el" w:eastAsia="el"/>
          </w:rPr>
          <w:t>Τροποποίηση 5162/2024,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04" w:history="1">
        <w:r>
          <w:rPr>
            <w:rStyle w:val="Hyperlink"/>
            <w:b/>
            <w:bCs/>
            <w:color w:val="0000EE"/>
            <w:u w:color="0000EE"/>
            <w:lang w:val="el" w:eastAsia="el"/>
          </w:rPr>
          <w:t>Τροποποίηση 5162/2024,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4" w:history="1">
        <w:r>
          <w:rPr>
            <w:rStyle w:val="Hyperlink"/>
            <w:b/>
            <w:bCs/>
            <w:color w:val="0000EE"/>
            <w:u w:color="0000EE"/>
            <w:lang w:val="el" w:eastAsia="el"/>
          </w:rPr>
          <w:t>Τροποποίηση 5162/2024,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04" w:history="1">
        <w:r>
          <w:rPr>
            <w:rStyle w:val="Hyperlink"/>
            <w:b/>
            <w:bCs/>
            <w:color w:val="0000EE"/>
            <w:u w:color="0000EE"/>
            <w:lang w:val="el" w:eastAsia="el"/>
          </w:rPr>
          <w:t>Τροποποίηση 5162/2024,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04" w:history="1">
        <w:r>
          <w:rPr>
            <w:rStyle w:val="Hyperlink"/>
            <w:b/>
            <w:bCs/>
            <w:color w:val="0000EE"/>
            <w:u w:color="0000EE"/>
            <w:lang w:val="el" w:eastAsia="el"/>
          </w:rPr>
          <w:t>Τροποποίηση 5162/2024,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04" w:history="1">
        <w:r>
          <w:rPr>
            <w:rStyle w:val="Hyperlink"/>
            <w:b/>
            <w:bCs/>
            <w:color w:val="0000EE"/>
            <w:u w:color="0000EE"/>
            <w:lang w:val="el" w:eastAsia="el"/>
          </w:rPr>
          <w:t>Τροποποίηση 5162/2024,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04" w:history="1">
        <w:r>
          <w:rPr>
            <w:rStyle w:val="Hyperlink"/>
            <w:b/>
            <w:bCs/>
            <w:color w:val="0000EE"/>
            <w:u w:color="0000EE"/>
            <w:lang w:val="el" w:eastAsia="el"/>
          </w:rPr>
          <w:t>Τροποποίηση 5162/2024,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04" w:history="1">
        <w:r>
          <w:rPr>
            <w:rStyle w:val="Hyperlink"/>
            <w:b/>
            <w:bCs/>
            <w:color w:val="0000EE"/>
            <w:u w:color="0000EE"/>
            <w:lang w:val="el" w:eastAsia="el"/>
          </w:rPr>
          <w:t>Τροποποίηση 5162/2024,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04" w:history="1">
        <w:r>
          <w:rPr>
            <w:rStyle w:val="Hyperlink"/>
            <w:b/>
            <w:bCs/>
            <w:color w:val="0000EE"/>
            <w:u w:color="0000EE"/>
            <w:lang w:val="el" w:eastAsia="el"/>
          </w:rPr>
          <w:t>Τροποποίηση 5162/2024,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04" w:history="1">
        <w:r>
          <w:rPr>
            <w:rStyle w:val="Hyperlink"/>
            <w:b/>
            <w:bCs/>
            <w:color w:val="0000EE"/>
            <w:u w:color="0000EE"/>
            <w:lang w:val="el" w:eastAsia="el"/>
          </w:rPr>
          <w:t>Τροποποίηση 5162/2024,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04" w:history="1">
        <w:r>
          <w:rPr>
            <w:rStyle w:val="Hyperlink"/>
            <w:b/>
            <w:bCs/>
            <w:color w:val="0000EE"/>
            <w:u w:color="0000EE"/>
            <w:lang w:val="el" w:eastAsia="el"/>
          </w:rPr>
          <w:t>Τροποποίηση 5162/2024,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04" w:history="1">
        <w:r>
          <w:rPr>
            <w:rStyle w:val="Hyperlink"/>
            <w:b/>
            <w:bCs/>
            <w:color w:val="0000EE"/>
            <w:u w:color="0000EE"/>
            <w:lang w:val="el" w:eastAsia="el"/>
          </w:rPr>
          <w:t>Τροποποίηση 5162/2024,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04" w:history="1">
        <w:r>
          <w:rPr>
            <w:rStyle w:val="Hyperlink"/>
            <w:b/>
            <w:bCs/>
            <w:color w:val="0000EE"/>
            <w:u w:color="0000EE"/>
            <w:lang w:val="el" w:eastAsia="el"/>
          </w:rPr>
          <w:t>Τροποποίηση 5162/2024,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04" w:history="1">
        <w:r>
          <w:rPr>
            <w:rStyle w:val="Hyperlink"/>
            <w:b/>
            <w:bCs/>
            <w:color w:val="0000EE"/>
            <w:u w:color="0000EE"/>
            <w:lang w:val="el" w:eastAsia="el"/>
          </w:rPr>
          <w:t>Τροποποίηση 5162/2024,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05" w:history="1">
        <w:r>
          <w:rPr>
            <w:rStyle w:val="Hyperlink"/>
            <w:b/>
            <w:bCs/>
            <w:color w:val="0000EE"/>
            <w:u w:color="0000EE"/>
            <w:lang w:val="el" w:eastAsia="el"/>
          </w:rPr>
          <w:t>Προσθήκη 5162/2024, Άρθρο 105</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05" w:history="1">
        <w:r>
          <w:rPr>
            <w:rStyle w:val="Hyperlink"/>
            <w:b/>
            <w:bCs/>
            <w:color w:val="0000EE"/>
            <w:u w:color="0000EE"/>
            <w:lang w:val="el" w:eastAsia="el"/>
          </w:rPr>
          <w:t>Προσθήκη 5162/2024, Άρθρο 105</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05" w:history="1">
        <w:r>
          <w:rPr>
            <w:rStyle w:val="Hyperlink"/>
            <w:b/>
            <w:bCs/>
            <w:color w:val="0000EE"/>
            <w:u w:color="0000EE"/>
            <w:lang w:val="el" w:eastAsia="el"/>
          </w:rPr>
          <w:t>Προσθήκη 5162/2024, Άρθρο 105</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05" w:history="1">
        <w:r>
          <w:rPr>
            <w:rStyle w:val="Hyperlink"/>
            <w:b/>
            <w:bCs/>
            <w:color w:val="0000EE"/>
            <w:u w:color="0000EE"/>
            <w:lang w:val="el" w:eastAsia="el"/>
          </w:rPr>
          <w:t>Προσθήκη 5162/2024, Άρθρο 105</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05" w:history="1">
        <w:r>
          <w:rPr>
            <w:rStyle w:val="Hyperlink"/>
            <w:b/>
            <w:bCs/>
            <w:color w:val="0000EE"/>
            <w:u w:color="0000EE"/>
            <w:lang w:val="el" w:eastAsia="el"/>
          </w:rPr>
          <w:t>Προσθήκη 5162/2024, Άρθρο 105</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05" w:history="1">
        <w:r>
          <w:rPr>
            <w:rStyle w:val="Hyperlink"/>
            <w:b/>
            <w:bCs/>
            <w:color w:val="0000EE"/>
            <w:u w:color="0000EE"/>
            <w:lang w:val="el" w:eastAsia="el"/>
          </w:rPr>
          <w:t>Προσθήκη 5162/2024, Άρθρο 105</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05" w:history="1">
        <w:r>
          <w:rPr>
            <w:rStyle w:val="Hyperlink"/>
            <w:b/>
            <w:bCs/>
            <w:color w:val="0000EE"/>
            <w:u w:color="0000EE"/>
            <w:lang w:val="el" w:eastAsia="el"/>
          </w:rPr>
          <w:t>Προσθήκη 5162/2024, Άρθρο 105</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5259/2025, Άρθρο 157</w:t>
      </w:r>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05" w:history="1">
        <w:r>
          <w:rPr>
            <w:rStyle w:val="Hyperlink"/>
            <w:b/>
            <w:bCs/>
            <w:color w:val="0000EE"/>
            <w:u w:color="0000EE"/>
            <w:lang w:val="el" w:eastAsia="el"/>
          </w:rPr>
          <w:t>Προσθήκη 5162/2024, Άρθρο 105</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05" w:history="1">
        <w:r>
          <w:rPr>
            <w:rStyle w:val="Hyperlink"/>
            <w:b/>
            <w:bCs/>
            <w:color w:val="0000EE"/>
            <w:u w:color="0000EE"/>
            <w:lang w:val="el" w:eastAsia="el"/>
          </w:rPr>
          <w:t>Προσθήκη 5162/2024, Άρθρο 105</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6" w:history="1">
        <w:r>
          <w:rPr>
            <w:rStyle w:val="Hyperlink"/>
            <w:b/>
            <w:bCs/>
            <w:color w:val="0000EE"/>
            <w:u w:color="0000EE"/>
            <w:lang w:val="el" w:eastAsia="el"/>
          </w:rPr>
          <w:t>Προσθήκη 5162/2024, Άρθρο 106</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06" w:history="1">
        <w:r>
          <w:rPr>
            <w:rStyle w:val="Hyperlink"/>
            <w:b/>
            <w:bCs/>
            <w:color w:val="0000EE"/>
            <w:u w:color="0000EE"/>
            <w:lang w:val="el" w:eastAsia="el"/>
          </w:rPr>
          <w:t>Προσθήκη 5162/2024, Άρθρο 106</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06" w:history="1">
        <w:r>
          <w:rPr>
            <w:rStyle w:val="Hyperlink"/>
            <w:b/>
            <w:bCs/>
            <w:color w:val="0000EE"/>
            <w:u w:color="0000EE"/>
            <w:lang w:val="el" w:eastAsia="el"/>
          </w:rPr>
          <w:t>Προσθήκη 5162/2024, Άρθρο 106</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06" w:history="1">
        <w:r>
          <w:rPr>
            <w:rStyle w:val="Hyperlink"/>
            <w:b/>
            <w:bCs/>
            <w:color w:val="0000EE"/>
            <w:u w:color="0000EE"/>
            <w:lang w:val="el" w:eastAsia="el"/>
          </w:rPr>
          <w:t>Προσθήκη 5162/2024, Άρθρο 106</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06" w:history="1">
        <w:r>
          <w:rPr>
            <w:rStyle w:val="Hyperlink"/>
            <w:b/>
            <w:bCs/>
            <w:color w:val="0000EE"/>
            <w:u w:color="0000EE"/>
            <w:lang w:val="el" w:eastAsia="el"/>
          </w:rPr>
          <w:t>Προσθήκη 5162/2024, Άρθρο 106</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6" w:history="1">
        <w:r>
          <w:rPr>
            <w:rStyle w:val="Hyperlink"/>
            <w:b/>
            <w:bCs/>
            <w:color w:val="0000EE"/>
            <w:u w:color="0000EE"/>
            <w:lang w:val="el" w:eastAsia="el"/>
          </w:rPr>
          <w:t>Προσθήκη 5162/2024, Άρθρο 106</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6" w:history="1">
        <w:r>
          <w:rPr>
            <w:rStyle w:val="Hyperlink"/>
            <w:b/>
            <w:bCs/>
            <w:color w:val="0000EE"/>
            <w:u w:color="0000EE"/>
            <w:lang w:val="el" w:eastAsia="el"/>
          </w:rPr>
          <w:t>Προσθήκη 5162/2024, Άρθρο 106</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6" w:history="1">
        <w:r>
          <w:rPr>
            <w:rStyle w:val="Hyperlink"/>
            <w:b/>
            <w:bCs/>
            <w:color w:val="0000EE"/>
            <w:u w:color="0000EE"/>
            <w:lang w:val="el" w:eastAsia="el"/>
          </w:rPr>
          <w:t>Προσθήκη 5162/2024, Άρθρο 106</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06" w:history="1">
        <w:r>
          <w:rPr>
            <w:rStyle w:val="Hyperlink"/>
            <w:b/>
            <w:bCs/>
            <w:color w:val="0000EE"/>
            <w:u w:color="0000EE"/>
            <w:lang w:val="el" w:eastAsia="el"/>
          </w:rPr>
          <w:t>Προσθήκη 5162/2024, Άρθρο 106</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06" w:history="1">
        <w:r>
          <w:rPr>
            <w:rStyle w:val="Hyperlink"/>
            <w:b/>
            <w:bCs/>
            <w:color w:val="0000EE"/>
            <w:u w:color="0000EE"/>
            <w:lang w:val="el" w:eastAsia="el"/>
          </w:rPr>
          <w:t>Προσθήκη 5162/2024, Άρθρο 106</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06" w:history="1">
        <w:r>
          <w:rPr>
            <w:rStyle w:val="Hyperlink"/>
            <w:b/>
            <w:bCs/>
            <w:color w:val="0000EE"/>
            <w:u w:color="0000EE"/>
            <w:lang w:val="el" w:eastAsia="el"/>
          </w:rPr>
          <w:t>Προσθήκη 5162/2024, Άρθρο 106</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06" w:history="1">
        <w:r>
          <w:rPr>
            <w:rStyle w:val="Hyperlink"/>
            <w:b/>
            <w:bCs/>
            <w:color w:val="0000EE"/>
            <w:u w:color="0000EE"/>
            <w:lang w:val="el" w:eastAsia="el"/>
          </w:rPr>
          <w:t>Προσθήκη 5162/2024, Άρθρο 106</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06" w:history="1">
        <w:r>
          <w:rPr>
            <w:rStyle w:val="Hyperlink"/>
            <w:b/>
            <w:bCs/>
            <w:color w:val="0000EE"/>
            <w:u w:color="0000EE"/>
            <w:lang w:val="el" w:eastAsia="el"/>
          </w:rPr>
          <w:t>Προσθήκη 5162/2024, Άρθρο 106</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06" w:history="1">
        <w:r>
          <w:rPr>
            <w:rStyle w:val="Hyperlink"/>
            <w:b/>
            <w:bCs/>
            <w:color w:val="0000EE"/>
            <w:u w:color="0000EE"/>
            <w:lang w:val="el" w:eastAsia="el"/>
          </w:rPr>
          <w:t>Προσθήκη 5162/2024, Άρθρο 106</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07" w:history="1">
        <w:r>
          <w:rPr>
            <w:rStyle w:val="Hyperlink"/>
            <w:b/>
            <w:bCs/>
            <w:color w:val="0000EE"/>
            <w:u w:color="0000EE"/>
            <w:lang w:val="el" w:eastAsia="el"/>
          </w:rPr>
          <w:t>Προσθήκη 5162/2024, Άρθρο 107</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07" w:history="1">
        <w:r>
          <w:rPr>
            <w:rStyle w:val="Hyperlink"/>
            <w:b/>
            <w:bCs/>
            <w:color w:val="0000EE"/>
            <w:u w:color="0000EE"/>
            <w:lang w:val="el" w:eastAsia="el"/>
          </w:rPr>
          <w:t>Προσθήκη 5162/2024, Άρθρο 107</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5259/2025, Άρθρο 158; </w:t>
      </w:r>
      <w:hyperlink r:id="rId263" w:anchor="art_107" w:history="1">
        <w:r>
          <w:rPr>
            <w:rStyle w:val="Hyperlink"/>
            <w:b/>
            <w:bCs/>
            <w:color w:val="0000EE"/>
            <w:u w:color="0000EE"/>
            <w:lang w:val="el" w:eastAsia="el"/>
          </w:rPr>
          <w:t>Προσθήκη 5162/2024, Άρθρο 107</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5259/2025, Άρθρο 158; </w:t>
      </w:r>
      <w:hyperlink r:id="rId264" w:anchor="art_107" w:history="1">
        <w:r>
          <w:rPr>
            <w:rStyle w:val="Hyperlink"/>
            <w:b/>
            <w:bCs/>
            <w:color w:val="0000EE"/>
            <w:u w:color="0000EE"/>
            <w:lang w:val="el" w:eastAsia="el"/>
          </w:rPr>
          <w:t>Προσθήκη 5162/2024, Άρθρο 107</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07" w:history="1">
        <w:r>
          <w:rPr>
            <w:rStyle w:val="Hyperlink"/>
            <w:b/>
            <w:bCs/>
            <w:color w:val="0000EE"/>
            <w:u w:color="0000EE"/>
            <w:lang w:val="el" w:eastAsia="el"/>
          </w:rPr>
          <w:t>Προσθήκη 5162/2024, Άρθρο 107</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07" w:history="1">
        <w:r>
          <w:rPr>
            <w:rStyle w:val="Hyperlink"/>
            <w:b/>
            <w:bCs/>
            <w:color w:val="0000EE"/>
            <w:u w:color="0000EE"/>
            <w:lang w:val="el" w:eastAsia="el"/>
          </w:rPr>
          <w:t>Προσθήκη 5162/2024, Άρθρο 107</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 w:history="1">
        <w:r>
          <w:rPr>
            <w:rStyle w:val="Hyperlink"/>
            <w:b/>
            <w:bCs/>
            <w:color w:val="0000EE"/>
            <w:u w:color="0000EE"/>
            <w:lang w:val="el" w:eastAsia="el"/>
          </w:rPr>
          <w:t>Τροποποίηση 4664/2020, Άρθρο 2</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 w:history="1">
        <w:r>
          <w:rPr>
            <w:rStyle w:val="Hyperlink"/>
            <w:b/>
            <w:bCs/>
            <w:color w:val="0000EE"/>
            <w:u w:color="0000EE"/>
            <w:lang w:val="el" w:eastAsia="el"/>
          </w:rPr>
          <w:t>Τροποποίηση 4664/2020, Άρθρο 2</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 w:history="1">
        <w:r>
          <w:rPr>
            <w:rStyle w:val="Hyperlink"/>
            <w:b/>
            <w:bCs/>
            <w:color w:val="0000EE"/>
            <w:u w:color="0000EE"/>
            <w:lang w:val="el" w:eastAsia="el"/>
          </w:rPr>
          <w:t>Τροποποίηση 4664/2020, Άρθρο 2</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 w:history="1">
        <w:r>
          <w:rPr>
            <w:rStyle w:val="Hyperlink"/>
            <w:b/>
            <w:bCs/>
            <w:color w:val="0000EE"/>
            <w:u w:color="0000EE"/>
            <w:lang w:val="el" w:eastAsia="el"/>
          </w:rPr>
          <w:t>Τροποποίηση 4664/2020, Άρθρο 2</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 w:history="1">
        <w:r>
          <w:rPr>
            <w:rStyle w:val="Hyperlink"/>
            <w:b/>
            <w:bCs/>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2/06/16/4941" TargetMode="External" /><Relationship Id="rId101" Type="http://schemas.openxmlformats.org/officeDocument/2006/relationships/hyperlink" Target="http://data.aade.gr/eli/pri/law/2022/06/16/4941" TargetMode="External" /><Relationship Id="rId102" Type="http://schemas.openxmlformats.org/officeDocument/2006/relationships/hyperlink" Target="http://data.aade.gr/eli/pri/law/2022/06/16/4941" TargetMode="External" /><Relationship Id="rId103" Type="http://schemas.openxmlformats.org/officeDocument/2006/relationships/hyperlink" Target="http://data.aade.gr/eli/pri/law/2022/06/16/4941" TargetMode="External" /><Relationship Id="rId104" Type="http://schemas.openxmlformats.org/officeDocument/2006/relationships/hyperlink" Target="http://data.aade.gr/eli/pri/law/2022/06/16/4941" TargetMode="External" /><Relationship Id="rId105" Type="http://schemas.openxmlformats.org/officeDocument/2006/relationships/hyperlink" Target="http://data.aade.gr/eli/pri/law/2022/06/16/4941" TargetMode="External" /><Relationship Id="rId106" Type="http://schemas.openxmlformats.org/officeDocument/2006/relationships/hyperlink" Target="http://data.aade.gr/eli/pri/law/2022/06/16/4941" TargetMode="External" /><Relationship Id="rId107" Type="http://schemas.openxmlformats.org/officeDocument/2006/relationships/hyperlink" Target="http://data.aade.gr/eli/pri/law/2022/12/08/5000" TargetMode="External" /><Relationship Id="rId108" Type="http://schemas.openxmlformats.org/officeDocument/2006/relationships/hyperlink" Target="http://data.aade.gr/eli/pri/law/2022/06/16/4941" TargetMode="External" /><Relationship Id="rId109" Type="http://schemas.openxmlformats.org/officeDocument/2006/relationships/hyperlink" Target="http://data.aade.gr/eli/pri/law/2022/12/08/5000" TargetMode="External" /><Relationship Id="rId11" Type="http://schemas.openxmlformats.org/officeDocument/2006/relationships/hyperlink" Target="http://data.aade.gr/eli/pri/law/2025/04/11/5193" TargetMode="External" /><Relationship Id="rId110" Type="http://schemas.openxmlformats.org/officeDocument/2006/relationships/hyperlink" Target="http://data.aade.gr/eli/pri/law/2022/06/16/4941" TargetMode="External" /><Relationship Id="rId111" Type="http://schemas.openxmlformats.org/officeDocument/2006/relationships/hyperlink" Target="http://data.aade.gr/eli/pri/law/2022/12/08/5000" TargetMode="External" /><Relationship Id="rId112" Type="http://schemas.openxmlformats.org/officeDocument/2006/relationships/hyperlink" Target="http://data.aade.gr/eli/pri/law/2022/06/16/4941" TargetMode="External" /><Relationship Id="rId113" Type="http://schemas.openxmlformats.org/officeDocument/2006/relationships/hyperlink" Target="http://data.aade.gr/eli/pri/law/2022/12/08/5000" TargetMode="External" /><Relationship Id="rId114" Type="http://schemas.openxmlformats.org/officeDocument/2006/relationships/hyperlink" Target="http://data.aade.gr/eli/pri/law/2022/06/16/4941" TargetMode="External" /><Relationship Id="rId115" Type="http://schemas.openxmlformats.org/officeDocument/2006/relationships/hyperlink" Target="http://data.aade.gr/eli/pri/law/2022/12/08/5000" TargetMode="External" /><Relationship Id="rId116" Type="http://schemas.openxmlformats.org/officeDocument/2006/relationships/hyperlink" Target="http://data.aade.gr/eli/pri/law/2022/06/16/4941" TargetMode="External" /><Relationship Id="rId117" Type="http://schemas.openxmlformats.org/officeDocument/2006/relationships/hyperlink" Target="http://data.aade.gr/eli/pri/law/2025/04/11/5193" TargetMode="External" /><Relationship Id="rId118" Type="http://schemas.openxmlformats.org/officeDocument/2006/relationships/hyperlink" Target="http://data.aade.gr/eli/pri/law/2022/06/16/4941" TargetMode="External" /><Relationship Id="rId119" Type="http://schemas.openxmlformats.org/officeDocument/2006/relationships/hyperlink" Target="http://data.aade.gr/eli/pri/law/2025/04/11/5193" TargetMode="External" /><Relationship Id="rId12" Type="http://schemas.openxmlformats.org/officeDocument/2006/relationships/hyperlink" Target="http://data.aade.gr/eli/pri/law/2020/06/30/4701" TargetMode="External" /><Relationship Id="rId120" Type="http://schemas.openxmlformats.org/officeDocument/2006/relationships/hyperlink" Target="http://data.aade.gr/eli/pri/law/2025/04/11/5193" TargetMode="External" /><Relationship Id="rId121" Type="http://schemas.openxmlformats.org/officeDocument/2006/relationships/hyperlink" Target="http://data.aade.gr/eli/pri/law/2025/04/11/5193" TargetMode="External" /><Relationship Id="rId122" Type="http://schemas.openxmlformats.org/officeDocument/2006/relationships/hyperlink" Target="http://data.aade.gr/eli/pri/law/2025/04/11/5193" TargetMode="External" /><Relationship Id="rId123" Type="http://schemas.openxmlformats.org/officeDocument/2006/relationships/hyperlink" Target="http://data.aade.gr/eli/pri/law/2025/04/11/5193" TargetMode="External" /><Relationship Id="rId124" Type="http://schemas.openxmlformats.org/officeDocument/2006/relationships/hyperlink" Target="http://data.aade.gr/eli/pri/law/2025/04/11/5193" TargetMode="External" /><Relationship Id="rId125" Type="http://schemas.openxmlformats.org/officeDocument/2006/relationships/hyperlink" Target="http://data.aade.gr/eli/pri/law/2025/04/11/5193" TargetMode="External" /><Relationship Id="rId126" Type="http://schemas.openxmlformats.org/officeDocument/2006/relationships/hyperlink" Target="http://data.aade.gr/eli/pri/law/2025/04/11/5193" TargetMode="External" /><Relationship Id="rId127" Type="http://schemas.openxmlformats.org/officeDocument/2006/relationships/hyperlink" Target="http://data.aade.gr/eli/pri/law/2025/04/11/5193" TargetMode="External" /><Relationship Id="rId128" Type="http://schemas.openxmlformats.org/officeDocument/2006/relationships/hyperlink" Target="http://data.aade.gr/eli/pri/law/2025/04/11/5193" TargetMode="External" /><Relationship Id="rId129" Type="http://schemas.openxmlformats.org/officeDocument/2006/relationships/hyperlink" Target="http://data.aade.gr/eli/pri/law/2025/04/11/5193" TargetMode="External" /><Relationship Id="rId13" Type="http://schemas.openxmlformats.org/officeDocument/2006/relationships/hyperlink" Target="http://data.aade.gr/eli/pri/law/2025/04/11/5193" TargetMode="External" /><Relationship Id="rId130" Type="http://schemas.openxmlformats.org/officeDocument/2006/relationships/hyperlink" Target="http://data.aade.gr/eli/pri/law/2025/04/11/5193" TargetMode="External" /><Relationship Id="rId131" Type="http://schemas.openxmlformats.org/officeDocument/2006/relationships/hyperlink" Target="http://data.aade.gr/eli/pri/law/2025/04/11/5193" TargetMode="External" /><Relationship Id="rId132" Type="http://schemas.openxmlformats.org/officeDocument/2006/relationships/hyperlink" Target="http://data.aade.gr/eli/pri/law/2025/04/11/5193" TargetMode="External" /><Relationship Id="rId133" Type="http://schemas.openxmlformats.org/officeDocument/2006/relationships/hyperlink" Target="http://data.aade.gr/eli/pri/law/2025/04/11/5193" TargetMode="External" /><Relationship Id="rId134" Type="http://schemas.openxmlformats.org/officeDocument/2006/relationships/hyperlink" Target="http://data.aade.gr/eli/pri/law/2025/04/11/5193" TargetMode="External" /><Relationship Id="rId135" Type="http://schemas.openxmlformats.org/officeDocument/2006/relationships/hyperlink" Target="http://data.aade.gr/eli/pri/law/2025/04/11/5193" TargetMode="External" /><Relationship Id="rId136" Type="http://schemas.openxmlformats.org/officeDocument/2006/relationships/hyperlink" Target="http://data.aade.gr/eli/pri/law/2025/04/11/5193" TargetMode="External" /><Relationship Id="rId137" Type="http://schemas.openxmlformats.org/officeDocument/2006/relationships/hyperlink" Target="http://data.aade.gr/eli/pri/law/2025/04/11/5193" TargetMode="External" /><Relationship Id="rId138" Type="http://schemas.openxmlformats.org/officeDocument/2006/relationships/hyperlink" Target="http://data.aade.gr/eli/pri/law/2025/04/11/5193" TargetMode="External" /><Relationship Id="rId139" Type="http://schemas.openxmlformats.org/officeDocument/2006/relationships/hyperlink" Target="http://data.aade.gr/eli/pri/law/2025/04/11/5193" TargetMode="External" /><Relationship Id="rId14" Type="http://schemas.openxmlformats.org/officeDocument/2006/relationships/hyperlink" Target="http://data.aade.gr/eli/pri/law/2019/04/24/4607" TargetMode="External" /><Relationship Id="rId140" Type="http://schemas.openxmlformats.org/officeDocument/2006/relationships/hyperlink" Target="http://data.aade.gr/eli/pri/law/2023/04/08/5042" TargetMode="External" /><Relationship Id="rId141" Type="http://schemas.openxmlformats.org/officeDocument/2006/relationships/hyperlink" Target="http://data.aade.gr/eli/pri/law/2021/07/09/4816" TargetMode="External" /><Relationship Id="rId142" Type="http://schemas.openxmlformats.org/officeDocument/2006/relationships/hyperlink" Target="http://data.aade.gr/eli/pri/law/2021/07/09/4816" TargetMode="External" /><Relationship Id="rId143" Type="http://schemas.openxmlformats.org/officeDocument/2006/relationships/hyperlink" Target="http://data.aade.gr/eli/pri/law/2021/07/09/4816" TargetMode="External" /><Relationship Id="rId144" Type="http://schemas.openxmlformats.org/officeDocument/2006/relationships/hyperlink" Target="http://data.aade.gr/eli/pri/law/2021/07/09/4816" TargetMode="External" /><Relationship Id="rId145" Type="http://schemas.openxmlformats.org/officeDocument/2006/relationships/hyperlink" Target="http://data.aade.gr/eli/pri/law/2021/07/09/4816" TargetMode="External" /><Relationship Id="rId146" Type="http://schemas.openxmlformats.org/officeDocument/2006/relationships/hyperlink" Target="http://data.aade.gr/eli/pri/law/2023/04/03/5039" TargetMode="External" /><Relationship Id="rId147" Type="http://schemas.openxmlformats.org/officeDocument/2006/relationships/hyperlink" Target="http://data.aade.gr/eli/pri/law/2021/07/09/4816" TargetMode="External" /><Relationship Id="rId148" Type="http://schemas.openxmlformats.org/officeDocument/2006/relationships/hyperlink" Target="http://data.aade.gr/eli/pri/law/2021/07/09/4816" TargetMode="External" /><Relationship Id="rId149" Type="http://schemas.openxmlformats.org/officeDocument/2006/relationships/hyperlink" Target="http://data.aade.gr/eli/pri/law/2021/07/09/4816" TargetMode="External" /><Relationship Id="rId15" Type="http://schemas.openxmlformats.org/officeDocument/2006/relationships/hyperlink" Target="http://data.aade.gr/eli/pri/law/2025/04/11/5193" TargetMode="External" /><Relationship Id="rId150" Type="http://schemas.openxmlformats.org/officeDocument/2006/relationships/hyperlink" Target="http://data.aade.gr/eli/pri/law/2021/07/09/4816" TargetMode="External" /><Relationship Id="rId151" Type="http://schemas.openxmlformats.org/officeDocument/2006/relationships/hyperlink" Target="http://data.aade.gr/eli/pri/law/2021/07/09/4816" TargetMode="External" /><Relationship Id="rId152" Type="http://schemas.openxmlformats.org/officeDocument/2006/relationships/hyperlink" Target="http://data.aade.gr/eli/pri/law/2021/07/09/4816" TargetMode="External" /><Relationship Id="rId153" Type="http://schemas.openxmlformats.org/officeDocument/2006/relationships/hyperlink" Target="http://data.aade.gr/eli/pri/law/2021/07/09/4816" TargetMode="External" /><Relationship Id="rId154" Type="http://schemas.openxmlformats.org/officeDocument/2006/relationships/hyperlink" Target="http://data.aade.gr/eli/pri/law/2021/07/09/4816" TargetMode="External" /><Relationship Id="rId155" Type="http://schemas.openxmlformats.org/officeDocument/2006/relationships/hyperlink" Target="http://data.aade.gr/eli/pri/law/2021/07/09/4816" TargetMode="External" /><Relationship Id="rId156" Type="http://schemas.openxmlformats.org/officeDocument/2006/relationships/hyperlink" Target="http://data.aade.gr/eli/pri/law/2021/07/09/4816" TargetMode="External" /><Relationship Id="rId157" Type="http://schemas.openxmlformats.org/officeDocument/2006/relationships/hyperlink" Target="http://data.aade.gr/eli/pri/law/2021/07/09/4816" TargetMode="External" /><Relationship Id="rId158" Type="http://schemas.openxmlformats.org/officeDocument/2006/relationships/hyperlink" Target="http://data.aade.gr/eli/pri/law/2021/07/09/4816" TargetMode="External" /><Relationship Id="rId159" Type="http://schemas.openxmlformats.org/officeDocument/2006/relationships/hyperlink" Target="http://data.aade.gr/eli/pri/law/2021/07/09/4816" TargetMode="External" /><Relationship Id="rId16" Type="http://schemas.openxmlformats.org/officeDocument/2006/relationships/hyperlink" Target="http://data.aade.gr/eli/pri/law/2025/04/11/5193" TargetMode="External" /><Relationship Id="rId160" Type="http://schemas.openxmlformats.org/officeDocument/2006/relationships/hyperlink" Target="http://data.aade.gr/eli/pri/law/2021/07/09/4816" TargetMode="External" /><Relationship Id="rId161" Type="http://schemas.openxmlformats.org/officeDocument/2006/relationships/hyperlink" Target="http://data.aade.gr/eli/pri/law/2021/07/09/4816" TargetMode="External" /><Relationship Id="rId162" Type="http://schemas.openxmlformats.org/officeDocument/2006/relationships/hyperlink" Target="http://data.aade.gr/eli/pri/law/2021/07/09/4816" TargetMode="External" /><Relationship Id="rId163" Type="http://schemas.openxmlformats.org/officeDocument/2006/relationships/hyperlink" Target="http://data.aade.gr/eli/pri/law/2021/07/09/4816" TargetMode="External" /><Relationship Id="rId164" Type="http://schemas.openxmlformats.org/officeDocument/2006/relationships/hyperlink" Target="http://data.aade.gr/eli/pri/law/2021/07/09/4816" TargetMode="External" /><Relationship Id="rId165" Type="http://schemas.openxmlformats.org/officeDocument/2006/relationships/hyperlink" Target="http://data.aade.gr/eli/pri/law/2021/07/09/4816" TargetMode="External" /><Relationship Id="rId166" Type="http://schemas.openxmlformats.org/officeDocument/2006/relationships/hyperlink" Target="http://data.aade.gr/eli/pri/law/2021/07/09/4816" TargetMode="External" /><Relationship Id="rId167" Type="http://schemas.openxmlformats.org/officeDocument/2006/relationships/hyperlink" Target="http://data.aade.gr/eli/pri/law/2021/07/09/4816" TargetMode="External" /><Relationship Id="rId168" Type="http://schemas.openxmlformats.org/officeDocument/2006/relationships/hyperlink" Target="http://data.aade.gr/eli/pri/law/2021/07/09/4816" TargetMode="External" /><Relationship Id="rId169" Type="http://schemas.openxmlformats.org/officeDocument/2006/relationships/hyperlink" Target="http://data.aade.gr/eli/pri/law/2021/07/09/4816" TargetMode="External" /><Relationship Id="rId17" Type="http://schemas.openxmlformats.org/officeDocument/2006/relationships/hyperlink" Target="http://data.aade.gr/eli/pri/law/2025/04/11/5193" TargetMode="External" /><Relationship Id="rId170" Type="http://schemas.openxmlformats.org/officeDocument/2006/relationships/hyperlink" Target="http://data.aade.gr/eli/pri/law/2021/07/09/4816" TargetMode="External" /><Relationship Id="rId171" Type="http://schemas.openxmlformats.org/officeDocument/2006/relationships/hyperlink" Target="http://data.aade.gr/eli/pri/law/2021/07/09/4816" TargetMode="External" /><Relationship Id="rId172" Type="http://schemas.openxmlformats.org/officeDocument/2006/relationships/hyperlink" Target="http://data.aade.gr/eli/pri/law/2021/07/09/4816" TargetMode="External" /><Relationship Id="rId173" Type="http://schemas.openxmlformats.org/officeDocument/2006/relationships/hyperlink" Target="http://data.aade.gr/eli/pri/law/2021/07/09/4816" TargetMode="External" /><Relationship Id="rId174" Type="http://schemas.openxmlformats.org/officeDocument/2006/relationships/hyperlink" Target="http://data.aade.gr/eli/pri/law/2021/07/09/4816" TargetMode="External" /><Relationship Id="rId175" Type="http://schemas.openxmlformats.org/officeDocument/2006/relationships/hyperlink" Target="http://data.aade.gr/eli/pri/law/2021/07/09/4816" TargetMode="External" /><Relationship Id="rId176" Type="http://schemas.openxmlformats.org/officeDocument/2006/relationships/hyperlink" Target="http://data.aade.gr/eli/pri/law/2021/07/09/4816" TargetMode="External" /><Relationship Id="rId177" Type="http://schemas.openxmlformats.org/officeDocument/2006/relationships/hyperlink" Target="http://data.aade.gr/eli/pri/law/2021/07/09/4816" TargetMode="External" /><Relationship Id="rId178" Type="http://schemas.openxmlformats.org/officeDocument/2006/relationships/hyperlink" Target="http://data.aade.gr/eli/pri/law/2021/07/09/4816" TargetMode="External" /><Relationship Id="rId179" Type="http://schemas.openxmlformats.org/officeDocument/2006/relationships/hyperlink" Target="http://data.aade.gr/eli/pri/law/2021/11/12/4855" TargetMode="External" /><Relationship Id="rId18" Type="http://schemas.openxmlformats.org/officeDocument/2006/relationships/hyperlink" Target="http://data.aade.gr/eli/pri/law/2021/07/09/4816" TargetMode="External" /><Relationship Id="rId180" Type="http://schemas.openxmlformats.org/officeDocument/2006/relationships/hyperlink" Target="http://data.aade.gr/eli/pri/law/2021/07/09/4816" TargetMode="External" /><Relationship Id="rId181" Type="http://schemas.openxmlformats.org/officeDocument/2006/relationships/hyperlink" Target="http://data.aade.gr/eli/pri/law/2021/11/12/4855" TargetMode="External" /><Relationship Id="rId182" Type="http://schemas.openxmlformats.org/officeDocument/2006/relationships/hyperlink" Target="http://data.aade.gr/eli/pri/law/2021/07/09/4816" TargetMode="External" /><Relationship Id="rId183" Type="http://schemas.openxmlformats.org/officeDocument/2006/relationships/hyperlink" Target="http://data.aade.gr/eli/pri/law/2021/07/09/4816" TargetMode="External" /><Relationship Id="rId184" Type="http://schemas.openxmlformats.org/officeDocument/2006/relationships/hyperlink" Target="http://data.aade.gr/eli/pri/law/2021/11/12/4855" TargetMode="External" /><Relationship Id="rId185" Type="http://schemas.openxmlformats.org/officeDocument/2006/relationships/hyperlink" Target="http://data.aade.gr/eli/pri/law/2021/07/09/4816" TargetMode="External" /><Relationship Id="rId186" Type="http://schemas.openxmlformats.org/officeDocument/2006/relationships/hyperlink" Target="http://data.aade.gr/eli/pri/law/2021/07/09/4816" TargetMode="External" /><Relationship Id="rId187" Type="http://schemas.openxmlformats.org/officeDocument/2006/relationships/hyperlink" Target="http://data.aade.gr/eli/pri/law/2021/07/09/4816" TargetMode="External" /><Relationship Id="rId188" Type="http://schemas.openxmlformats.org/officeDocument/2006/relationships/hyperlink" Target="http://data.aade.gr/eli/pri/law/2021/07/09/4816" TargetMode="External" /><Relationship Id="rId189"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190" Type="http://schemas.openxmlformats.org/officeDocument/2006/relationships/hyperlink" Target="http://data.aade.gr/eli/pri/law/2024/02/23/5090" TargetMode="External" /><Relationship Id="rId191" Type="http://schemas.openxmlformats.org/officeDocument/2006/relationships/hyperlink" Target="http://data.aade.gr/eli/pri/law/2021/07/09/4816" TargetMode="External" /><Relationship Id="rId192" Type="http://schemas.openxmlformats.org/officeDocument/2006/relationships/hyperlink" Target="http://data.aade.gr/eli/pri/law/2024/02/23/5090" TargetMode="External" /><Relationship Id="rId193" Type="http://schemas.openxmlformats.org/officeDocument/2006/relationships/hyperlink" Target="http://data.aade.gr/eli/pri/law/2021/07/09/4816" TargetMode="External" /><Relationship Id="rId194" Type="http://schemas.openxmlformats.org/officeDocument/2006/relationships/hyperlink" Target="http://data.aade.gr/eli/pri/law/2024/02/23/5090" TargetMode="External" /><Relationship Id="rId195" Type="http://schemas.openxmlformats.org/officeDocument/2006/relationships/hyperlink" Target="http://data.aade.gr/eli/pri/law/2021/07/09/4816" TargetMode="External" /><Relationship Id="rId196" Type="http://schemas.openxmlformats.org/officeDocument/2006/relationships/hyperlink" Target="http://data.aade.gr/eli/pri/law/2021/04/24/4798" TargetMode="External" /><Relationship Id="rId197" Type="http://schemas.openxmlformats.org/officeDocument/2006/relationships/hyperlink" Target="http://data.aade.gr/eli/pri/law/2023/12/22/5079"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24/12/05/5162"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00" Type="http://schemas.openxmlformats.org/officeDocument/2006/relationships/hyperlink" Target="http://data.aade.gr/eli/pri/law/2021/07/09/4816" TargetMode="External" /><Relationship Id="rId201" Type="http://schemas.openxmlformats.org/officeDocument/2006/relationships/hyperlink" Target="http://data.aade.gr/eli/pri/law/2024/12/05/5162" TargetMode="External" /><Relationship Id="rId202" Type="http://schemas.openxmlformats.org/officeDocument/2006/relationships/hyperlink" Target="http://data.aade.gr/eli/pri/law/2024/12/05/5162" TargetMode="External" /><Relationship Id="rId203" Type="http://schemas.openxmlformats.org/officeDocument/2006/relationships/hyperlink" Target="http://data.aade.gr/eli/pri/law/2024/12/05/5162" TargetMode="External" /><Relationship Id="rId204" Type="http://schemas.openxmlformats.org/officeDocument/2006/relationships/hyperlink" Target="http://data.aade.gr/eli/pri/law/2024/12/05/5162"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24/12/05/5162" TargetMode="External" /><Relationship Id="rId207" Type="http://schemas.openxmlformats.org/officeDocument/2006/relationships/hyperlink" Target="http://data.aade.gr/eli/pri/law/2024/12/05/5162"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24/12/05/5162" TargetMode="External" /><Relationship Id="rId21" Type="http://schemas.openxmlformats.org/officeDocument/2006/relationships/hyperlink" Target="http://data.aade.gr/eli/pri/law/2021/07/09/4816" TargetMode="External" /><Relationship Id="rId210" Type="http://schemas.openxmlformats.org/officeDocument/2006/relationships/hyperlink" Target="http://data.aade.gr/eli/pri/law/2024/12/05/5162" TargetMode="External" /><Relationship Id="rId211" Type="http://schemas.openxmlformats.org/officeDocument/2006/relationships/hyperlink" Target="http://data.aade.gr/eli/pri/law/2024/12/05/5162" TargetMode="External" /><Relationship Id="rId212" Type="http://schemas.openxmlformats.org/officeDocument/2006/relationships/hyperlink" Target="http://data.aade.gr/eli/pri/law/2024/12/05/5162" TargetMode="External" /><Relationship Id="rId213" Type="http://schemas.openxmlformats.org/officeDocument/2006/relationships/hyperlink" Target="http://data.aade.gr/eli/pri/law/2024/12/05/5162" TargetMode="External" /><Relationship Id="rId214" Type="http://schemas.openxmlformats.org/officeDocument/2006/relationships/hyperlink" Target="http://data.aade.gr/eli/pri/law/2024/12/05/5162" TargetMode="External" /><Relationship Id="rId215" Type="http://schemas.openxmlformats.org/officeDocument/2006/relationships/hyperlink" Target="http://data.aade.gr/eli/pri/law/2024/12/05/5162" TargetMode="External" /><Relationship Id="rId216" Type="http://schemas.openxmlformats.org/officeDocument/2006/relationships/hyperlink" Target="http://data.aade.gr/eli/pri/law/2024/12/05/5162" TargetMode="External" /><Relationship Id="rId217" Type="http://schemas.openxmlformats.org/officeDocument/2006/relationships/hyperlink" Target="http://data.aade.gr/eli/pri/law/2024/12/05/5162" TargetMode="External" /><Relationship Id="rId218" Type="http://schemas.openxmlformats.org/officeDocument/2006/relationships/hyperlink" Target="http://data.aade.gr/eli/pri/law/2024/12/05/5162" TargetMode="External" /><Relationship Id="rId219" Type="http://schemas.openxmlformats.org/officeDocument/2006/relationships/hyperlink" Target="http://data.aade.gr/eli/pri/law/2024/12/05/5162" TargetMode="External" /><Relationship Id="rId22" Type="http://schemas.openxmlformats.org/officeDocument/2006/relationships/hyperlink" Target="http://data.aade.gr/eli/pri/law/2021/07/09/4816" TargetMode="External" /><Relationship Id="rId220" Type="http://schemas.openxmlformats.org/officeDocument/2006/relationships/hyperlink" Target="http://data.aade.gr/eli/pri/law/2024/12/05/5162" TargetMode="External" /><Relationship Id="rId221" Type="http://schemas.openxmlformats.org/officeDocument/2006/relationships/hyperlink" Target="http://data.aade.gr/eli/pri/law/2024/12/05/5162" TargetMode="External" /><Relationship Id="rId222" Type="http://schemas.openxmlformats.org/officeDocument/2006/relationships/hyperlink" Target="http://data.aade.gr/eli/pri/law/2024/12/05/5162" TargetMode="External" /><Relationship Id="rId223" Type="http://schemas.openxmlformats.org/officeDocument/2006/relationships/hyperlink" Target="http://data.aade.gr/eli/pri/law/2024/12/05/5162" TargetMode="External" /><Relationship Id="rId224" Type="http://schemas.openxmlformats.org/officeDocument/2006/relationships/hyperlink" Target="http://data.aade.gr/eli/pri/law/2024/12/05/5162" TargetMode="External" /><Relationship Id="rId225" Type="http://schemas.openxmlformats.org/officeDocument/2006/relationships/hyperlink" Target="http://data.aade.gr/eli/pri/law/2024/12/05/5162" TargetMode="External" /><Relationship Id="rId226" Type="http://schemas.openxmlformats.org/officeDocument/2006/relationships/hyperlink" Target="http://data.aade.gr/eli/pri/law/2024/12/05/5162" TargetMode="External" /><Relationship Id="rId227" Type="http://schemas.openxmlformats.org/officeDocument/2006/relationships/hyperlink" Target="http://data.aade.gr/eli/pri/law/2024/12/05/5162" TargetMode="External" /><Relationship Id="rId228" Type="http://schemas.openxmlformats.org/officeDocument/2006/relationships/hyperlink" Target="http://data.aade.gr/eli/pri/law/2024/12/05/5162" TargetMode="External" /><Relationship Id="rId229" Type="http://schemas.openxmlformats.org/officeDocument/2006/relationships/hyperlink" Target="http://data.aade.gr/eli/pri/law/2024/12/05/5162" TargetMode="External" /><Relationship Id="rId23" Type="http://schemas.openxmlformats.org/officeDocument/2006/relationships/hyperlink" Target="http://data.aade.gr/eli/pri/law/2021/07/09/4816" TargetMode="External" /><Relationship Id="rId230" Type="http://schemas.openxmlformats.org/officeDocument/2006/relationships/hyperlink" Target="http://data.aade.gr/eli/pri/law/2024/12/05/5162" TargetMode="External" /><Relationship Id="rId231" Type="http://schemas.openxmlformats.org/officeDocument/2006/relationships/hyperlink" Target="http://data.aade.gr/eli/pri/law/2024/12/05/5162" TargetMode="External" /><Relationship Id="rId232" Type="http://schemas.openxmlformats.org/officeDocument/2006/relationships/hyperlink" Target="http://data.aade.gr/eli/pri/law/2024/12/05/5162" TargetMode="External" /><Relationship Id="rId233" Type="http://schemas.openxmlformats.org/officeDocument/2006/relationships/hyperlink" Target="http://data.aade.gr/eli/pri/law/2024/12/05/5162" TargetMode="External" /><Relationship Id="rId234" Type="http://schemas.openxmlformats.org/officeDocument/2006/relationships/hyperlink" Target="http://data.aade.gr/eli/pri/law/2024/12/05/5162" TargetMode="External" /><Relationship Id="rId235" Type="http://schemas.openxmlformats.org/officeDocument/2006/relationships/hyperlink" Target="http://data.aade.gr/eli/pri/law/2024/12/05/5162" TargetMode="External" /><Relationship Id="rId236" Type="http://schemas.openxmlformats.org/officeDocument/2006/relationships/hyperlink" Target="http://data.aade.gr/eli/pri/law/2024/12/05/5162" TargetMode="External" /><Relationship Id="rId237" Type="http://schemas.openxmlformats.org/officeDocument/2006/relationships/hyperlink" Target="http://data.aade.gr/eli/pri/law/2024/12/05/5162" TargetMode="External" /><Relationship Id="rId238" Type="http://schemas.openxmlformats.org/officeDocument/2006/relationships/hyperlink" Target="http://data.aade.gr/eli/pri/law/2024/12/05/5162" TargetMode="External" /><Relationship Id="rId239" Type="http://schemas.openxmlformats.org/officeDocument/2006/relationships/hyperlink" Target="http://data.aade.gr/eli/pri/law/2024/12/05/5162" TargetMode="External" /><Relationship Id="rId24" Type="http://schemas.openxmlformats.org/officeDocument/2006/relationships/hyperlink" Target="http://data.aade.gr/eli/pri/law/2021/07/09/4816" TargetMode="External" /><Relationship Id="rId240" Type="http://schemas.openxmlformats.org/officeDocument/2006/relationships/hyperlink" Target="http://data.aade.gr/eli/pri/law/2024/12/05/5162" TargetMode="External" /><Relationship Id="rId241" Type="http://schemas.openxmlformats.org/officeDocument/2006/relationships/hyperlink" Target="http://data.aade.gr/eli/pri/law/2024/12/05/5162" TargetMode="External" /><Relationship Id="rId242" Type="http://schemas.openxmlformats.org/officeDocument/2006/relationships/hyperlink" Target="http://data.aade.gr/eli/pri/law/2024/12/05/5162" TargetMode="External" /><Relationship Id="rId243" Type="http://schemas.openxmlformats.org/officeDocument/2006/relationships/hyperlink" Target="http://data.aade.gr/eli/pri/law/2024/12/05/5162" TargetMode="External" /><Relationship Id="rId244" Type="http://schemas.openxmlformats.org/officeDocument/2006/relationships/hyperlink" Target="http://data.aade.gr/eli/pri/law/2024/12/05/5162" TargetMode="External" /><Relationship Id="rId245" Type="http://schemas.openxmlformats.org/officeDocument/2006/relationships/hyperlink" Target="http://data.aade.gr/eli/pri/law/2024/12/05/5162" TargetMode="External" /><Relationship Id="rId246" Type="http://schemas.openxmlformats.org/officeDocument/2006/relationships/hyperlink" Target="http://data.aade.gr/eli/pri/law/2024/12/05/5162" TargetMode="External" /><Relationship Id="rId247" Type="http://schemas.openxmlformats.org/officeDocument/2006/relationships/hyperlink" Target="http://data.aade.gr/eli/pri/law/2024/12/05/5162" TargetMode="External" /><Relationship Id="rId248" Type="http://schemas.openxmlformats.org/officeDocument/2006/relationships/hyperlink" Target="http://data.aade.gr/eli/pri/law/2024/12/05/5162" TargetMode="External" /><Relationship Id="rId249" Type="http://schemas.openxmlformats.org/officeDocument/2006/relationships/hyperlink" Target="http://data.aade.gr/eli/pri/law/2024/12/05/5162" TargetMode="External" /><Relationship Id="rId25" Type="http://schemas.openxmlformats.org/officeDocument/2006/relationships/hyperlink" Target="http://data.aade.gr/eli/pri/law/2021/07/09/4816" TargetMode="External" /><Relationship Id="rId250" Type="http://schemas.openxmlformats.org/officeDocument/2006/relationships/hyperlink" Target="http://data.aade.gr/eli/pri/law/2024/12/05/5162" TargetMode="External" /><Relationship Id="rId251" Type="http://schemas.openxmlformats.org/officeDocument/2006/relationships/hyperlink" Target="http://data.aade.gr/eli/pri/law/2024/12/05/5162" TargetMode="External" /><Relationship Id="rId252" Type="http://schemas.openxmlformats.org/officeDocument/2006/relationships/hyperlink" Target="http://data.aade.gr/eli/pri/law/2024/12/05/5162" TargetMode="External" /><Relationship Id="rId253" Type="http://schemas.openxmlformats.org/officeDocument/2006/relationships/hyperlink" Target="http://data.aade.gr/eli/pri/law/2024/12/05/5162" TargetMode="External" /><Relationship Id="rId254" Type="http://schemas.openxmlformats.org/officeDocument/2006/relationships/hyperlink" Target="http://data.aade.gr/eli/pri/law/2024/12/05/5162" TargetMode="External" /><Relationship Id="rId255" Type="http://schemas.openxmlformats.org/officeDocument/2006/relationships/hyperlink" Target="http://data.aade.gr/eli/pri/law/2024/12/05/5162" TargetMode="External" /><Relationship Id="rId256" Type="http://schemas.openxmlformats.org/officeDocument/2006/relationships/hyperlink" Target="http://data.aade.gr/eli/pri/law/2024/12/05/5162" TargetMode="External" /><Relationship Id="rId257" Type="http://schemas.openxmlformats.org/officeDocument/2006/relationships/hyperlink" Target="http://data.aade.gr/eli/pri/law/2024/12/05/5162" TargetMode="External" /><Relationship Id="rId258" Type="http://schemas.openxmlformats.org/officeDocument/2006/relationships/hyperlink" Target="http://data.aade.gr/eli/pri/law/2024/12/05/5162" TargetMode="External" /><Relationship Id="rId259" Type="http://schemas.openxmlformats.org/officeDocument/2006/relationships/hyperlink" Target="http://data.aade.gr/eli/pri/law/2024/12/05/5162" TargetMode="External" /><Relationship Id="rId26" Type="http://schemas.openxmlformats.org/officeDocument/2006/relationships/hyperlink" Target="http://data.aade.gr/eli/pri/law/2023/04/03/5039" TargetMode="External" /><Relationship Id="rId260" Type="http://schemas.openxmlformats.org/officeDocument/2006/relationships/hyperlink" Target="http://data.aade.gr/eli/pri/law/2024/12/05/5162" TargetMode="External" /><Relationship Id="rId261" Type="http://schemas.openxmlformats.org/officeDocument/2006/relationships/hyperlink" Target="http://data.aade.gr/eli/pri/law/2024/12/05/5162" TargetMode="External" /><Relationship Id="rId262" Type="http://schemas.openxmlformats.org/officeDocument/2006/relationships/hyperlink" Target="http://data.aade.gr/eli/pri/law/2024/12/05/5162" TargetMode="External" /><Relationship Id="rId263" Type="http://schemas.openxmlformats.org/officeDocument/2006/relationships/hyperlink" Target="http://data.aade.gr/eli/pri/law/2024/12/05/5162" TargetMode="External" /><Relationship Id="rId264" Type="http://schemas.openxmlformats.org/officeDocument/2006/relationships/hyperlink" Target="http://data.aade.gr/eli/pri/law/2024/12/05/5162" TargetMode="External" /><Relationship Id="rId265" Type="http://schemas.openxmlformats.org/officeDocument/2006/relationships/hyperlink" Target="http://data.aade.gr/eli/pri/law/2024/12/05/5162" TargetMode="External" /><Relationship Id="rId266" Type="http://schemas.openxmlformats.org/officeDocument/2006/relationships/hyperlink" Target="http://data.aade.gr/eli/pri/law/2024/12/05/5162" TargetMode="External" /><Relationship Id="rId267" Type="http://schemas.openxmlformats.org/officeDocument/2006/relationships/hyperlink" Target="http://data.aade.gr/eli/pri/law/2020/02/14/4664" TargetMode="External" /><Relationship Id="rId268" Type="http://schemas.openxmlformats.org/officeDocument/2006/relationships/hyperlink" Target="http://data.aade.gr/eli/pri/law/2020/02/14/4664" TargetMode="External" /><Relationship Id="rId269" Type="http://schemas.openxmlformats.org/officeDocument/2006/relationships/hyperlink" Target="http://data.aade.gr/eli/pri/law/2020/02/14/4664" TargetMode="External" /><Relationship Id="rId27" Type="http://schemas.openxmlformats.org/officeDocument/2006/relationships/hyperlink" Target="http://data.aade.gr/eli/pri/law/2021/07/09/4816"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1/07/09/4816"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1/07/09/4816" TargetMode="External" /><Relationship Id="rId41" Type="http://schemas.openxmlformats.org/officeDocument/2006/relationships/hyperlink" Target="http://data.aade.gr/eli/pri/law/2021/07/09/4816"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5/04/11/5193" TargetMode="External" /><Relationship Id="rId46" Type="http://schemas.openxmlformats.org/officeDocument/2006/relationships/hyperlink" Target="http://data.aade.gr/eli/pri/law/2023/04/08/5042" TargetMode="External" /><Relationship Id="rId47" Type="http://schemas.openxmlformats.org/officeDocument/2006/relationships/hyperlink" Target="http://data.aade.gr/eli/pri/law/2020/06/30/4701" TargetMode="External" /><Relationship Id="rId48" Type="http://schemas.openxmlformats.org/officeDocument/2006/relationships/hyperlink" Target="http://data.aade.gr/eli/pri/law/2025/04/11/5193" TargetMode="External" /><Relationship Id="rId49" Type="http://schemas.openxmlformats.org/officeDocument/2006/relationships/hyperlink" Target="http://data.aade.gr/eli/pri/law/2025/04/11/5193"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5/04/11/5193" TargetMode="External" /><Relationship Id="rId51" Type="http://schemas.openxmlformats.org/officeDocument/2006/relationships/hyperlink" Target="http://data.aade.gr/eli/pri/law/2025/04/11/5193" TargetMode="External" /><Relationship Id="rId52" Type="http://schemas.openxmlformats.org/officeDocument/2006/relationships/hyperlink" Target="http://data.aade.gr/eli/pri/law/2025/04/11/5193" TargetMode="External" /><Relationship Id="rId53" Type="http://schemas.openxmlformats.org/officeDocument/2006/relationships/hyperlink" Target="http://data.aade.gr/eli/pri/law/2025/04/11/5193" TargetMode="External" /><Relationship Id="rId54" Type="http://schemas.openxmlformats.org/officeDocument/2006/relationships/hyperlink" Target="http://data.aade.gr/eli/pri/law/2025/04/11/5193" TargetMode="External" /><Relationship Id="rId55" Type="http://schemas.openxmlformats.org/officeDocument/2006/relationships/hyperlink" Target="http://data.aade.gr/eli/pri/law/2025/04/11/5193" TargetMode="External" /><Relationship Id="rId56" Type="http://schemas.openxmlformats.org/officeDocument/2006/relationships/hyperlink" Target="http://data.aade.gr/eli/pri/law/2018/12/18/4583" TargetMode="External" /><Relationship Id="rId57" Type="http://schemas.openxmlformats.org/officeDocument/2006/relationships/hyperlink" Target="http://data.aade.gr/eli/pri/law/2020/07/14/4704" TargetMode="External" /><Relationship Id="rId58" Type="http://schemas.openxmlformats.org/officeDocument/2006/relationships/hyperlink" Target="http://data.aade.gr/eli/pri/law/2019/04/24/4607" TargetMode="External" /><Relationship Id="rId59" Type="http://schemas.openxmlformats.org/officeDocument/2006/relationships/hyperlink" Target="http://data.aade.gr/eli/pri/law/2025/04/11/5193"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5/04/11/5193"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5/04/11/5193" TargetMode="External" /><Relationship Id="rId66" Type="http://schemas.openxmlformats.org/officeDocument/2006/relationships/hyperlink" Target="http://data.aade.gr/eli/pri/law/2025/04/11/5193" TargetMode="External" /><Relationship Id="rId67" Type="http://schemas.openxmlformats.org/officeDocument/2006/relationships/hyperlink" Target="http://data.aade.gr/eli/pri/law/2025/04/11/5193" TargetMode="External" /><Relationship Id="rId68" Type="http://schemas.openxmlformats.org/officeDocument/2006/relationships/hyperlink" Target="http://data.aade.gr/eli/pri/law/2025/04/11/5193" TargetMode="External" /><Relationship Id="rId69" Type="http://schemas.openxmlformats.org/officeDocument/2006/relationships/hyperlink" Target="http://data.aade.gr/eli/pri/law/2025/04/11/5193"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5/04/11/5193" TargetMode="External" /><Relationship Id="rId71" Type="http://schemas.openxmlformats.org/officeDocument/2006/relationships/hyperlink" Target="http://data.aade.gr/eli/pri/law/2025/04/11/5193" TargetMode="External" /><Relationship Id="rId72" Type="http://schemas.openxmlformats.org/officeDocument/2006/relationships/hyperlink" Target="http://data.aade.gr/eli/pri/law/2025/04/11/5193" TargetMode="External" /><Relationship Id="rId73" Type="http://schemas.openxmlformats.org/officeDocument/2006/relationships/hyperlink" Target="http://data.aade.gr/eli/pri/law/2025/04/11/5193" TargetMode="External" /><Relationship Id="rId74" Type="http://schemas.openxmlformats.org/officeDocument/2006/relationships/hyperlink" Target="http://data.aade.gr/eli/pri/law/2025/04/11/5193" TargetMode="External" /><Relationship Id="rId75" Type="http://schemas.openxmlformats.org/officeDocument/2006/relationships/hyperlink" Target="http://data.aade.gr/eli/pri/law/2025/04/11/5193" TargetMode="External" /><Relationship Id="rId76" Type="http://schemas.openxmlformats.org/officeDocument/2006/relationships/hyperlink" Target="http://data.aade.gr/eli/pri/law/2025/04/11/5193" TargetMode="External" /><Relationship Id="rId77" Type="http://schemas.openxmlformats.org/officeDocument/2006/relationships/hyperlink" Target="http://data.aade.gr/eli/pri/law/2025/04/11/5193" TargetMode="External" /><Relationship Id="rId78" Type="http://schemas.openxmlformats.org/officeDocument/2006/relationships/hyperlink" Target="http://data.aade.gr/eli/pri/law/2025/04/11/5193" TargetMode="External" /><Relationship Id="rId79" Type="http://schemas.openxmlformats.org/officeDocument/2006/relationships/hyperlink" Target="http://data.aade.gr/eli/pri/law/2025/04/11/5193"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5/04/11/5193" TargetMode="External" /><Relationship Id="rId81" Type="http://schemas.openxmlformats.org/officeDocument/2006/relationships/hyperlink" Target="http://data.aade.gr/eli/pri/law/2025/04/11/5193" TargetMode="External" /><Relationship Id="rId82" Type="http://schemas.openxmlformats.org/officeDocument/2006/relationships/hyperlink" Target="http://data.aade.gr/eli/pri/law/2022/06/16/4941" TargetMode="External" /><Relationship Id="rId83" Type="http://schemas.openxmlformats.org/officeDocument/2006/relationships/hyperlink" Target="http://data.aade.gr/eli/pri/law/2025/04/11/5193" TargetMode="External" /><Relationship Id="rId84" Type="http://schemas.openxmlformats.org/officeDocument/2006/relationships/hyperlink" Target="http://data.aade.gr/eli/pri/law/2022/06/16/4941" TargetMode="External" /><Relationship Id="rId85" Type="http://schemas.openxmlformats.org/officeDocument/2006/relationships/hyperlink" Target="http://data.aade.gr/eli/pri/law/2022/06/16/4941" TargetMode="External" /><Relationship Id="rId86" Type="http://schemas.openxmlformats.org/officeDocument/2006/relationships/hyperlink" Target="http://data.aade.gr/eli/pri/law/2022/06/16/4941" TargetMode="External" /><Relationship Id="rId87" Type="http://schemas.openxmlformats.org/officeDocument/2006/relationships/hyperlink" Target="http://data.aade.gr/eli/pri/law/2022/06/16/4941" TargetMode="External" /><Relationship Id="rId88" Type="http://schemas.openxmlformats.org/officeDocument/2006/relationships/hyperlink" Target="http://data.aade.gr/eli/pri/law/2022/06/16/4941" TargetMode="External" /><Relationship Id="rId89" Type="http://schemas.openxmlformats.org/officeDocument/2006/relationships/hyperlink" Target="http://data.aade.gr/eli/pri/law/2022/06/16/4941"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2/06/16/4941" TargetMode="External" /><Relationship Id="rId91" Type="http://schemas.openxmlformats.org/officeDocument/2006/relationships/hyperlink" Target="http://data.aade.gr/eli/pri/law/2022/06/16/4941" TargetMode="External" /><Relationship Id="rId92" Type="http://schemas.openxmlformats.org/officeDocument/2006/relationships/hyperlink" Target="http://data.aade.gr/eli/pri/law/2022/06/16/4941" TargetMode="External" /><Relationship Id="rId93" Type="http://schemas.openxmlformats.org/officeDocument/2006/relationships/hyperlink" Target="http://data.aade.gr/eli/pri/law/2022/06/16/4941" TargetMode="External" /><Relationship Id="rId94" Type="http://schemas.openxmlformats.org/officeDocument/2006/relationships/hyperlink" Target="http://data.aade.gr/eli/pri/law/2022/06/16/4941" TargetMode="External" /><Relationship Id="rId95" Type="http://schemas.openxmlformats.org/officeDocument/2006/relationships/hyperlink" Target="http://data.aade.gr/eli/pri/law/2022/06/16/4941" TargetMode="External" /><Relationship Id="rId96" Type="http://schemas.openxmlformats.org/officeDocument/2006/relationships/hyperlink" Target="http://data.aade.gr/eli/pri/law/2022/06/16/4941" TargetMode="External" /><Relationship Id="rId97" Type="http://schemas.openxmlformats.org/officeDocument/2006/relationships/hyperlink" Target="http://data.aade.gr/eli/pri/law/2022/06/16/4941" TargetMode="External" /><Relationship Id="rId98" Type="http://schemas.openxmlformats.org/officeDocument/2006/relationships/hyperlink" Target="http://data.aade.gr/eli/pri/law/2022/06/16/4941" TargetMode="External" /><Relationship Id="rId99" Type="http://schemas.openxmlformats.org/officeDocument/2006/relationships/hyperlink" Target="http://data.aade.gr/eli/pri/law/2022/06/16/49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