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Φεβρουαρίου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w:t>
      </w:r>
    </w:p>
    <w:p>
      <w:pPr>
        <w:pStyle w:val="PreambelText"/>
        <w:spacing w:before="240" w:after="240"/>
        <w:rPr>
          <w:lang w:val="el" w:eastAsia="el"/>
        </w:rPr>
      </w:pPr>
      <w:r>
        <w:rPr>
          <w:b/>
          <w:bCs/>
          <w:u w:val="single"/>
          <w:lang w:val="el" w:eastAsia="el"/>
        </w:rPr>
        <w:t>ΝΟΜΟΣ ΥΠ’ ΑΡΙΘΜ</w:t>
      </w:r>
      <w:r>
        <w:rPr>
          <w:b/>
          <w:bCs/>
          <w:lang w:val="el" w:eastAsia="el"/>
        </w:rPr>
        <w:t>. 4591</w:t>
      </w:r>
    </w:p>
    <w:p>
      <w:pPr>
        <w:pStyle w:val="PreambelText"/>
        <w:spacing w:before="240" w:after="240"/>
        <w:rPr>
          <w:lang w:val="el" w:eastAsia="el"/>
        </w:rPr>
      </w:pPr>
      <w:r>
        <w:rPr>
          <w:b/>
          <w:bCs/>
          <w:lang w:val="el" w:eastAsia="el"/>
        </w:rPr>
        <w:t>Ενσωμάτωση στην ελληνική νομοθεσία: α) της Οδηγίας (ΕΕ) 2016/2102 του Ευρωπαϊκού Κοινοβουλίου και του Συμβουλίου, της 26ης Οκτωβρίου 2016, για την προσβασιμότητα των ιστότοπων και των εφαρμογών για φορητές συσκευές των οργανισμών του δημόσιου τομέα και β) του άρθρου 1 της Οδηγίας (ΕΕ) 2017/2455 του Συμβουλίου της 5ης Δεκεμβρίου 2017.</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ΕΝΣΩΜΑΤΩΣΗ ΣΤΗΝ ΕΛΛΗΝΙΚΗ ΝΟΜΟΘΕΣΙΑ</w:t>
      </w:r>
    </w:p>
    <w:p>
      <w:pPr>
        <w:spacing w:before="240" w:after="240"/>
        <w:rPr>
          <w:lang w:val="el" w:eastAsia="el"/>
        </w:rPr>
      </w:pPr>
      <w:r>
        <w:rPr>
          <w:b/>
          <w:bCs/>
          <w:lang w:val="el" w:eastAsia="el"/>
        </w:rPr>
        <w:t>ΤΗΣ ΟΔΗΓΙΑΣ (ΕΕ) 2016/2102</w:t>
      </w:r>
    </w:p>
    <w:p>
      <w:pPr>
        <w:spacing w:before="240" w:after="240"/>
        <w:rPr>
          <w:lang w:val="el" w:eastAsia="el"/>
        </w:rPr>
      </w:pPr>
      <w:r>
        <w:rPr>
          <w:b/>
          <w:bCs/>
          <w:lang w:val="el" w:eastAsia="el"/>
        </w:rPr>
        <w:t>ΤΟΥ ΕΥΡΩΠΑΪΚΟΥ ΚΟΙΝΟΒΟΥΛΙΟΥ ΚΑΙ ΤΟΥ ΣΥΜΒΟΥΛΙΟΥ, ΤΗΣ 26ης ΟΚΤΩΒΡΙΟΥ 2016,</w:t>
      </w:r>
    </w:p>
    <w:p>
      <w:pPr>
        <w:spacing w:before="240" w:after="240"/>
        <w:rPr>
          <w:lang w:val="el" w:eastAsia="el"/>
        </w:rPr>
      </w:pPr>
      <w:r>
        <w:rPr>
          <w:b/>
          <w:bCs/>
          <w:lang w:val="el" w:eastAsia="el"/>
        </w:rPr>
        <w:t>ΓΙΑ ΤΗΝ ΠΡΟΣΒΑΣΙΜΟΤΗΤΑ ΤΩΝ ΙΣΤΟΤΟΠΩΝ ΚΑΙ ΤΩΝ ΕΦΑΡΜΟΓΩΝ ΓΙΑ ΦΟΡΗΤΕΣ ΣΥΣΚΕΥΕΣ ΤΩΝ ΟΡΓΑΝΙΣΜΩΝ ΤΟΥ ΔΗΜΟΣΙΟΥ ΤΟΜΕΑ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παρ. 1 της Οδηγίας 2016/2102/Ε.Ε.)</w:t>
      </w:r>
    </w:p>
    <w:p>
      <w:pPr>
        <w:spacing w:before="240" w:after="240"/>
        <w:rPr>
          <w:lang w:val="el" w:eastAsia="el"/>
        </w:rPr>
      </w:pPr>
      <w:r>
        <w:rPr>
          <w:lang w:val="el" w:eastAsia="el"/>
        </w:rPr>
        <w:t>Αντικείμενο του παρόντος Μέρους είναι η ενσωμάτωση στην ελληνική έννομη τάξη της Οδηγίας 2016/2102 του Ευρωπαϊκού Κοινοβουλίου και του Συμβουλίου της 26ης Οκτωβρίου 2016 (Ε.Ε. L 327), για την προσβασι- μότητα σε ιστότοπους και εφαρμογές για φορητές συσκευές των οργανισμών του δημόσιου τομέα, για να καταστούν περισσότερο προσβάσιμοι στους χρήστες και ιδίως στα άτομα με αναπηρίες.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παρ. 2, 3, 4 και 5 της Οδηγίας</w:t>
      </w:r>
    </w:p>
    <w:p>
      <w:pPr>
        <w:spacing w:before="240" w:after="240"/>
        <w:rPr>
          <w:lang w:val="el" w:eastAsia="el"/>
        </w:rPr>
      </w:pPr>
      <w:r>
        <w:rPr>
          <w:b/>
          <w:bCs/>
          <w:lang w:val="el" w:eastAsia="el"/>
        </w:rPr>
        <w:t>2016/2102/Ε.Ε.)</w:t>
      </w:r>
    </w:p>
    <w:p>
      <w:pPr>
        <w:pStyle w:val="MainText"/>
        <w:spacing w:before="120" w:after="0"/>
        <w:rPr>
          <w:lang w:val="el" w:eastAsia="el"/>
        </w:rPr>
      </w:pPr>
      <w:r>
        <w:rPr>
          <w:b/>
          <w:bCs/>
          <w:lang w:val="el" w:eastAsia="el"/>
        </w:rPr>
        <w:t>1.</w:t>
      </w:r>
      <w:r>
        <w:rPr>
          <w:lang w:val="el" w:eastAsia="el"/>
        </w:rPr>
        <w:t xml:space="preserve"> Με τις διατάξεις του παρόντος Μέρους θεσπίζονται οι κανόνες, οι όροι, οι προϋποθέσεις και οι απαιτήσεις για την κατασκευή, το περιεχόμενο και τη λειτουργία των ιστότοπων και των εφαρμογών για φορητές συσκευές των οργανισμών του δημόσιου τομέα, όπως αυτοί ορίζονται στο άρθρο 3, που εξασφαλίζουν ότι οι ιστότοποι, ανεξάρτητα από τη συσκευή που χρησιμοποιείται για την πρόσβαση σε αυτούς, και οι εφαρμογές για φορητές συσκευές, τις οποίες χρησιμοποιούν για την παροχή των υπηρεσιών τους, πληρούν τις απαιτήσεις προσβασιμό- τητας του άρθρου 4 και είναι περισσότερο προσβάσιμοι στους χρήστες και ιδίως στα άτομα με αναπηρίες.</w:t>
      </w:r>
    </w:p>
    <w:p>
      <w:pPr>
        <w:pStyle w:val="MainText"/>
        <w:spacing w:before="120" w:after="0"/>
        <w:rPr>
          <w:lang w:val="el" w:eastAsia="el"/>
        </w:rPr>
      </w:pPr>
      <w:r>
        <w:rPr>
          <w:b/>
          <w:bCs/>
          <w:lang w:val="el" w:eastAsia="el"/>
        </w:rPr>
        <w:t>2.</w:t>
      </w:r>
      <w:r>
        <w:rPr>
          <w:lang w:val="el" w:eastAsia="el"/>
        </w:rPr>
        <w:t xml:space="preserve"> Εξαιρούνται από την εφαρμογή του παρόντος:</w:t>
      </w:r>
    </w:p>
    <w:p>
      <w:pPr>
        <w:pStyle w:val="StructureList1"/>
        <w:spacing w:before="120" w:after="0"/>
        <w:rPr>
          <w:lang w:val="el" w:eastAsia="el"/>
        </w:rPr>
      </w:pPr>
      <w:r>
        <w:rPr>
          <w:lang w:val="el" w:eastAsia="el"/>
        </w:rPr>
        <w:t>α)</w:t>
      </w:r>
      <w:r>
        <w:rPr>
          <w:lang w:val="en" w:eastAsia="en"/>
        </w:rPr>
        <w:tab/>
      </w:r>
      <w:r>
        <w:rPr>
          <w:lang w:val="el" w:eastAsia="el"/>
        </w:rPr>
        <w:t>οι ιστότοποι και οι εφαρμογές για φορητές συσκευές των δημόσιων ραδιοτηλεοπτικών φορέων και των θυγατρικών τους, καθώς και άλλων φορέων ή των θυγατρικών τους που εκπληρώνουν αποστολή ραδιοτηλεοπτικής εκπομπής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οι ιστότοποι και οι εφαρμογές για φορητές συσκευές των μη κυβερνητικών οργανώσεων (Μ.Κ.Ο.) που δεν παρέχουν υπηρεσίες βασικές για το κοινό ή υπηρεσίες που εξειδικεύονται στην κάλυψη των αναγκών των ατόμων με αναπηρίες ή προορίζονται για τα άτομα αυτά.</w:t>
      </w:r>
    </w:p>
    <w:p>
      <w:pPr>
        <w:pStyle w:val="MainText"/>
        <w:spacing w:before="120" w:after="0"/>
        <w:rPr>
          <w:lang w:val="el" w:eastAsia="el"/>
        </w:rPr>
      </w:pPr>
      <w:r>
        <w:rPr>
          <w:b/>
          <w:bCs/>
          <w:lang w:val="el" w:eastAsia="el"/>
        </w:rPr>
        <w:t>3.</w:t>
      </w:r>
      <w:r>
        <w:rPr>
          <w:lang w:val="el" w:eastAsia="el"/>
        </w:rPr>
        <w:t xml:space="preserve"> Οι διατάξεις του παρόντος δεν εφαρμόζονται στο περιεχόμενο των ιστότοπων και των εφαρμογών για φορητές συσκευές που ακολουθεί:</w:t>
      </w:r>
    </w:p>
    <w:p>
      <w:pPr>
        <w:pStyle w:val="StructureList1"/>
        <w:spacing w:before="120" w:after="0"/>
        <w:rPr>
          <w:lang w:val="el" w:eastAsia="el"/>
        </w:rPr>
      </w:pPr>
      <w:r>
        <w:rPr>
          <w:lang w:val="el" w:eastAsia="el"/>
        </w:rPr>
        <w:t>α)</w:t>
      </w:r>
      <w:r>
        <w:rPr>
          <w:lang w:val="en" w:eastAsia="en"/>
        </w:rPr>
        <w:tab/>
      </w:r>
      <w:r>
        <w:rPr>
          <w:lang w:val="el" w:eastAsia="el"/>
        </w:rPr>
        <w:t>μορφότυποι αρχείων γραφείου που δημοσιεύθηκαν πριν από τις 23 Σεπτεμβρίου 2018, εκτός αν το περιεχόμενο αυτό είναι αναγκαίο για τις ενεργές διοικητικές διαδικασίες των αρμοδιοτήτων που ασκούνται από τον οικείο οργανισμό του δημόσιου τομέα,</w:t>
      </w:r>
    </w:p>
    <w:p>
      <w:pPr>
        <w:pStyle w:val="StructureList1"/>
        <w:spacing w:before="120" w:after="0"/>
        <w:rPr>
          <w:lang w:val="el" w:eastAsia="el"/>
        </w:rPr>
      </w:pPr>
      <w:r>
        <w:rPr>
          <w:lang w:val="el" w:eastAsia="el"/>
        </w:rPr>
        <w:t>β)</w:t>
      </w:r>
      <w:r>
        <w:rPr>
          <w:lang w:val="en" w:eastAsia="en"/>
        </w:rPr>
        <w:tab/>
      </w:r>
      <w:r>
        <w:rPr>
          <w:lang w:val="el" w:eastAsia="el"/>
        </w:rPr>
        <w:t>προεγγεγραμμένα μέσα με διάσταση χρόνου (prerecorded time based media) που δημοσιεύθηκαν πριν από τις 23 Σεπτεμβρίου 2020,</w:t>
      </w:r>
    </w:p>
    <w:p>
      <w:pPr>
        <w:pStyle w:val="StructureList1"/>
        <w:spacing w:before="120" w:after="0"/>
        <w:rPr>
          <w:lang w:val="el" w:eastAsia="el"/>
        </w:rPr>
      </w:pPr>
      <w:r>
        <w:rPr>
          <w:lang w:val="el" w:eastAsia="el"/>
        </w:rPr>
        <w:t>γ)</w:t>
      </w:r>
      <w:r>
        <w:rPr>
          <w:lang w:val="en" w:eastAsia="en"/>
        </w:rPr>
        <w:tab/>
      </w:r>
      <w:r>
        <w:rPr>
          <w:lang w:val="el" w:eastAsia="el"/>
        </w:rPr>
        <w:t>μέσα με διάσταση χρόνου σε ζωντανή μετάδοση (live timebased media),</w:t>
      </w:r>
    </w:p>
    <w:p>
      <w:pPr>
        <w:pStyle w:val="StructureList1"/>
        <w:spacing w:before="120" w:after="0"/>
        <w:rPr>
          <w:lang w:val="el" w:eastAsia="el"/>
        </w:rPr>
      </w:pPr>
      <w:r>
        <w:rPr>
          <w:lang w:val="el" w:eastAsia="el"/>
        </w:rPr>
        <w:t>δ)</w:t>
      </w:r>
      <w:r>
        <w:rPr>
          <w:lang w:val="en" w:eastAsia="en"/>
        </w:rPr>
        <w:tab/>
      </w:r>
      <w:r>
        <w:rPr>
          <w:lang w:val="el" w:eastAsia="el"/>
        </w:rPr>
        <w:t>επιγραμμικοί χάρτες (online maps) και υπηρεσίες χαρτογράφησης, εφόσον παρέχονται αναγκαίες πληροφορίες με προσβάσιμο ψηφιακό τρόπο για χάρτες που προορίζονται για χρήσεις πλοήγησης,</w:t>
      </w:r>
    </w:p>
    <w:p>
      <w:pPr>
        <w:pStyle w:val="StructureList1"/>
        <w:spacing w:before="120" w:after="0"/>
        <w:rPr>
          <w:lang w:val="el" w:eastAsia="el"/>
        </w:rPr>
      </w:pPr>
      <w:r>
        <w:rPr>
          <w:lang w:val="el" w:eastAsia="el"/>
        </w:rPr>
        <w:t>ε)</w:t>
      </w:r>
      <w:r>
        <w:rPr>
          <w:lang w:val="en" w:eastAsia="en"/>
        </w:rPr>
        <w:tab/>
      </w:r>
      <w:r>
        <w:rPr>
          <w:lang w:val="el" w:eastAsia="el"/>
        </w:rPr>
        <w:t>περιεχόμενο τρίτων που ούτε χρηματοδοτείται ούτε επιχορηγείται ούτε αναπτύσσεται από τον οικείο οργανισμό του δημόσιου τομέα ούτε είναι υπό τον έλεγχό του,</w:t>
      </w:r>
    </w:p>
    <w:p>
      <w:pPr>
        <w:pStyle w:val="StructureList1"/>
        <w:spacing w:before="120" w:after="0"/>
        <w:rPr>
          <w:lang w:val="el" w:eastAsia="el"/>
        </w:rPr>
      </w:pPr>
      <w:r>
        <w:rPr>
          <w:lang w:val="el" w:eastAsia="el"/>
        </w:rPr>
        <w:t>στ)</w:t>
      </w:r>
      <w:r>
        <w:rPr>
          <w:lang w:val="en" w:eastAsia="en"/>
        </w:rPr>
        <w:tab/>
      </w:r>
      <w:r>
        <w:rPr>
          <w:lang w:val="el" w:eastAsia="el"/>
        </w:rPr>
        <w:t>αναπαραγωγές αντικειμένων συλλογών κληρονομιάς που δεν μπορεί να γίνουν πλήρως προσβάσιμα, λόγω είτε:</w:t>
      </w:r>
    </w:p>
    <w:p>
      <w:pPr>
        <w:spacing w:before="240" w:after="240"/>
        <w:rPr>
          <w:lang w:val="el" w:eastAsia="el"/>
        </w:rPr>
      </w:pPr>
      <w:r>
        <w:rPr>
          <w:lang w:val="el" w:eastAsia="el"/>
        </w:rPr>
        <w:t>αα. της ασυμβατότητας των απαιτήσεων προσβασι- μότητας είτε με τη συντήρηση του οικείου αντικειμένου είτε με την αυθεντικότητα της αναπαραγωγής,</w:t>
      </w:r>
    </w:p>
    <w:p>
      <w:pPr>
        <w:spacing w:before="240" w:after="240"/>
        <w:rPr>
          <w:lang w:val="el" w:eastAsia="el"/>
        </w:rPr>
      </w:pPr>
      <w:r>
        <w:rPr>
          <w:lang w:val="el" w:eastAsia="el"/>
        </w:rPr>
        <w:t>ββ. της μη διαθεσιμότητας αυτοματοποιημένων και οικονομικά αποδοτικών λύσεων που θα μπορούσαν εύκολα να εξάγουν το κείμενο χειρογράφων ή άλλων αντικειμένων συλλογών κληρονομιάς και να το μετατρέψουν σε μορφή περιεχομένου συμβατή με τις απαιτήσεις προσβασιμότητας,</w:t>
      </w:r>
    </w:p>
    <w:p>
      <w:pPr>
        <w:pStyle w:val="StructureList1"/>
        <w:spacing w:before="120" w:after="0"/>
        <w:rPr>
          <w:lang w:val="el" w:eastAsia="el"/>
        </w:rPr>
      </w:pPr>
      <w:r>
        <w:rPr>
          <w:lang w:val="el" w:eastAsia="el"/>
        </w:rPr>
        <w:t>ζ)</w:t>
      </w:r>
      <w:r>
        <w:rPr>
          <w:lang w:val="en" w:eastAsia="en"/>
        </w:rPr>
        <w:tab/>
      </w:r>
      <w:r>
        <w:rPr>
          <w:lang w:val="el" w:eastAsia="el"/>
        </w:rPr>
        <w:t>το περιεχόμενο εξωδικτύων (extranets) και ενδο- δικτύων (intranets), δηλαδή ιστότοπων αποκλειστικά διαθέσιμων σε μια κλειστή ομάδα ατόμων και όχι στο ευρύ κοινό, περιεχόμενο το οποίο δημοσιεύθηκε πριν από τις 23 Σεπτεμβρίου 2019, εωσότου οι συγκεκριμένοι ιστότοποι υποστούν ουσιαστική αναθεώρηση,</w:t>
      </w:r>
    </w:p>
    <w:p>
      <w:pPr>
        <w:pStyle w:val="StructureList1"/>
        <w:spacing w:before="120" w:after="0"/>
        <w:rPr>
          <w:lang w:val="el" w:eastAsia="el"/>
        </w:rPr>
      </w:pPr>
      <w:r>
        <w:rPr>
          <w:lang w:val="el" w:eastAsia="el"/>
        </w:rPr>
        <w:t>η)</w:t>
      </w:r>
      <w:r>
        <w:rPr>
          <w:lang w:val="en" w:eastAsia="en"/>
        </w:rPr>
        <w:tab/>
      </w:r>
      <w:r>
        <w:rPr>
          <w:lang w:val="el" w:eastAsia="el"/>
        </w:rPr>
        <w:t>το περιεχόμενο των ιστότοπων και των εφαρμογών για φορητές συσκευές που χαρακτηρίζονται ως αρχεία (archived), υπό την έννοια ότι αυτά περιέχουν αποκλειστικά περιεχόμενο που ούτε είναι αναγκαίο για ενεργές διοικητικές διαδικασίες ούτε επικαιροποιείται ούτε είναι πλέον ενεργό μετά την 23η Σεπτεμβρίου 2019. Η αμιγώς τεχνική συντήρηση δεν θεωρείται επικαιροποίηση του περιεχομένου του ιστότοπου ή της εφαρμογής για φορητές συσκευές.</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Ανασυγκρότησης, Ψηφιακής Πολιτικής, Τηλεπικοινωνιών και Ενημέρωσης και Παιδείας, Έρευνας και Θρησκευμάτων, η οποία εκδίδεται ύστερα από γνώμη της Εθνικής Συνομοσπονδίας Ατόμων με Αναπηρία (Ε.Σ.Α.μεΑ.), μπορεί να εξαιρούνται από την εφαρμογή του παρόντος Μέρους ιστότοποι και εφαρμογές για φορητές συσκευές σχολείων, νηπιαγωγείων ή παιδικών σταθμών, πλην του περιεχομένου που σχετίζεται με βασικές επιγραμμικές (οn line) διοικητικές λειτουργίες, και με την προϋπόθεση ότι διασφαλίζονται τα δικαιώματα των παιδιών με αναπηρία.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2016/2102/Ε.Ε.)</w:t>
      </w:r>
    </w:p>
    <w:p>
      <w:pPr>
        <w:spacing w:before="240" w:after="240"/>
        <w:rPr>
          <w:lang w:val="el" w:eastAsia="el"/>
        </w:rPr>
      </w:pPr>
      <w:r>
        <w:rPr>
          <w:lang w:val="el" w:eastAsia="el"/>
        </w:rPr>
        <w:t>Για την εφαρμογή του παρόντος Μέρους ισχύουν οι εξής ορισμοί:</w:t>
      </w:r>
    </w:p>
    <w:p>
      <w:pPr>
        <w:pStyle w:val="MainText"/>
        <w:spacing w:before="120" w:after="0"/>
        <w:rPr>
          <w:lang w:val="el" w:eastAsia="el"/>
        </w:rPr>
      </w:pPr>
      <w:r>
        <w:rPr>
          <w:b/>
          <w:bCs/>
          <w:lang w:val="el" w:eastAsia="el"/>
        </w:rPr>
        <w:t>1.</w:t>
      </w:r>
      <w:r>
        <w:rPr>
          <w:lang w:val="el" w:eastAsia="el"/>
        </w:rPr>
        <w:t xml:space="preserve"> «Οργανισμός του δημόσιου τομέα»: το κράτος, κατά την έννοια της περίπτωσης στ' της παρ. 1 του άρθρου 14 του ν. 4270/2014 (Α' 143), οι περιφερειακές ή οι τοπικές αρχές (Ο.Τ.Α. πρώτου και δεύτερου βαθμού), οι οργανισμοί δημοσίου δικαίου της περίπτωσης 4 της παρ. 1 του άρθρου 2 του ν. 4412/2016 (Α' 147), ή οι ενώσεις μίας ή περισσότερων από αυτές τις αρχές ή ενός ή περισσότερων από αυτούς τους οργανισμούς δημοσίου δικαίου, εφόσον οι ενώσεις αυτές έχουν συσταθεί για τον συγκεκριμένο σκοπό της κάλυψης αναγκών γενικού συμφέροντος που δεν έχουν βιομηχανικό ή εμπορικό χαρακτήρα.</w:t>
      </w:r>
    </w:p>
    <w:p>
      <w:pPr>
        <w:pStyle w:val="MainText"/>
        <w:spacing w:before="120" w:after="0"/>
        <w:rPr>
          <w:lang w:val="el" w:eastAsia="el"/>
        </w:rPr>
      </w:pPr>
      <w:r>
        <w:rPr>
          <w:b/>
          <w:bCs/>
          <w:lang w:val="el" w:eastAsia="el"/>
        </w:rPr>
        <w:t>2.</w:t>
      </w:r>
      <w:r>
        <w:rPr>
          <w:lang w:val="el" w:eastAsia="el"/>
        </w:rPr>
        <w:t xml:space="preserve"> «Εφαρμογές για φορητές συσκευές»: το λογισμικό εφαρμογών που σχεδιάζεται και αναπτύσσεται από οργανισμούς του δημόσιου τομέα ή για λογαριασμό τους για χρήση, από το ευρύ κοινό, υπαλλήλους και εργαζομένους στους οργανισμούς του δημόσιου τομέα, σε φορητές συσκευές, όπως έξυπνα τηλέφωνα και ταμπλέτες. Οι εφαρμογές για φορητές συσκευές δεν περιλαμβάνουν το λογισμικό που ελέγχει τις εν λόγω συσκευές (λειτουργικά συστήματα για φορητές συσκευές) ή το ίδιο το λογισμικό.</w:t>
      </w:r>
    </w:p>
    <w:p>
      <w:pPr>
        <w:pStyle w:val="MainText"/>
        <w:spacing w:before="120" w:after="0"/>
        <w:rPr>
          <w:lang w:val="el" w:eastAsia="el"/>
        </w:rPr>
      </w:pPr>
      <w:r>
        <w:rPr>
          <w:b/>
          <w:bCs/>
          <w:lang w:val="el" w:eastAsia="el"/>
        </w:rPr>
        <w:t>3.</w:t>
      </w:r>
      <w:r>
        <w:rPr>
          <w:lang w:val="el" w:eastAsia="el"/>
        </w:rPr>
        <w:t xml:space="preserve"> «Πρότυπο»: το πρότυπο, σύμφωνα με το σημείο 1 του άρθρου 2 του Κανονισμού (Ε.Ε.) αριθμ. 1025/2012 (E.E.L 316).</w:t>
      </w:r>
    </w:p>
    <w:p>
      <w:pPr>
        <w:pStyle w:val="MainText"/>
        <w:spacing w:before="120" w:after="0"/>
        <w:rPr>
          <w:lang w:val="el" w:eastAsia="el"/>
        </w:rPr>
      </w:pPr>
      <w:r>
        <w:rPr>
          <w:b/>
          <w:bCs/>
          <w:lang w:val="el" w:eastAsia="el"/>
        </w:rPr>
        <w:t>4.</w:t>
      </w:r>
      <w:r>
        <w:rPr>
          <w:lang w:val="el" w:eastAsia="el"/>
        </w:rPr>
        <w:t xml:space="preserve"> «Ευρωπαϊκό πρότυπο»: το ευρωπαϊκό πρότυπο σύμφωνα με το άρθρο 2 σημείο 1) στοιχείο β) του κανονισμού (Ε.Ε.) αριθμ. 1025/2012.</w:t>
      </w:r>
    </w:p>
    <w:p>
      <w:pPr>
        <w:pStyle w:val="MainText"/>
        <w:spacing w:before="120" w:after="0"/>
        <w:rPr>
          <w:lang w:val="el" w:eastAsia="el"/>
        </w:rPr>
      </w:pPr>
      <w:r>
        <w:rPr>
          <w:b/>
          <w:bCs/>
          <w:lang w:val="el" w:eastAsia="el"/>
        </w:rPr>
        <w:t>5.</w:t>
      </w:r>
      <w:r>
        <w:rPr>
          <w:lang w:val="el" w:eastAsia="el"/>
        </w:rPr>
        <w:t xml:space="preserve"> «Εναρμονισμένο πρότυπο»: το εναρμονισμένο πρότυπο, σύμφωνα με το άρθρο 2 σημείο 1) στοιχείο γ' του κανονισμού (Ε.Ε.) αριθμ. 1025/2012.</w:t>
      </w:r>
    </w:p>
    <w:p>
      <w:pPr>
        <w:pStyle w:val="MainText"/>
        <w:spacing w:before="120" w:after="0"/>
        <w:rPr>
          <w:lang w:val="el" w:eastAsia="el"/>
        </w:rPr>
      </w:pPr>
      <w:r>
        <w:rPr>
          <w:b/>
          <w:bCs/>
          <w:lang w:val="el" w:eastAsia="el"/>
        </w:rPr>
        <w:t>6.</w:t>
      </w:r>
      <w:r>
        <w:rPr>
          <w:lang w:val="el" w:eastAsia="el"/>
        </w:rPr>
        <w:t xml:space="preserve"> «Μέσα με διάσταση χρόνου» (time-based media): τα μέσα μίας από τις εξής μορφές: αποκλειστικά ήχου, αποκλειστικά βίντεο, ήχου και βίντεο, συνδυασμό ήχου ή και βίντεο με διαδραστικότητα.</w:t>
      </w:r>
    </w:p>
    <w:p>
      <w:pPr>
        <w:pStyle w:val="MainText"/>
        <w:spacing w:before="120" w:after="0"/>
        <w:rPr>
          <w:lang w:val="el" w:eastAsia="el"/>
        </w:rPr>
      </w:pPr>
      <w:r>
        <w:rPr>
          <w:b/>
          <w:bCs/>
          <w:lang w:val="el" w:eastAsia="el"/>
        </w:rPr>
        <w:t>7.</w:t>
      </w:r>
      <w:r>
        <w:rPr>
          <w:lang w:val="el" w:eastAsia="el"/>
        </w:rPr>
        <w:t xml:space="preserve"> «Αντικείμενα πολιτιστικών συλλογών»: τα αγαθά που μπορεί να ανήκουν στο Δημόσιο ή σε ιδιώτη, τα οποία παρουσιάζουν ιστορικό, καλλιτεχνικό, αρχαιολογικό, αισθητικό, επιστημονικό ή τεχνικό ενδιαφέρον και αποτελούν μέρος συλλογών που συντηρούνται από πολιτιστικά ιδρύματα, όπως βιβλιοθήκες, αρχεία και μουσεία.</w:t>
      </w:r>
    </w:p>
    <w:p>
      <w:pPr>
        <w:pStyle w:val="MainText"/>
        <w:spacing w:before="120" w:after="0"/>
        <w:rPr>
          <w:lang w:val="el" w:eastAsia="el"/>
        </w:rPr>
      </w:pPr>
      <w:r>
        <w:rPr>
          <w:b/>
          <w:bCs/>
          <w:lang w:val="el" w:eastAsia="el"/>
        </w:rPr>
        <w:t>8.</w:t>
      </w:r>
      <w:r>
        <w:rPr>
          <w:lang w:val="el" w:eastAsia="el"/>
        </w:rPr>
        <w:t xml:space="preserve"> «Δεδομένα μέτρησης»: τα ποσοτικά αποτελέσματα της δραστηριότητας παρακολούθησης που διενεργεί- ται, προκειμένου να διαπιστωθεί η συμβατότητα των ιστότοπων και των εφαρμογών για φορητές συσκευές των οργανισμών του δημόσιου τομέα με τις απαιτήσεις προσβασιμότητας του άρθρου 4. Καλύπτουν τόσο ποσοτικές πληροφορίες σχετικά με το δείγμα ιστότοπων και εφαρμογών για φορητές συσκευές που ελέγχονται (όπως, ιδίως, αριθμός ιστότοπων και εφαρμογών δυνητικά με τον αριθμό επισκεπτών και χρηστών τους) και ποσοτικές πληροφορίες σχετικά με το επίπεδο προσβασιμότητας.</w:t>
      </w:r>
    </w:p>
    <w:p>
      <w:pPr>
        <w:pStyle w:val="MainText"/>
        <w:spacing w:before="120" w:after="0"/>
        <w:rPr>
          <w:lang w:val="el" w:eastAsia="el"/>
        </w:rPr>
      </w:pPr>
      <w:r>
        <w:rPr>
          <w:b/>
          <w:bCs/>
          <w:lang w:val="el" w:eastAsia="el"/>
        </w:rPr>
        <w:t>9.</w:t>
      </w:r>
      <w:r>
        <w:rPr>
          <w:lang w:val="el" w:eastAsia="el"/>
        </w:rPr>
        <w:t xml:space="preserve"> «Άτομα με αναπηρίες» (Α.μεΑ.): τα άτομα με μακροχρόνιες σωματικές, ψυχικές, διανοητικές ή αισθητηριακές δυσχέρειες, οι οποίες, σε αλληλεπίδραση με διάφορα εμπόδια, ιδίως θεσμικά, περιβαλλοντικά ή εμπόδια κοινωνικής συμπεριφοράς, μπορεί να παρεμποδίσουν την πλήρη και αποτελεσματική συμμετοχή των ατόμων αυτών στην κοινωνία σε ίση βάση με τους άλλους (άρθρο 60 παρ. 1 του ν. 4488/2017, Α’137, και άρθρο 1 της Σύμβασης των Ηνωμένων Εθνών για τα δικαιώματα των Α.μεΑ. που κυρώθηκε με το άρθρο πρώτο του ν. 4074/2012, Α' 88).</w:t>
      </w:r>
    </w:p>
    <w:p>
      <w:pPr>
        <w:pStyle w:val="MainText"/>
        <w:spacing w:before="120" w:after="0"/>
        <w:rPr>
          <w:lang w:val="el" w:eastAsia="el"/>
        </w:rPr>
      </w:pPr>
      <w:r>
        <w:rPr>
          <w:b/>
          <w:bCs/>
          <w:lang w:val="el" w:eastAsia="el"/>
        </w:rPr>
        <w:t>10.</w:t>
      </w:r>
      <w:r>
        <w:rPr>
          <w:lang w:val="el" w:eastAsia="el"/>
        </w:rPr>
        <w:t xml:space="preserve"> «Προσβασιμότητα»: οι αρχές και οι τεχνικές που πρέπει να τηρούνται κατά το σχεδιασμό, την κατασκευή, τη λειτουργία, τη συντήρηση και την επικαιροποίηαη ιστότοπων και εφαρμογών για φορητές συσκευές, προ- κειμένου να καθίστανται προσβάσιμοι στους χρήστες, ιδίως στα άτομα με αναπηρίες.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ΑΠΑΙΤΗΣΕΙΣ ΠΡΟΣΒΑΣΙΜΟΤΗΤΑΣ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Απαιτήσεις για την προσβασιμότητα των ιστότοπων και των εφαρμογών για φορητές συσκευές</w:t>
      </w:r>
    </w:p>
    <w:p>
      <w:pPr>
        <w:spacing w:before="240" w:after="240"/>
        <w:rPr>
          <w:lang w:val="el" w:eastAsia="el"/>
        </w:rPr>
      </w:pPr>
      <w:r>
        <w:rPr>
          <w:b/>
          <w:bCs/>
          <w:lang w:val="el" w:eastAsia="el"/>
        </w:rPr>
        <w:t>(άρθρο 4 της Οδηγίας 2016/2102/Ε.Ε.)</w:t>
      </w:r>
    </w:p>
    <w:p>
      <w:pPr>
        <w:pStyle w:val="MainText"/>
        <w:spacing w:before="120" w:after="0"/>
        <w:rPr>
          <w:lang w:val="el" w:eastAsia="el"/>
        </w:rPr>
      </w:pPr>
      <w:r>
        <w:rPr>
          <w:b/>
          <w:bCs/>
          <w:lang w:val="el" w:eastAsia="el"/>
        </w:rPr>
        <w:t>1.</w:t>
      </w:r>
      <w:r>
        <w:rPr>
          <w:lang w:val="el" w:eastAsia="el"/>
        </w:rPr>
        <w:t xml:space="preserve"> Οι οργανισμοί του δημόσιου τομέα σχεδιάζουν, αναπτύσσουν, λειτουργούν και συντηρούν ιστότοπους και εφαρμογές για φορητές συσκευές, τηρώντας τις αρχές της προσβασιμότητας, στις οποίες περιλαμβάνονται οι επιμέρους αρχές της αντιληπτικότητας, της χρηστικότη- τας, της κατανοησιμότητας και της στιβαρότητας.</w:t>
      </w:r>
    </w:p>
    <w:p>
      <w:pPr>
        <w:pStyle w:val="MainText"/>
        <w:spacing w:before="120" w:after="0"/>
        <w:rPr>
          <w:lang w:val="el" w:eastAsia="el"/>
        </w:rPr>
      </w:pPr>
      <w:r>
        <w:rPr>
          <w:b/>
          <w:bCs/>
          <w:lang w:val="el" w:eastAsia="el"/>
        </w:rPr>
        <w:t>2.</w:t>
      </w:r>
      <w:r>
        <w:rPr>
          <w:lang w:val="el" w:eastAsia="el"/>
        </w:rPr>
        <w:t xml:space="preserve"> Οι επιμέρους αρχές της προσβασιμότητας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αντιληπτικότητα, που σημαίνει ότι οι πληροφορίες και τα συστατικά στοιχεία της διεπαφής με τον χρήστη παρουσιάζονται στους χρήστες με τρόπους που αυτοί μπορούν να αντιληφθούν,</w:t>
      </w:r>
    </w:p>
    <w:p>
      <w:pPr>
        <w:pStyle w:val="StructureList1"/>
        <w:spacing w:before="120" w:after="0"/>
        <w:rPr>
          <w:lang w:val="el" w:eastAsia="el"/>
        </w:rPr>
      </w:pPr>
      <w:r>
        <w:rPr>
          <w:lang w:val="el" w:eastAsia="el"/>
        </w:rPr>
        <w:t>β)</w:t>
      </w:r>
      <w:r>
        <w:rPr>
          <w:lang w:val="en" w:eastAsia="en"/>
        </w:rPr>
        <w:tab/>
      </w:r>
      <w:r>
        <w:rPr>
          <w:lang w:val="el" w:eastAsia="el"/>
        </w:rPr>
        <w:t>χρηστικότητα, που σημαίνει ότι τα συστατικά στοιχεία διεπαφής με τον χρήστη και η πλοήγηση είναι εύχρηστα, γ) κατανοησιμότητα, που σημαίνει ότι οι πληροφορίες και η λειτουργία της διεπαφής με τον χρήστη είναι κατανοητές, δ) στιβαρότητα, που σημαίνει ότι το περιεχόμενο είναι αρκετά στιβαρό, ώστε να ερμηνεύεται αξιόπιστα από ευρύ φάσμα πρακτόρων χρηστών, συμπεριλαμβανομένων και υποστηρικτικών τεχνολογιών.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Δυσανάλογη επιβάρυνση</w:t>
      </w:r>
    </w:p>
    <w:p>
      <w:pPr>
        <w:spacing w:before="240" w:after="240"/>
        <w:rPr>
          <w:lang w:val="el" w:eastAsia="el"/>
        </w:rPr>
      </w:pPr>
      <w:r>
        <w:rPr>
          <w:b/>
          <w:bCs/>
          <w:lang w:val="el" w:eastAsia="el"/>
        </w:rPr>
        <w:t>(άρθρο 5 της Οδηγίας 2016/2102/Ε.Ε.)</w:t>
      </w:r>
    </w:p>
    <w:p>
      <w:pPr>
        <w:pStyle w:val="MainText"/>
        <w:spacing w:before="120" w:after="0"/>
        <w:rPr>
          <w:lang w:val="el" w:eastAsia="el"/>
        </w:rPr>
      </w:pPr>
      <w:r>
        <w:rPr>
          <w:b/>
          <w:bCs/>
          <w:lang w:val="el" w:eastAsia="el"/>
        </w:rPr>
        <w:t>1.</w:t>
      </w:r>
      <w:r>
        <w:rPr>
          <w:lang w:val="el" w:eastAsia="el"/>
        </w:rPr>
        <w:t xml:space="preserve"> Οι οργανισμοί του δημόσιου τομέα μπορεί να απέχουν από τη συμμόρφωση στις απαιτήσεις προσβασι- μότητας του άρθρου 4, αν η εφαρμογή των τελευταίων συνεπάγεται δυσανάλογη επιβάρυνση για αυτούς.</w:t>
      </w:r>
    </w:p>
    <w:p>
      <w:pPr>
        <w:pStyle w:val="MainText"/>
        <w:spacing w:before="120" w:after="0"/>
        <w:rPr>
          <w:lang w:val="el" w:eastAsia="el"/>
        </w:rPr>
      </w:pPr>
      <w:r>
        <w:rPr>
          <w:b/>
          <w:bCs/>
          <w:lang w:val="el" w:eastAsia="el"/>
        </w:rPr>
        <w:t>2.</w:t>
      </w:r>
      <w:r>
        <w:rPr>
          <w:lang w:val="el" w:eastAsia="el"/>
        </w:rPr>
        <w:t xml:space="preserve"> Για να εκτιμηθεί ο βαθμός, στον οποίο η συμμόρφωση με τις απαιτήσεις προσβασιμότητας συνεπάγεται δυσανάλογη επιβάρυνση, οι οργανισμοί του δημόσιου τομέα λαμβάνουν υπόψη τις σχετικές περιστάσεις, συμπεριλαμβανομένων των ακολούθων:</w:t>
      </w:r>
    </w:p>
    <w:p>
      <w:pPr>
        <w:pStyle w:val="StructureList1"/>
        <w:spacing w:before="120" w:after="0"/>
        <w:rPr>
          <w:lang w:val="el" w:eastAsia="el"/>
        </w:rPr>
      </w:pPr>
      <w:r>
        <w:rPr>
          <w:lang w:val="el" w:eastAsia="el"/>
        </w:rPr>
        <w:t>α)</w:t>
      </w:r>
      <w:r>
        <w:rPr>
          <w:lang w:val="en" w:eastAsia="en"/>
        </w:rPr>
        <w:tab/>
      </w:r>
      <w:r>
        <w:rPr>
          <w:lang w:val="el" w:eastAsia="el"/>
        </w:rPr>
        <w:t>το μέγεθος, τους πόρους και τον χαρακτήρα του οργανισμού του δημόσιου τομέα,</w:t>
      </w:r>
    </w:p>
    <w:p>
      <w:pPr>
        <w:pStyle w:val="StructureList1"/>
        <w:spacing w:before="120" w:after="0"/>
        <w:rPr>
          <w:lang w:val="el" w:eastAsia="el"/>
        </w:rPr>
      </w:pPr>
      <w:r>
        <w:rPr>
          <w:lang w:val="el" w:eastAsia="el"/>
        </w:rPr>
        <w:t>β)</w:t>
      </w:r>
      <w:r>
        <w:rPr>
          <w:lang w:val="en" w:eastAsia="en"/>
        </w:rPr>
        <w:tab/>
      </w:r>
      <w:r>
        <w:rPr>
          <w:lang w:val="el" w:eastAsia="el"/>
        </w:rPr>
        <w:t>το εκτιμώμενο κόστος και τα οφέλη για τον σχετικό οργανισμό του δημόσιου τομέα σε σχέση με τα εκτιμώμε- να οφέλη για τα άτομα με αναπηρίες, λαμβάνοντας υπόψη τη συχνότητα και τη διάρκεια της χρήσης του συγκεκριμένου ιστότοπου ή της εφαρμογής για φορητές συσκευές.</w:t>
      </w:r>
    </w:p>
    <w:p>
      <w:pPr>
        <w:pStyle w:val="MainText"/>
        <w:spacing w:before="120" w:after="0"/>
        <w:rPr>
          <w:lang w:val="el" w:eastAsia="el"/>
        </w:rPr>
      </w:pPr>
      <w:r>
        <w:rPr>
          <w:b/>
          <w:bCs/>
          <w:lang w:val="el" w:eastAsia="el"/>
        </w:rPr>
        <w:t>3.</w:t>
      </w:r>
      <w:r>
        <w:rPr>
          <w:lang w:val="el" w:eastAsia="el"/>
        </w:rPr>
        <w:t xml:space="preserve"> Με την επιφύλαξη της παραγράφου 1, οι οργανισμοί του δημόσιου τομέα διενεργούν την αρχική εκτίμηση και αξιολόγηση του βαθμού, στον οποίο η συμμόρφωση στις απαιτήσεις προσβασιμότητας του άρθρου 4 συνεπάγεται δυσανάλογη επιβάρυνση.</w:t>
      </w:r>
    </w:p>
    <w:p>
      <w:pPr>
        <w:pStyle w:val="MainText"/>
        <w:spacing w:before="120" w:after="0"/>
        <w:rPr>
          <w:lang w:val="el" w:eastAsia="el"/>
        </w:rPr>
      </w:pPr>
      <w:r>
        <w:rPr>
          <w:b/>
          <w:bCs/>
          <w:lang w:val="el" w:eastAsia="el"/>
        </w:rPr>
        <w:t>4.</w:t>
      </w:r>
      <w:r>
        <w:rPr>
          <w:lang w:val="el" w:eastAsia="el"/>
        </w:rPr>
        <w:t xml:space="preserve"> Όταν ένας οργανισμός του δημόσιου τομέα κάνει χρήση της προβλεπόμενης από την παράγραφο 1 παρέκκλισης για έναν συγκεκριμένο ιστότοπο ή εφαρμογή για φορητές συσκευές, μετά τη διενέργεια της εκτίμησης και αξιολόγησης της παραγράφου 2, διευκρινίζει, με ειδική αιτιολογία, στη δήλωση προσβασιμότητας του άρθρου 7 τα μέρη των απαιτήσεων προσβασιμότητας, με τα οποία δεν ήταν δυνατή η συμμόρφωση και παρέχει τυχόν προ- σβάσιμες εναλλακτικές επιλογές.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Τεκμήριο συμμόρφωσης με τις απαιτήσεις προσβασιμότητας</w:t>
      </w:r>
    </w:p>
    <w:p>
      <w:pPr>
        <w:spacing w:before="240" w:after="240"/>
        <w:rPr>
          <w:lang w:val="el" w:eastAsia="el"/>
        </w:rPr>
      </w:pPr>
      <w:r>
        <w:rPr>
          <w:b/>
          <w:bCs/>
          <w:lang w:val="el" w:eastAsia="el"/>
        </w:rPr>
        <w:t>(άρθρο 6 της Οδηγίας 2016/2102/Ε.Ε.)</w:t>
      </w:r>
    </w:p>
    <w:p>
      <w:pPr>
        <w:pStyle w:val="MainText"/>
        <w:spacing w:before="120" w:after="0"/>
        <w:rPr>
          <w:lang w:val="el" w:eastAsia="el"/>
        </w:rPr>
      </w:pPr>
      <w:r>
        <w:rPr>
          <w:b/>
          <w:bCs/>
          <w:lang w:val="el" w:eastAsia="el"/>
        </w:rPr>
        <w:t>1.</w:t>
      </w:r>
      <w:r>
        <w:rPr>
          <w:lang w:val="el" w:eastAsia="el"/>
        </w:rPr>
        <w:t xml:space="preserve"> Το περιεχόμενο των ιστότοπων και των εφαρμογών για φορητές συσκευές που συμμορφώνονται στα εναρμονισμένα πρότυπα ή στα μέρη τους και στα στοιχεία αναφοράς που έχει δημοσιεύσει η Ευρωπαϊκή Επιτροπή στην Επίσημη Εφημερίδα της Ευρωπαϊκής Ένωσης, σύμφωνα με τον Κανονισμό (Ε.Ε.) 1025/2012, θεωρείται ότι συμμορφώνεται στις απαιτήσεις προσβασιμότητας του άρθρου 4 των εν λόγω προτύπων ή των μερών τους.</w:t>
      </w:r>
    </w:p>
    <w:p>
      <w:pPr>
        <w:pStyle w:val="MainText"/>
        <w:spacing w:before="120" w:after="0"/>
        <w:rPr>
          <w:lang w:val="el" w:eastAsia="el"/>
        </w:rPr>
      </w:pPr>
      <w:r>
        <w:rPr>
          <w:b/>
          <w:bCs/>
          <w:lang w:val="el" w:eastAsia="el"/>
        </w:rPr>
        <w:t>2.</w:t>
      </w:r>
      <w:r>
        <w:rPr>
          <w:lang w:val="el" w:eastAsia="el"/>
        </w:rPr>
        <w:t xml:space="preserve"> Εφόσον δεν έχουν δημοσιευθεί στοιχεία αναφοράς των εναρμονισμένων προτύπων της παραγράφου 1, το περιεχόμενο των εφαρμογών για φορητές συσκευές που συμμορφώνεται στις τεχνικές προδιαγραφές ή τα μέρη τους θεωρείται ότι συμμορφώνεται στις απαιτήσεις προσβασιμότητας του άρθρου 4, τις οποίες καλύπτουν οι τεχνικές προδιαγραφές ή τα μέρη τους, εφόσον αντα- ποκρίνεται και είναι σύμφωνο προς τις σχετικές τεχνικές προδιαγραφές που καθορίζονται από την Ευρωπαϊκή Επιτροπή.</w:t>
      </w:r>
    </w:p>
    <w:p>
      <w:pPr>
        <w:pStyle w:val="MainText"/>
        <w:spacing w:before="120" w:after="0"/>
        <w:rPr>
          <w:lang w:val="el" w:eastAsia="el"/>
        </w:rPr>
      </w:pPr>
      <w:r>
        <w:rPr>
          <w:b/>
          <w:bCs/>
          <w:lang w:val="el" w:eastAsia="el"/>
        </w:rPr>
        <w:t>3.</w:t>
      </w:r>
      <w:r>
        <w:rPr>
          <w:lang w:val="el" w:eastAsia="el"/>
        </w:rPr>
        <w:t xml:space="preserve"> Εφόσον δεν έχουν δημοσιευθεί στοιχεία αναφοράς του εναρμονισμένου προτύπου της παραγράφου 1, το περιεχόμενο των ιστότοπων που πληροί τις απαιτήσεις του ευρωπαϊκού προτύπου ΕΝ 301 549 V1.1.2 (2015-04) ή μέρη τους θεωρείται ότι συμμορφώνεται στις απαιτήσεις προσβασιμότητας του άρθρου 4, και που καλύπτουν οι εν λόγω σχετικές απαιτήσεις ή των μερών τους. Εφόσον δεν έχουν δημοσιευθεί στοιχεία αναφοράς του εναρμονισμένου προτύπου της παραγράφου 1, ελλείψει των τεχνικών προδιαγραφών της παραγράφου 2, το περιεχόμενο των ιστότοπων που πληροί τις οικείες απαιτήσεις του ευρωπαϊκού προτύπου ΕΝ 301 549 V1.1.2 (2015-04) ή των μερών τους θεωρείται ότι συμμορφώνεται στις απαιτήσεις προσβασιμότητας που ορίζονται στο άρθρο 4 και που καλύπτουν οι εν λόγω σχετικές απαιτήσεις ή τα μέρη τους.</w:t>
      </w:r>
    </w:p>
    <w:p>
      <w:pPr>
        <w:pStyle w:val="MainText"/>
        <w:spacing w:before="120" w:after="0"/>
        <w:rPr>
          <w:lang w:val="el" w:eastAsia="el"/>
        </w:rPr>
      </w:pPr>
      <w:r>
        <w:rPr>
          <w:b/>
          <w:bCs/>
          <w:lang w:val="el" w:eastAsia="el"/>
        </w:rPr>
        <w:t>4.</w:t>
      </w:r>
      <w:r>
        <w:rPr>
          <w:lang w:val="el" w:eastAsia="el"/>
        </w:rPr>
        <w:t xml:space="preserve"> Εφόσον έχουν δημοσιευθεί στην Επίσημη Εφημερίδα της Ευρωπαϊκής Ένωσης στοιχεία αναφοράς που παραπέμπουν σε μια πιο πρόσφατη έκδοση του ευρωπαϊκού προτύπου ΕΝ 301 549 V1.1.2 (2015-04) ή σε ευρωπαϊκό πρότυπο που το αντικαθιστά, εφαρμόζεται η πιο πρόσφατη έκδοση του προτύπου αυτού, ή το πρότυπο που το αντικαθιστά.</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ΔΗΛΩΣΗ ΠΡΟΣΒΑΣΙΜΟΤΗΤΑΣ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Μορφή και περιεχόμενο της δήλωσης προσβασιμότητας</w:t>
      </w:r>
    </w:p>
    <w:p>
      <w:pPr>
        <w:spacing w:before="240" w:after="240"/>
        <w:rPr>
          <w:lang w:val="el" w:eastAsia="el"/>
        </w:rPr>
      </w:pPr>
      <w:r>
        <w:rPr>
          <w:b/>
          <w:bCs/>
          <w:lang w:val="el" w:eastAsia="el"/>
        </w:rPr>
        <w:t>(άρθρο 7 παρ. 1 εδάφια πρώτο, δεύτερο, τρίτο και τέταρτο και παρ. 2 της Οδηγίας 2016/2102/Ε.Ε.)</w:t>
      </w:r>
    </w:p>
    <w:p>
      <w:pPr>
        <w:pStyle w:val="MainText"/>
        <w:spacing w:before="120" w:after="0"/>
        <w:rPr>
          <w:lang w:val="el" w:eastAsia="el"/>
        </w:rPr>
      </w:pPr>
      <w:r>
        <w:rPr>
          <w:b/>
          <w:bCs/>
          <w:lang w:val="el" w:eastAsia="el"/>
        </w:rPr>
        <w:t>1.</w:t>
      </w:r>
      <w:r>
        <w:rPr>
          <w:lang w:val="el" w:eastAsia="el"/>
        </w:rPr>
        <w:t xml:space="preserve"> Οι οργανισμοί του δημόσιου τομέα παρέχουν και επικαιροποιούν χωρίς καθυστέρηση, μόλις επέλθει ουσιώδης μεταβολή και σε κάθε περίπτωση σε ετήσια βάση, λεπτομερή, περιεκτική και σαφή δήλωση προσβα- σιμότητας για τη συμμόρφωση των ιστότοπων και των εφαρμογών τους για φορητές συσκευές στις διατάξεις του παρόντος Μέρους.</w:t>
      </w:r>
    </w:p>
    <w:p>
      <w:pPr>
        <w:pStyle w:val="MainText"/>
        <w:spacing w:before="120" w:after="0"/>
        <w:rPr>
          <w:lang w:val="el" w:eastAsia="el"/>
        </w:rPr>
      </w:pPr>
      <w:r>
        <w:rPr>
          <w:b/>
          <w:bCs/>
          <w:lang w:val="el" w:eastAsia="el"/>
        </w:rPr>
        <w:t>2.</w:t>
      </w:r>
      <w:r>
        <w:rPr>
          <w:lang w:val="el" w:eastAsia="el"/>
        </w:rPr>
        <w:t xml:space="preserve"> Για τους ιστότοπους των οργανισμών του δημόσιου τομέα, η δήλωση προσβασιμότητας παρέχεται σε προ- σβάσιμη μορφή, σύμφωνα με το υπόδειγμα δήλωσης προσβασιμότητας της παραγράφου 4, και αναρτάται στον ιστότοπο του οικείου φορέα.</w:t>
      </w:r>
    </w:p>
    <w:p>
      <w:pPr>
        <w:pStyle w:val="MainText"/>
        <w:spacing w:before="120" w:after="0"/>
        <w:rPr>
          <w:lang w:val="el" w:eastAsia="el"/>
        </w:rPr>
      </w:pPr>
      <w:r>
        <w:rPr>
          <w:b/>
          <w:bCs/>
          <w:lang w:val="el" w:eastAsia="el"/>
        </w:rPr>
        <w:t>3.</w:t>
      </w:r>
      <w:r>
        <w:rPr>
          <w:lang w:val="el" w:eastAsia="el"/>
        </w:rPr>
        <w:t xml:space="preserve"> Για τις εφαρμογές για φορητές συσκευές, η δήλωση προσβασιμότητας παρέχεται σε προσβάσιμη μορφή, σύμφωνα με την παράγραφο 4 και το υπόδειγμα δήλωσης της παραγράφου 5, και είναι διαθέσιμη στον ιστό- τοπο του οργανισμού του δημόσιου τομέα, ο οποίος ανέπτυξε την οικεία εφαρμογή για φορητές συσκευές, ή διατίθεται ταυτόχρονα με άλλα πληροφοριακά στοιχεία κατά την τηλεφόρτωση της εφαρμογής.</w:t>
      </w:r>
    </w:p>
    <w:p>
      <w:pPr>
        <w:pStyle w:val="MainText"/>
        <w:spacing w:before="120" w:after="0"/>
        <w:rPr>
          <w:lang w:val="el" w:eastAsia="el"/>
        </w:rPr>
      </w:pPr>
      <w:r>
        <w:rPr>
          <w:b/>
          <w:bCs/>
          <w:lang w:val="el" w:eastAsia="el"/>
        </w:rPr>
        <w:t>4.</w:t>
      </w:r>
      <w:r>
        <w:rPr>
          <w:lang w:val="el" w:eastAsia="el"/>
        </w:rPr>
        <w:t xml:space="preserve"> Η δήλωση προσβασιμότητας περιλαμβάνει τα εξής: α) εξήγηση σχετικά με τα εν λόγω τμήματα του περιεχομένου που δεν είναι προσβάσιμα και τους λόγους για την απουσία προσβασιμότητας και, ενδεχομένως, προ- σβάσιμες εναλλακτικές δυνατότητες που παρέχονται,</w:t>
      </w:r>
    </w:p>
    <w:p>
      <w:pPr>
        <w:pStyle w:val="StructureList1"/>
        <w:spacing w:before="120" w:after="0"/>
        <w:rPr>
          <w:lang w:val="el" w:eastAsia="el"/>
        </w:rPr>
      </w:pPr>
      <w:r>
        <w:rPr>
          <w:lang w:val="el" w:eastAsia="el"/>
        </w:rPr>
        <w:t>β)</w:t>
      </w:r>
      <w:r>
        <w:rPr>
          <w:lang w:val="en" w:eastAsia="en"/>
        </w:rPr>
        <w:tab/>
      </w:r>
      <w:r>
        <w:rPr>
          <w:lang w:val="el" w:eastAsia="el"/>
        </w:rPr>
        <w:t>περιγραφή και σύνδεσμο προς τον μηχανισμό διαδικασίας ενημέρωσης και υποβολής παρατηρήσεων, ο οποίος παρέχει τη δυνατότητα σε κάθε πρόσωπο να ενημερώνει τον οργανισμό του δημόσιου τομέα για τυχόν αδυναμία του ιστοτόπου του ή των εφαρμογών του για φορητές συσκευές να συμμορφώνονται προς τις απαιτήσεις προσβασιμότητας του άρθρου 4 και να ζητεί τις πληροφορίες που ελλείπουν σύμφωνα με την παράγραφο 3 του άρθρου 2 και του άρθρου 5,</w:t>
      </w:r>
    </w:p>
    <w:p>
      <w:pPr>
        <w:pStyle w:val="StructureList1"/>
        <w:spacing w:before="120" w:after="0"/>
        <w:rPr>
          <w:lang w:val="el" w:eastAsia="el"/>
        </w:rPr>
      </w:pPr>
      <w:r>
        <w:rPr>
          <w:lang w:val="el" w:eastAsia="el"/>
        </w:rPr>
        <w:t>γ)</w:t>
      </w:r>
      <w:r>
        <w:rPr>
          <w:lang w:val="en" w:eastAsia="en"/>
        </w:rPr>
        <w:tab/>
      </w:r>
      <w:r>
        <w:rPr>
          <w:lang w:val="el" w:eastAsia="el"/>
        </w:rPr>
        <w:t>ενημέρωση για τη δυνατότητα επικοινωνίας από κάθε ενδιαφερόμενο με θεσμικούς φορείς, όπως ο Συνήγορος του Πολίτη, σε περίπτωση μη ικανοποιητικής απάντησης στην ενημέρωση ή στα αιτήματα του άρθρου 10.</w:t>
      </w:r>
    </w:p>
    <w:p>
      <w:pPr>
        <w:pStyle w:val="MainText"/>
        <w:spacing w:before="120" w:after="0"/>
        <w:rPr>
          <w:lang w:val="el" w:eastAsia="el"/>
        </w:rPr>
      </w:pPr>
      <w:r>
        <w:rPr>
          <w:b/>
          <w:bCs/>
          <w:lang w:val="el" w:eastAsia="el"/>
        </w:rPr>
        <w:t>5.</w:t>
      </w:r>
      <w:r>
        <w:rPr>
          <w:lang w:val="el" w:eastAsia="el"/>
        </w:rPr>
        <w:t xml:space="preserve"> Η δήλωση προσβασιμότητας διαμορφώνεται σύμφωνα με τα υποδείγματα που καθορίζονται από εκτελεστικές πράξεις της Ευρωπαϊκής Επιτροπής, εφόσον έχουν εκδοθεί.</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Μητρώο Δημόσιων Ιστότοπων και Εφαρμογών</w:t>
      </w:r>
    </w:p>
    <w:p>
      <w:pPr>
        <w:pStyle w:val="MainText"/>
        <w:spacing w:before="120" w:after="0"/>
        <w:rPr>
          <w:lang w:val="el" w:eastAsia="el"/>
        </w:rPr>
      </w:pPr>
      <w:r>
        <w:rPr>
          <w:b/>
          <w:bCs/>
          <w:lang w:val="el" w:eastAsia="el"/>
        </w:rPr>
        <w:t>1.</w:t>
      </w:r>
      <w:r>
        <w:rPr>
          <w:lang w:val="el" w:eastAsia="el"/>
        </w:rPr>
        <w:t xml:space="preserve"> Στη Γενική Διεύθυνση Δημόσιων Οργανώσεων του Υπουργείου Διοικητικής Ανασυγκρότησης τηρείται «Μητρώο Δημόσιων Ιστότοπων και Εφαρμογών» (ΜΗ.Δ.ΙΣ.ΕΦ.).</w:t>
      </w:r>
    </w:p>
    <w:p>
      <w:pPr>
        <w:pStyle w:val="MainText"/>
        <w:spacing w:before="120" w:after="0"/>
        <w:rPr>
          <w:lang w:val="el" w:eastAsia="el"/>
        </w:rPr>
      </w:pPr>
      <w:r>
        <w:rPr>
          <w:b/>
          <w:bCs/>
          <w:lang w:val="el" w:eastAsia="el"/>
        </w:rPr>
        <w:t>2.</w:t>
      </w:r>
      <w:r>
        <w:rPr>
          <w:lang w:val="el" w:eastAsia="el"/>
        </w:rPr>
        <w:t xml:space="preserve"> Στο ΜΗ.Δ.ΙΣ.ΕΦ. εντάσσονται οι ιστότοποι και οι εφαρμογές για φορητές συσκευές οργανισμών του δημόσιου τομέα που συμμορφώνονται στις απαιτήσεις προσβασιμότητας των άρθρων 4 και 6. Στο ΜΗ.Δ.ΙΣ. ΕΦ. τηρούνται και οι ισχύουσες και επικαιροποιημένες, σύμφωνα με την παράγραφο 1 του άρθρου 7, δηλώσεις προσβασιμότητας των οικείων φορέων. Οι ιστότοποι και οι εφαρμογές για φορητές συσκευές οργανισμών του δημόσιου τομέα εντάσσονται στο ΜΗ.Δ.ΙΣ.ΕΦ. με απόφαση του Υπουργού Διοικητικής Ανασυγκρότησης, ύστερα από γνώμη της Ε.Σ.Α.μεΑ. Με όμοια απόφαση γίνεται η διαγραφή από το ΜΗ.Δ.ΙΣ.ΕΦ. ιστότοπων και εφαρμογών για φορητές συσκευές οργανισμών του δημόσιου τομέα, που δεν πληρούν τις απαιτήσεις προσβασιμότητας.</w:t>
      </w:r>
    </w:p>
    <w:p>
      <w:pPr>
        <w:pStyle w:val="MainText"/>
        <w:spacing w:before="120" w:after="0"/>
        <w:rPr>
          <w:lang w:val="el" w:eastAsia="el"/>
        </w:rPr>
      </w:pPr>
      <w:r>
        <w:rPr>
          <w:b/>
          <w:bCs/>
          <w:lang w:val="el" w:eastAsia="el"/>
        </w:rPr>
        <w:t>3.</w:t>
      </w:r>
      <w:r>
        <w:rPr>
          <w:lang w:val="el" w:eastAsia="el"/>
        </w:rPr>
        <w:t xml:space="preserve"> Ύστερα από αίτημα της Γενικής Διεύθυνσης Δημόσιων Οργανώσεων του Υπουργείου Διοικητικής Ανασυγκρότησης, οι αρμόδιες οργανικές μονάδες της Γενικής Γραμματείας Ψηφιακής Πολιτικής του Υπουργείου Ψηφιακής Πολιτικής, Τηλεπικοινωνιών και Ενημέρωσης παρέχουν στοιχεία απαραίτητα για την έκδοση των αποφάσεων της παραγράφου 2.</w:t>
      </w:r>
    </w:p>
    <w:p>
      <w:pPr>
        <w:pStyle w:val="MainText"/>
        <w:spacing w:before="120" w:after="0"/>
        <w:rPr>
          <w:lang w:val="el" w:eastAsia="el"/>
        </w:rPr>
      </w:pPr>
      <w:r>
        <w:rPr>
          <w:b/>
          <w:bCs/>
          <w:lang w:val="el" w:eastAsia="el"/>
        </w:rPr>
        <w:t>4.</w:t>
      </w:r>
      <w:r>
        <w:rPr>
          <w:lang w:val="el" w:eastAsia="el"/>
        </w:rPr>
        <w:t xml:space="preserve"> Με κοινή απόφαση των Υπουργών Διοικητικής Ανασυγκρότησης και Ψηφιακής Πολιτικής, Τηλεπικοινωνιών και Ενημέρωσης, η οποία εκδίδεται ύστερα από γνώμη της Ε.Σ.Α.μεΑ., καθορίζονται οι όροι και οι προϋποθέσεις ένταξης στο ΜΗ.Δ.ΙΣ.ΕΦ., η μορφή και η διαδικασία χορήγησης της γνωμοδότησης της παραγράφου 2 από την Ε.Σ.Α.μεΑ., τα όργανα διαχείρισης της ηλεκτρονικής βάσης, οι τεχνικές και λειτουργικές απαιτήσεις και προδιαγραφές της, καθώς και κάθε άλλο τεχνικό θέμα σχετικό με την εφαρμογή του ΜΗ.Δ.ΙΣ.ΕΦ.</w:t>
      </w:r>
    </w:p>
    <w:p>
      <w:pPr>
        <w:pStyle w:val="MainText"/>
        <w:spacing w:before="120" w:after="0"/>
        <w:rPr>
          <w:lang w:val="el" w:eastAsia="el"/>
        </w:rPr>
      </w:pPr>
      <w:r>
        <w:rPr>
          <w:b/>
          <w:bCs/>
          <w:lang w:val="el" w:eastAsia="el"/>
        </w:rPr>
        <w:t>5.</w:t>
      </w:r>
      <w:r>
        <w:rPr>
          <w:lang w:val="el" w:eastAsia="el"/>
        </w:rPr>
        <w:t xml:space="preserve"> Με απόφαση του οργάνου διοίκησης του οργανισμού του δημόσιου τομέα, η οποία κοινοποιείται στα Υπουργεία Διοικητικής Ανασυγκρότησης και Ψηφιακής Πολιτικής, Τηλεπικοινωνιών και Ενημέρωσης, ορίζεται ένας (1) υπάλληλος ΠΕ ή ΤΕ Πληροφορικής για την τεχνική, διαδικαστική και οργανωτική υποστήριξη του οργανισμού ως προς την εφαρμογή του παρόντος, καθώς και για τη συνεργασία με τις αρμόδιες οργανικές μονάδες των Υπουργείων της παρούσας παραγράφου.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Υποχρέωση δημοσιοποίησης στοιχείων</w:t>
      </w:r>
    </w:p>
    <w:p>
      <w:pPr>
        <w:spacing w:before="240" w:after="240"/>
        <w:rPr>
          <w:lang w:val="el" w:eastAsia="el"/>
        </w:rPr>
      </w:pPr>
      <w:r>
        <w:rPr>
          <w:lang w:val="el" w:eastAsia="el"/>
        </w:rPr>
        <w:t>Οι οργανισμοί του δημόσιου τομέα αναρτούν στον ιστότοπο τους πλήρη στοιχεία για την κατάσταση συμμόρφωσης των ιστότοπων και των εφαρμογών τους για φορητές συσκευές στις διατάξεις του παρόντος.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ΕΓΓΥΗΣΕΙΣ ΣΥΜΜΟΡΦΩΣΗΣ ΚΑΙ ΕΦΑΡΜΟΓΗΣ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Υποβολή παρατηρήσεων, αιτημάτων για παροχή πληροφοριών και αναφορών (άρθρο 7 παρ. 1 εδάφιο πέμπτο και άρθρο 9 της Οδηγίας 2016/2102/Ε.Ε.)</w:t>
      </w:r>
    </w:p>
    <w:p>
      <w:pPr>
        <w:pStyle w:val="MainText"/>
        <w:spacing w:before="120" w:after="0"/>
        <w:rPr>
          <w:lang w:val="el" w:eastAsia="el"/>
        </w:rPr>
      </w:pPr>
      <w:r>
        <w:rPr>
          <w:b/>
          <w:bCs/>
          <w:lang w:val="el" w:eastAsia="el"/>
        </w:rPr>
        <w:t>1.</w:t>
      </w:r>
      <w:r>
        <w:rPr>
          <w:lang w:val="el" w:eastAsia="el"/>
        </w:rPr>
        <w:t xml:space="preserve"> Κάθε ενδιαφερόμενος, μέσω του μηχανισμού της περίπτωσης β' της παραγράφου 4 του άρθρου 7, έχει δικαίωμα να υποβάλλει παρατηρήσεις ή αίτηση για ενημέρωση ως προς την κατάσταση συμμόρφωσης των ιστότοπων και των εφαρμογών για φορητές συσκευές οργανισμών του δημόσιου τομέα, σύμφωνα με τις διατάξεις του παρόντος Μέρους, ή αίτηση για πληροφορίες που ελλείπουν, σύμφωνα με την παράγραφο 3 του άρθρου 2 και το άρθρο 5.</w:t>
      </w:r>
    </w:p>
    <w:p>
      <w:pPr>
        <w:pStyle w:val="MainText"/>
        <w:spacing w:before="120" w:after="0"/>
        <w:rPr>
          <w:lang w:val="el" w:eastAsia="el"/>
        </w:rPr>
      </w:pPr>
      <w:r>
        <w:rPr>
          <w:b/>
          <w:bCs/>
          <w:lang w:val="el" w:eastAsia="el"/>
        </w:rPr>
        <w:t>2.</w:t>
      </w:r>
      <w:r>
        <w:rPr>
          <w:lang w:val="el" w:eastAsia="el"/>
        </w:rPr>
        <w:t xml:space="preserve"> Οι οργανισμοί του δημόσιου τομέα αποφαίνονται για τα αιτήματα της παραγράφου 1 μέσα σε τριάντα (30) ημέρες από την υποβολή της σχετικής αίτησης. Αν η αίτηση υποβάλλεται σε αναρμόδια υπηρεσία, η υπηρεσία αυτή τη διαβιβάζει μέσα σε πέντε (5) ημέρες στον αρμόδιο φορέα. Στην περίπτωση αυτή, η προθεσμία αρχίζει από την περιέλευση της αίτησης στην αρμόδια υπηρεσία.</w:t>
      </w:r>
    </w:p>
    <w:p>
      <w:pPr>
        <w:pStyle w:val="MainText"/>
        <w:spacing w:before="120" w:after="0"/>
        <w:rPr>
          <w:lang w:val="el" w:eastAsia="el"/>
        </w:rPr>
      </w:pPr>
      <w:r>
        <w:rPr>
          <w:b/>
          <w:bCs/>
          <w:lang w:val="el" w:eastAsia="el"/>
        </w:rPr>
        <w:t>3.</w:t>
      </w:r>
      <w:r>
        <w:rPr>
          <w:lang w:val="el" w:eastAsia="el"/>
        </w:rPr>
        <w:t xml:space="preserve"> Αν η αίτηση δεν μπορεί να διεκπεραιωθεί στην προ- βλεπόμενη από την παράγραφο 2 προθεσμία, λόγω αντικειμενικής αδυναμίας, ειδικά αιτιολογημένης, η αρμόδια υπηρεσία, το αργότερο μέσα σε πέντε (5) ημέρες, γνωστοποιεί με κάθε πρόσφορο μέσο στον αιτούντα τους λόγους της καθυστέρησης και κάθε χρήσιμη πληροφορία.</w:t>
      </w:r>
    </w:p>
    <w:p>
      <w:pPr>
        <w:pStyle w:val="MainText"/>
        <w:spacing w:before="120" w:after="0"/>
        <w:rPr>
          <w:lang w:val="el" w:eastAsia="el"/>
        </w:rPr>
      </w:pPr>
      <w:r>
        <w:rPr>
          <w:b/>
          <w:bCs/>
          <w:lang w:val="el" w:eastAsia="el"/>
        </w:rPr>
        <w:t>4.</w:t>
      </w:r>
      <w:r>
        <w:rPr>
          <w:lang w:val="el" w:eastAsia="el"/>
        </w:rPr>
        <w:t xml:space="preserve"> Οι αιτήσεις της παραγράφου 1 και οι αποφάσεις της παραγράφου 2 κοινοποιούνται χωρίς καθυστέρηση, με μέριμνα των οργανισμών του δημόσιου τομέα, στη Γενική Διεύθυνση Δημόσιων Οργανώσεων του Υπουργείου Διοικητικής Ανασυγκρότησης.</w:t>
      </w:r>
    </w:p>
    <w:p>
      <w:pPr>
        <w:pStyle w:val="MainText"/>
        <w:spacing w:before="120" w:after="0"/>
        <w:rPr>
          <w:lang w:val="el" w:eastAsia="el"/>
        </w:rPr>
      </w:pPr>
      <w:r>
        <w:rPr>
          <w:b/>
          <w:bCs/>
          <w:lang w:val="el" w:eastAsia="el"/>
        </w:rPr>
        <w:t>5.</w:t>
      </w:r>
      <w:r>
        <w:rPr>
          <w:lang w:val="el" w:eastAsia="el"/>
        </w:rPr>
        <w:t xml:space="preserve"> Ειδικά για ζητήματα δικαιωμάτων των ατόμων με αναπηρίες, εφαρμόζονται και οι διατάξεις του άρθρου 72 του ν. 4488/2017 περί του Πλαισίου Προαγωγής για την εφαρμογή της Σύμβασης των Ηνωμένων Εθνών για τα δικαιώματα των ατόμων με αναπηρίες.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Επιμόρφωση υπαλλήλων και ευαισθητοποίηση του κοινού</w:t>
      </w:r>
    </w:p>
    <w:p>
      <w:pPr>
        <w:spacing w:before="240" w:after="240"/>
        <w:rPr>
          <w:lang w:val="el" w:eastAsia="el"/>
        </w:rPr>
      </w:pPr>
      <w:r>
        <w:rPr>
          <w:b/>
          <w:bCs/>
          <w:lang w:val="el" w:eastAsia="el"/>
        </w:rPr>
        <w:t>(άρθρο 7 παρ. 4 και 5 της Οδηγίας 2016/2102/Ε.Ε.)</w:t>
      </w:r>
    </w:p>
    <w:p>
      <w:pPr>
        <w:pStyle w:val="MainText"/>
        <w:spacing w:before="120" w:after="0"/>
        <w:rPr>
          <w:lang w:val="el" w:eastAsia="el"/>
        </w:rPr>
      </w:pPr>
      <w:r>
        <w:rPr>
          <w:b/>
          <w:bCs/>
          <w:lang w:val="el" w:eastAsia="el"/>
        </w:rPr>
        <w:t>1.</w:t>
      </w:r>
      <w:r>
        <w:rPr>
          <w:lang w:val="el" w:eastAsia="el"/>
        </w:rPr>
        <w:t xml:space="preserve"> Οι οργανισμοί του δημόσιου τομέα μεριμνούν για την κατάρτιση και την επιμόρφωση του προσωπικού τους σε θέματα προσβασιμότητας των δικτυακών τόπων και των εφαρμογών για φορητές συσκευές. Η εκπόνηση, η διαχείριση και ο συντονισμός προγραμμάτων κατάρτισης και επιμόρφωσης του προηγούμενου εδαφίου διενεργούνται από το Εθνικό Κέντρο Δημόσιας Διοίκησης και Αυτοδιοίκησης (Ε.Κ.Δ.Δ.Α.), σε συνεργασία με την Ε.Σ.Α.μεΑ., ύστερα από σχετικό αίτημα οργανισμού του δημόσιου τομέα. Με κοινή απόφαση των Υπουργών Διοικητικής Ανασυγκρότησης και Ψηφιακής Πολιτικής, Τηλεπικοινωνιών και Ενημέρωσης, ύστερα από εισήγηση του διοικητικού συμβουλίου του Ε.Κ.Δ.Δ.Α. και της Ε.Σ.Α.μεΑ., καθορίζονται το περιεχόμενο των προγραμμάτων κατάρτισης και επιμόρφωσης, οι προϋποθέσεις κατάρτισης και επιμόρφωσης και κάθε άλλο θέμα σχετικό με τα προγράμματα αυτά.</w:t>
      </w:r>
    </w:p>
    <w:p>
      <w:pPr>
        <w:pStyle w:val="MainText"/>
        <w:spacing w:before="120" w:after="0"/>
        <w:rPr>
          <w:lang w:val="el" w:eastAsia="el"/>
        </w:rPr>
      </w:pPr>
      <w:r>
        <w:rPr>
          <w:b/>
          <w:bCs/>
          <w:lang w:val="el" w:eastAsia="el"/>
        </w:rPr>
        <w:t>2.</w:t>
      </w:r>
      <w:r>
        <w:rPr>
          <w:lang w:val="el" w:eastAsia="el"/>
        </w:rPr>
        <w:t xml:space="preserve"> Οι οργανισμοί του δημόσιου τομέα ενημερώνουν και ευαισθητοποιούν, στο πλαίσιο των αρμοδιοτήτων τους, τους υπαλλήλους και τους εργαζομένους τους, καθώς και το κοινό, σχετικά με τις απαιτήσεις προσβασιμότητας του άρθρου 4, τα οφέλη για τους χρήστες και τους ιδιοκτήτες ιστότοπων και εφαρμογών για φορητές συσκευές, καθώς και για τη δυνατότητα υποβολής αναφορών σε περίπτωση μη συμμόρφωσης στις διατάξεις του παρόντος.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ΕΠΟΠΤΕΙΑ ΕΦΑΡΜΟΓΗΣ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Παρακολούθηση και υποβολή εκθέσεων (άρθρο 7 παρ. 3 και άρθρο 8 της Οδηγίας 2016/2102/Ε.Ε.)</w:t>
      </w:r>
    </w:p>
    <w:p>
      <w:pPr>
        <w:pStyle w:val="MainText"/>
        <w:spacing w:before="120" w:after="0"/>
        <w:rPr>
          <w:lang w:val="el" w:eastAsia="el"/>
        </w:rPr>
      </w:pPr>
      <w:r>
        <w:rPr>
          <w:b/>
          <w:bCs/>
          <w:lang w:val="el" w:eastAsia="el"/>
        </w:rPr>
        <w:t>1.</w:t>
      </w:r>
      <w:r>
        <w:rPr>
          <w:lang w:val="el" w:eastAsia="el"/>
        </w:rPr>
        <w:t xml:space="preserve"> Η Γενική Γραμματεία Ψηφιακής Πολιτικής του Υπουργείου Ψηφιακής Πολιτικής, Τηλεπικοινωνιών και Ενημέρωσης είναι αρμόδια για την παρακολούθηση της συμμόρφωσης των ιστότοπων και των εφαρμογών για φορητές συσκευές των οργανισμών του δημόσιου τομέα στις απαιτήσεις προσβασιμότητας του άρθρου 4.</w:t>
      </w:r>
    </w:p>
    <w:p>
      <w:pPr>
        <w:pStyle w:val="MainText"/>
        <w:spacing w:before="120" w:after="0"/>
        <w:rPr>
          <w:lang w:val="el" w:eastAsia="el"/>
        </w:rPr>
      </w:pPr>
      <w:r>
        <w:rPr>
          <w:b/>
          <w:bCs/>
          <w:lang w:val="el" w:eastAsia="el"/>
        </w:rPr>
        <w:t>2.</w:t>
      </w:r>
      <w:r>
        <w:rPr>
          <w:lang w:val="el" w:eastAsia="el"/>
        </w:rPr>
        <w:t xml:space="preserve"> α) Η μεθοδολογία παρακολούθησης είναι διαφανής, συγκρίσιμη και εύχρηστη, διατίθεται και αναπαράγεται επί τη βάσει των κανόνων του ανοιχτού λογισμικού, καθώς και των ανοιχτών προτύπων και μορφότυπων.</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τηρείται η μεθοδολογία παρακολούθησης που καθορίζει η Ευρωπαϊκή Επιτροπή με εκτελεστικές πράξεις.</w:t>
      </w:r>
    </w:p>
    <w:p>
      <w:pPr>
        <w:pStyle w:val="MainText"/>
        <w:spacing w:before="120" w:after="0"/>
        <w:rPr>
          <w:lang w:val="el" w:eastAsia="el"/>
        </w:rPr>
      </w:pPr>
      <w:r>
        <w:rPr>
          <w:b/>
          <w:bCs/>
          <w:lang w:val="el" w:eastAsia="el"/>
        </w:rPr>
        <w:t>3.</w:t>
      </w:r>
      <w:r>
        <w:rPr>
          <w:lang w:val="el" w:eastAsia="el"/>
        </w:rPr>
        <w:t xml:space="preserve"> Μέχρι τον καθορισμό της μεθοδολογίας παρακολούθησης με εκτελεστικές πράξεις της Ευρωπαϊκής Επιτροπής, η μεθοδολογία αυτή μπορεί να λαμβάνει υπόψη εκθέσεις εμπειρογνωμόνων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την περιοδικότητα της παρακολούθησης, καθώς και τη δειγματοληψία των ιστότοπων και των εφαρμογών για φορητές συσκευές που υπόκεινται σε παρακολούθηση, β) σε επίπεδο ιστότοπου, τη δειγματοληψία των ιστοσελίδων και του περιεχομένου τους,</w:t>
      </w:r>
    </w:p>
    <w:p>
      <w:pPr>
        <w:pStyle w:val="StructureList1"/>
        <w:spacing w:before="120" w:after="0"/>
        <w:rPr>
          <w:lang w:val="el" w:eastAsia="el"/>
        </w:rPr>
      </w:pPr>
      <w:r>
        <w:rPr>
          <w:lang w:val="el" w:eastAsia="el"/>
        </w:rPr>
        <w:t>γ)</w:t>
      </w:r>
      <w:r>
        <w:rPr>
          <w:lang w:val="en" w:eastAsia="en"/>
        </w:rPr>
        <w:tab/>
      </w:r>
      <w:r>
        <w:rPr>
          <w:lang w:val="el" w:eastAsia="el"/>
        </w:rPr>
        <w:t>σε επίπεδο εφαρμογών για φορητές συσκευές, το προς εξέταση περιεχόμενο, λαμβανομένων υπόψη της στιγμής της αρχικής θέσης σε λειτουργία της εφαρμογής και των μεταγενέστερων λειτουργικών ενημερώσεων,</w:t>
      </w:r>
    </w:p>
    <w:p>
      <w:pPr>
        <w:pStyle w:val="StructureList1"/>
        <w:spacing w:before="120" w:after="0"/>
        <w:rPr>
          <w:lang w:val="el" w:eastAsia="el"/>
        </w:rPr>
      </w:pPr>
      <w:r>
        <w:rPr>
          <w:lang w:val="el" w:eastAsia="el"/>
        </w:rPr>
        <w:t>δ)</w:t>
      </w:r>
      <w:r>
        <w:rPr>
          <w:lang w:val="en" w:eastAsia="en"/>
        </w:rPr>
        <w:tab/>
      </w:r>
      <w:r>
        <w:rPr>
          <w:lang w:val="el" w:eastAsia="el"/>
        </w:rPr>
        <w:t>την περιγραφή του τρόπου με τον οποίο πρέπει να αποδεικνύεται επαρκώς η συμμόρφωση ή η παράλειψη συμμόρφωσης στις απαιτήσεις προσβασιμότητας του άρθρου 4, με άμεση παραπομπή, κατά περίπτωση, στις σχετικές περιγραφές του εναρμονισμένου προτύπου ή, ελλείψει αυτού, στις τεχνικές προδιαγραφές της παραγράφου 2 του άρθρου 6 ή στο ευρωπαϊκό πρότυπο της παραγράφου 3 του άρθρου 6,</w:t>
      </w:r>
    </w:p>
    <w:p>
      <w:pPr>
        <w:pStyle w:val="StructureList1"/>
        <w:spacing w:before="120" w:after="0"/>
        <w:rPr>
          <w:lang w:val="el" w:eastAsia="el"/>
        </w:rPr>
      </w:pPr>
      <w:r>
        <w:rPr>
          <w:lang w:val="el" w:eastAsia="el"/>
        </w:rPr>
        <w:t>ε)</w:t>
      </w:r>
      <w:r>
        <w:rPr>
          <w:lang w:val="en" w:eastAsia="en"/>
        </w:rPr>
        <w:tab/>
      </w:r>
      <w:r>
        <w:rPr>
          <w:lang w:val="el" w:eastAsia="el"/>
        </w:rPr>
        <w:t>σε περίπτωση εντοπισμού αδυναμιών συμμόρφωσης των οργανισμών του δημόσιου τομέα, μηχανισμό για την παροχή στοιχείων και πληροφοριών σχετικά με τη συμμόρφωση στις απαιτήσεις προσβασιμότητας του άρθρου 4, σε μορφή που να μπορεί να χρησιμοποιηθεί από τους οργανισμούς του δημόσιου τομέα για τη διόρθωση των αδυναμιών αυτών,</w:t>
      </w:r>
    </w:p>
    <w:p>
      <w:pPr>
        <w:pStyle w:val="StructureList1"/>
        <w:spacing w:before="120" w:after="0"/>
        <w:rPr>
          <w:lang w:val="el" w:eastAsia="el"/>
        </w:rPr>
      </w:pPr>
      <w:r>
        <w:rPr>
          <w:lang w:val="el" w:eastAsia="el"/>
        </w:rPr>
        <w:t>στ)</w:t>
      </w:r>
      <w:r>
        <w:rPr>
          <w:lang w:val="en" w:eastAsia="en"/>
        </w:rPr>
        <w:tab/>
      </w:r>
      <w:r>
        <w:rPr>
          <w:lang w:val="el" w:eastAsia="el"/>
        </w:rPr>
        <w:t>τις κατάλληλες ρυθμίσεις, συμπεριλαμβανομένων, εφόσον απαιτούνται, παραδειγμάτων και καθοδήγησης, για αυτόματες και χειροκίνητες δοκιμές και για δοκιμές χρηστικότητας, σε συνδυασμό με τις παραμέτρους δειγματοληψίας, κατά τρόπο συμβατό με την περιοδικότητα της παρακολούθησης και της υποβολής εκθέσεων.</w:t>
      </w:r>
    </w:p>
    <w:p>
      <w:pPr>
        <w:pStyle w:val="MainText"/>
        <w:spacing w:before="120" w:after="0"/>
        <w:rPr>
          <w:lang w:val="el" w:eastAsia="el"/>
        </w:rPr>
      </w:pPr>
      <w:r>
        <w:rPr>
          <w:b/>
          <w:bCs/>
          <w:lang w:val="el" w:eastAsia="el"/>
        </w:rPr>
        <w:t>4.</w:t>
      </w:r>
      <w:r>
        <w:rPr>
          <w:lang w:val="el" w:eastAsia="el"/>
        </w:rPr>
        <w:t xml:space="preserve"> Η Γενική Γραμματεία Ψηφιακής Πολιτικής του Υπουργείου Ψηφιακής Πολιτικής, Τηλεπικοινωνιών και Ενημέρωσης λαμβάνει τα κατάλληλα μέτρα για να διευκολύνει την εφαρμογή των απαιτήσεων προσβασιμότητας του άρθρου 4 σε τύπους ιστότοπων και εφαρμογών για φορητές συσκευές, πέραν των προβλεπομένων από την παράγραφο 1 του άρθρου 2, και ειδικότερα σε ιστότο- πους και εφαρμογές για φορητές συσκευές των οποίων η λειτουργία εμπίπτει στο πεδίο εφαρμογής διατάξεων που ισχύουν για την προσβασιμότητα.</w:t>
      </w:r>
    </w:p>
    <w:p>
      <w:pPr>
        <w:pStyle w:val="MainText"/>
        <w:spacing w:before="120" w:after="0"/>
        <w:rPr>
          <w:lang w:val="el" w:eastAsia="el"/>
        </w:rPr>
      </w:pPr>
      <w:r>
        <w:rPr>
          <w:b/>
          <w:bCs/>
          <w:lang w:val="el" w:eastAsia="el"/>
        </w:rPr>
        <w:t>5.</w:t>
      </w:r>
      <w:r>
        <w:rPr>
          <w:lang w:val="el" w:eastAsia="el"/>
        </w:rPr>
        <w:t xml:space="preserve"> Έως τις 23 Δεκεμβρίου 2021 και στη συνέχεια ανά τριετία, το Υπουργείο Ψηφιακής Πολιτικής, Τηλεπικοινωνιών και Ενημέρωσης υποβάλλει έκθεση προς την Ευρωπαϊκή Επιτροπή για τα αποτελέσματα της παρακολούθησης της παραγράφου 1, συμπεριλαμβανομένων των δεδομένων των μετρήσεων. Για το περιεχόμενο της έκθεσης εφαρμόζονται οι σχετικές εκτελεστικές πράξεις της Ευρωπαϊκής Επιτροπής.</w:t>
      </w:r>
    </w:p>
    <w:p>
      <w:pPr>
        <w:pStyle w:val="MainText"/>
        <w:spacing w:before="120" w:after="0"/>
        <w:rPr>
          <w:lang w:val="el" w:eastAsia="el"/>
        </w:rPr>
      </w:pPr>
      <w:r>
        <w:rPr>
          <w:b/>
          <w:bCs/>
          <w:lang w:val="el" w:eastAsia="el"/>
        </w:rPr>
        <w:t>6.</w:t>
      </w:r>
      <w:r>
        <w:rPr>
          <w:lang w:val="el" w:eastAsia="el"/>
        </w:rPr>
        <w:t xml:space="preserve"> Η πρώτη έκθεση προς την Ευρωπαϊκή Επιτροπή καλύπτει, για τα μέτρα που θεσπίζονται σύμφωνα με τα άρθρα 7, 8, 9, 10 και 11, τα εξής:</w:t>
      </w:r>
    </w:p>
    <w:p>
      <w:pPr>
        <w:pStyle w:val="StructureList1"/>
        <w:spacing w:before="120" w:after="0"/>
        <w:rPr>
          <w:lang w:val="el" w:eastAsia="el"/>
        </w:rPr>
      </w:pPr>
      <w:r>
        <w:rPr>
          <w:lang w:val="el" w:eastAsia="el"/>
        </w:rPr>
        <w:t>α)</w:t>
      </w:r>
      <w:r>
        <w:rPr>
          <w:lang w:val="en" w:eastAsia="en"/>
        </w:rPr>
        <w:tab/>
      </w:r>
      <w:r>
        <w:rPr>
          <w:lang w:val="el" w:eastAsia="el"/>
        </w:rPr>
        <w:t>διαδικασίες για τη δημοσιοποίηση εξελίξεων της πολιτικής για την προσβασιμότητα σε ιστότοπους και σε εφαρμογές για φορητές συσκευές,</w:t>
      </w:r>
    </w:p>
    <w:p>
      <w:pPr>
        <w:pStyle w:val="StructureList1"/>
        <w:spacing w:before="120" w:after="0"/>
        <w:rPr>
          <w:lang w:val="el" w:eastAsia="el"/>
        </w:rPr>
      </w:pPr>
      <w:r>
        <w:rPr>
          <w:lang w:val="el" w:eastAsia="el"/>
        </w:rPr>
        <w:t>β)</w:t>
      </w:r>
      <w:r>
        <w:rPr>
          <w:lang w:val="en" w:eastAsia="en"/>
        </w:rPr>
        <w:tab/>
      </w:r>
      <w:r>
        <w:rPr>
          <w:lang w:val="el" w:eastAsia="el"/>
        </w:rPr>
        <w:t>εμπειρίες και ευρήματα από την εφαρμογή των κανόνων για τη συμμόρφωση στις απαιτήσεις προσβασι- μότητας του άρθρου 4,</w:t>
      </w:r>
    </w:p>
    <w:p>
      <w:pPr>
        <w:pStyle w:val="StructureList1"/>
        <w:spacing w:before="120" w:after="0"/>
        <w:rPr>
          <w:lang w:val="el" w:eastAsia="el"/>
        </w:rPr>
      </w:pPr>
      <w:r>
        <w:rPr>
          <w:lang w:val="el" w:eastAsia="el"/>
        </w:rPr>
        <w:t>γ)</w:t>
      </w:r>
      <w:r>
        <w:rPr>
          <w:lang w:val="en" w:eastAsia="en"/>
        </w:rPr>
        <w:tab/>
      </w:r>
      <w:r>
        <w:rPr>
          <w:lang w:val="el" w:eastAsia="el"/>
        </w:rPr>
        <w:t>πληροφορίες συναφείς με την κατάρτιση των υπαλλήλων και των εργαζομένων των οργανισμών του δημόσιου τομέα, καθώς και τις δραστηριότητες ευαισθητο- ποίησης του κοινού,</w:t>
      </w:r>
    </w:p>
    <w:p>
      <w:pPr>
        <w:pStyle w:val="StructureList1"/>
        <w:spacing w:before="120" w:after="0"/>
        <w:rPr>
          <w:lang w:val="el" w:eastAsia="el"/>
        </w:rPr>
      </w:pPr>
      <w:r>
        <w:rPr>
          <w:lang w:val="el" w:eastAsia="el"/>
        </w:rPr>
        <w:t>δ)</w:t>
      </w:r>
      <w:r>
        <w:rPr>
          <w:lang w:val="en" w:eastAsia="en"/>
        </w:rPr>
        <w:tab/>
      </w:r>
      <w:r>
        <w:rPr>
          <w:lang w:val="el" w:eastAsia="el"/>
        </w:rPr>
        <w:t>πληροφορίες για την εφαρμογή της διαδικασίας υποβολής παρατηρήσεων και αναφορών, όπως προ- βλέπεται από το άρθρο 10.</w:t>
      </w:r>
    </w:p>
    <w:p>
      <w:pPr>
        <w:pStyle w:val="MainText"/>
        <w:spacing w:before="120" w:after="0"/>
        <w:rPr>
          <w:lang w:val="el" w:eastAsia="el"/>
        </w:rPr>
      </w:pPr>
      <w:r>
        <w:rPr>
          <w:b/>
          <w:bCs/>
          <w:lang w:val="el" w:eastAsia="el"/>
        </w:rPr>
        <w:t>7.</w:t>
      </w:r>
      <w:r>
        <w:rPr>
          <w:lang w:val="el" w:eastAsia="el"/>
        </w:rPr>
        <w:t xml:space="preserve"> Το περιεχόμενο των εκθέσεων προς την Ευρωπαϊκή Επιτροπή, το οποίο δεν περιλαμβάνει απαραιτήτως τον κατάλογο των ιστότοπων, των εφαρμογών για φορητές συσκευές ή των οργανισμών του δημόσιου τομέα που εξετάστηκαν, δημοσιοποιείται σε προσβάσιμη μορφή στους ιστότοπους των Υπουργείων Ψηφιακής Πολιτικής, Τηλεπικοινωνιών και Ενημέρωσης και Διοικητικής Ανασυγκρότησης.</w:t>
      </w:r>
    </w:p>
    <w:p>
      <w:pPr>
        <w:pStyle w:val="MainText"/>
        <w:spacing w:before="120" w:after="0"/>
        <w:rPr>
          <w:lang w:val="el" w:eastAsia="el"/>
        </w:rPr>
      </w:pPr>
      <w:r>
        <w:rPr>
          <w:b/>
          <w:bCs/>
          <w:lang w:val="el" w:eastAsia="el"/>
        </w:rPr>
        <w:t>8.</w:t>
      </w:r>
      <w:r>
        <w:rPr>
          <w:lang w:val="el" w:eastAsia="el"/>
        </w:rPr>
        <w:t xml:space="preserve"> Μέσα στο πρώτο δίμηνο κάθε έτους ο Υπουργός Ψηφιακής Πολιτικής, Τηλεπικοινωνιών και Ενημέρωσης υποβάλλει στον Πρόεδρο της Βουλής ετήσια έκθεση αποτελεσμάτων για τη συμμόρφωση των οργανισμών του δημόσιου τομέα στις απαιτήσεις προσβασιμότητας του παρόντος. Πριν από την υποβολή της η έκθεση τίθεται σε δημόσια δι- αβούλευση για δεκαπέντε (15) τουλάχιστον ημέρες. Μετά την ολοκλήρωση της διαβούλευσης η έκθεση αναρτάται στους ιστότοπους των Υπουργείων Ψηφιακής Πολιτικής, Τηλεπικοινωνιών και Ενημέρωσης και Διοικητικής Ανασυγκρότησης. Η έκθεση συζητείται στις αρμόδιες Επιτροπές της Βουλής, σύμφωνα με τον Κανονισμό της Βουλής.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(άρθρο 12 παρ. 3 της Οδηγίας 2016/2102/Ε.Ε.)</w:t>
      </w:r>
    </w:p>
    <w:p>
      <w:pPr>
        <w:spacing w:before="240" w:after="240"/>
        <w:rPr>
          <w:lang w:val="el" w:eastAsia="el"/>
        </w:rPr>
      </w:pPr>
      <w:r>
        <w:rPr>
          <w:lang w:val="el" w:eastAsia="el"/>
        </w:rPr>
        <w:t>Οι οργανισμοί του δημόσιου τομέα εφαρμόζουν τις διατάξεις του παρόντος Μέρους ως εξής:</w:t>
      </w:r>
    </w:p>
    <w:p>
      <w:pPr>
        <w:pStyle w:val="StructureList1"/>
        <w:spacing w:before="120" w:after="0"/>
        <w:rPr>
          <w:lang w:val="el" w:eastAsia="el"/>
        </w:rPr>
      </w:pPr>
      <w:r>
        <w:rPr>
          <w:lang w:val="el" w:eastAsia="el"/>
        </w:rPr>
        <w:t>α)</w:t>
      </w:r>
      <w:r>
        <w:rPr>
          <w:lang w:val="en" w:eastAsia="en"/>
        </w:rPr>
        <w:tab/>
      </w:r>
      <w:r>
        <w:rPr>
          <w:lang w:val="el" w:eastAsia="el"/>
        </w:rPr>
        <w:t>στους ιστότοπους των οργανισμών του δημόσιου τομέα που δεν έχουν δημοσιοποιηθεί πριν από τις 23 Σεπτεμβρίου 2018 από τις 23 Σεπτεμβρίου 2019,</w:t>
      </w:r>
    </w:p>
    <w:p>
      <w:pPr>
        <w:pStyle w:val="StructureList1"/>
        <w:spacing w:before="120" w:after="0"/>
        <w:rPr>
          <w:lang w:val="el" w:eastAsia="el"/>
        </w:rPr>
      </w:pPr>
      <w:r>
        <w:rPr>
          <w:lang w:val="el" w:eastAsia="el"/>
        </w:rPr>
        <w:t>β)</w:t>
      </w:r>
      <w:r>
        <w:rPr>
          <w:lang w:val="en" w:eastAsia="en"/>
        </w:rPr>
        <w:tab/>
      </w:r>
      <w:r>
        <w:rPr>
          <w:lang w:val="el" w:eastAsia="el"/>
        </w:rPr>
        <w:t>στους ιστότοπους των οργανισμών του δημόσιου τομέα που δεν υπάγονται στην περίπτωση α' από τις 23 Σεπτεμβρίου 2020,</w:t>
      </w:r>
    </w:p>
    <w:p>
      <w:pPr>
        <w:pStyle w:val="StructureList1"/>
        <w:spacing w:before="120" w:after="0"/>
        <w:rPr>
          <w:lang w:val="el" w:eastAsia="el"/>
        </w:rPr>
      </w:pPr>
      <w:r>
        <w:rPr>
          <w:lang w:val="el" w:eastAsia="el"/>
        </w:rPr>
        <w:t>γ)</w:t>
      </w:r>
      <w:r>
        <w:rPr>
          <w:lang w:val="en" w:eastAsia="en"/>
        </w:rPr>
        <w:tab/>
      </w:r>
      <w:r>
        <w:rPr>
          <w:lang w:val="el" w:eastAsia="el"/>
        </w:rPr>
        <w:t>στις εφαρμογές για φορητές συσκευές των οργανισμών του δημόσιου τομέα από τις 23 Ιουνίου 2021.</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ΕΝΣΩΜΑΤΩΣΗ ΣΤΗΝ ΕΛΛΗΝΙΚΗ ΝΟΜΟΘΕΣΙΑ</w:t>
      </w:r>
    </w:p>
    <w:p>
      <w:pPr>
        <w:spacing w:before="240" w:after="240"/>
        <w:rPr>
          <w:lang w:val="el" w:eastAsia="el"/>
        </w:rPr>
      </w:pPr>
      <w:r>
        <w:rPr>
          <w:b/>
          <w:bCs/>
          <w:lang w:val="el" w:eastAsia="el"/>
        </w:rPr>
        <w:t>ΤΟΥ ΑΡΘΡΟΥ 1 ΤΗΣ ΟΔΗΓΙΑΣ (Ε.Ε.) 2017/2455</w:t>
      </w:r>
    </w:p>
    <w:p>
      <w:pPr>
        <w:spacing w:before="240" w:after="240"/>
        <w:rPr>
          <w:lang w:val="el" w:eastAsia="el"/>
        </w:rPr>
      </w:pPr>
      <w:r>
        <w:rPr>
          <w:b/>
          <w:bCs/>
          <w:lang w:val="el" w:eastAsia="el"/>
        </w:rPr>
        <w:t>ΤΟΥ ΣΥΜΒΟΥΛΙΟΥ ΤΗΣ 5ης ΔΕΚΕΜΒΡΙΟΥ 2017</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παρόντος Μέρους ενσωματώνεται στην ελληνική νομοθεσία το άρθρο 1 της Οδηγίας (ΕΕ) 2017/2455 του Συμβουλίου της 5ης Δεκεμβρίου 2017 (ΕΕ L 348 της 29.12.2017), σχετικά με τροποποιήσεις της Οδηγίας 2006/112/ΕΚ (EEL 347 της 11.12.2006).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των άρθρων 14 και 476 του</w:t>
      </w:r>
    </w:p>
    <w:p>
      <w:pPr>
        <w:spacing w:before="240" w:after="240"/>
        <w:rPr>
          <w:lang w:val="el" w:eastAsia="el"/>
        </w:rPr>
      </w:pPr>
      <w:r>
        <w:rPr>
          <w:b/>
          <w:bCs/>
          <w:lang w:val="el" w:eastAsia="el"/>
        </w:rPr>
        <w:t>Κώδικα Φόρου Προστιθέμενης Αξίας (Φ.Π.Α.)</w:t>
      </w:r>
    </w:p>
    <w:p>
      <w:pPr>
        <w:spacing w:before="240" w:after="240"/>
        <w:rPr>
          <w:lang w:val="el" w:eastAsia="el"/>
        </w:rPr>
      </w:pPr>
      <w:r>
        <w:rPr>
          <w:b/>
          <w:bCs/>
          <w:lang w:val="el" w:eastAsia="el"/>
        </w:rPr>
        <w:t>(άρθρο 1 παρ. 1, 3 και 4 της Οδηγίας)</w:t>
      </w:r>
    </w:p>
    <w:p>
      <w:pPr>
        <w:spacing w:before="240" w:after="240"/>
        <w:rPr>
          <w:lang w:val="el" w:eastAsia="el"/>
        </w:rPr>
      </w:pPr>
      <w:r>
        <w:rPr>
          <w:lang w:val="el" w:eastAsia="el"/>
        </w:rPr>
        <w:t>Στον Κώδικα Φόρου Προστιθέμενης αξίας (Φ.Π.Α.), ο οποίος κυρώθηκε με το άρθρο πρώτο του ν. 2859/2000 (Α' 248),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13 του άρθρου 14, όπως αντικαταστάθηκε με την παρ. 1 του άρθρου 104 του ν. 4316/2014 (Α' 270), αντικαθίσταται ως εξής:</w:t>
      </w:r>
    </w:p>
    <w:p>
      <w:pPr>
        <w:spacing w:before="240" w:after="240"/>
        <w:rPr>
          <w:lang w:val="el" w:eastAsia="el"/>
        </w:rPr>
      </w:pPr>
      <w:r>
        <w:rPr>
          <w:lang w:val="el" w:eastAsia="el"/>
        </w:rPr>
        <w:t>«13. Παροχή τηλεπικοινωνιακών, ραδιοφωνικών και τηλεοπτικών και ηλεκτρονικά παρεχόμενων υπηρεσιών προς μη υποκείμενους στο φόρο.</w:t>
      </w:r>
    </w:p>
    <w:p>
      <w:pPr>
        <w:spacing w:before="240" w:after="240"/>
        <w:rPr>
          <w:lang w:val="el" w:eastAsia="el"/>
        </w:rPr>
      </w:pPr>
      <w:r>
        <w:rPr>
          <w:lang w:val="el" w:eastAsia="el"/>
        </w:rPr>
        <w:t>α) 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p>
    <w:p>
      <w:pPr>
        <w:spacing w:before="240" w:after="240"/>
        <w:rPr>
          <w:lang w:val="el" w:eastAsia="el"/>
        </w:rPr>
      </w:pPr>
      <w:r>
        <w:rPr>
          <w:lang w:val="el" w:eastAsia="el"/>
        </w:rPr>
        <w:t>αα) 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 ββ) 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spacing w:before="240" w:after="240"/>
        <w:rPr>
          <w:lang w:val="el" w:eastAsia="el"/>
        </w:rPr>
      </w:pPr>
      <w:r>
        <w:rPr>
          <w:lang w:val="el" w:eastAsia="el"/>
        </w:rPr>
        <w:t>β) 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p>
    <w:p>
      <w:pPr>
        <w:spacing w:before="240" w:after="240"/>
        <w:rPr>
          <w:lang w:val="el" w:eastAsia="el"/>
        </w:rPr>
      </w:pPr>
      <w:r>
        <w:rPr>
          <w:lang w:val="el" w:eastAsia="el"/>
        </w:rPr>
        <w:t>αα) 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p>
    <w:p>
      <w:pPr>
        <w:spacing w:before="240" w:after="240"/>
        <w:rPr>
          <w:lang w:val="el" w:eastAsia="el"/>
        </w:rPr>
      </w:pPr>
      <w:r>
        <w:rPr>
          <w:lang w:val="el" w:eastAsia="el"/>
        </w:rPr>
        <w:t>ββ) 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p>
    <w:p>
      <w:pPr>
        <w:spacing w:before="240" w:after="240"/>
        <w:rPr>
          <w:lang w:val="el" w:eastAsia="el"/>
        </w:rPr>
      </w:pPr>
      <w:r>
        <w:rPr>
          <w:lang w:val="el" w:eastAsia="el"/>
        </w:rPr>
        <w:t>γγ) 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p>
    <w:p>
      <w:pPr>
        <w:spacing w:before="240" w:after="240"/>
        <w:rPr>
          <w:lang w:val="el" w:eastAsia="el"/>
        </w:rPr>
      </w:pPr>
      <w:r>
        <w:rPr>
          <w:lang w:val="el" w:eastAsia="el"/>
        </w:rPr>
        <w:t>γ) 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spacing w:before="240" w:after="240"/>
        <w:rPr>
          <w:lang w:val="el" w:eastAsia="el"/>
        </w:rPr>
      </w:pPr>
      <w:r>
        <w:rPr>
          <w:lang w:val="el" w:eastAsia="el"/>
        </w:rPr>
        <w:t>δ) Κατά παρέκκλιση της υποπερίπτωσης αα' της περίπτωσης α, ο τόπος παροχής των ανωτέρω υπηρεσιών</w:t>
      </w:r>
    </w:p>
    <w:p>
      <w:pPr>
        <w:spacing w:before="240" w:after="240"/>
        <w:rPr>
          <w:lang w:val="el" w:eastAsia="el"/>
        </w:rPr>
      </w:pPr>
      <w:r>
        <w:rPr>
          <w:lang w:val="el" w:eastAsia="el"/>
        </w:rPr>
        <w:t>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p>
    <w:p>
      <w:pPr>
        <w:pStyle w:val="MainText"/>
        <w:spacing w:before="120" w:after="0"/>
        <w:rPr>
          <w:lang w:val="el" w:eastAsia="el"/>
        </w:rPr>
      </w:pPr>
      <w:r>
        <w:rPr>
          <w:b/>
          <w:bCs/>
          <w:lang w:val="el" w:eastAsia="el"/>
        </w:rPr>
        <w:t>2.</w:t>
      </w:r>
      <w:r>
        <w:rPr>
          <w:lang w:val="el" w:eastAsia="el"/>
        </w:rPr>
        <w:t xml:space="preserve"> Η περίπτωση α' της παραγράφου 1 του άρθρου 47β, όπως το άρθρο αυτό προστέθηκε με την παρ. 4 του άρθρου 104 του ν. 4316/2014, αντικαθίσταται ως εξής:</w:t>
      </w:r>
    </w:p>
    <w:p>
      <w:pPr>
        <w:spacing w:before="240" w:after="240"/>
        <w:rPr>
          <w:lang w:val="el" w:eastAsia="el"/>
        </w:rPr>
      </w:pPr>
      <w:r>
        <w:rPr>
          <w:lang w:val="el" w:eastAsia="el"/>
        </w:rPr>
        <w:t>«α) «μη εγκατεστημένος στην Ευρωπαϊκή Ένωση υποκείμενος στον φόρο», ο υποκείμενος στον φόρο που δεν έχει την έδρα της οικονομικής δραστηριότητας του ούτε διαθέτει μόνιμη εγκατάσταση στο έδαφος της Ευρωπαϊκής Ένωσης».</w:t>
      </w:r>
    </w:p>
    <w:p>
      <w:pPr>
        <w:pStyle w:val="MainText"/>
        <w:spacing w:before="120" w:after="0"/>
        <w:rPr>
          <w:lang w:val="el" w:eastAsia="el"/>
        </w:rPr>
      </w:pPr>
      <w:r>
        <w:rPr>
          <w:b/>
          <w:bCs/>
          <w:lang w:val="el" w:eastAsia="el"/>
        </w:rPr>
        <w:t>3.</w:t>
      </w:r>
      <w:r>
        <w:rPr>
          <w:lang w:val="el" w:eastAsia="el"/>
        </w:rPr>
        <w:t xml:space="preserve"> Η περίπτωση ε' της παραγράφου 4 του άρθρου 47β αντικαθίσταται ως εξής:</w:t>
      </w:r>
    </w:p>
    <w:p>
      <w:pPr>
        <w:spacing w:before="240" w:after="240"/>
        <w:rPr>
          <w:lang w:val="el" w:eastAsia="el"/>
        </w:rPr>
      </w:pPr>
      <w:r>
        <w:rPr>
          <w:lang w:val="el" w:eastAsia="el"/>
        </w:rPr>
        <w:t>«ε) δήλωση ότι δεν έχει την έδρα της οικονομικής δραστηριότητάς του ούτε διαθέτει μόνιμη εγκατάσταση στο έδαφος της Ευρωπαϊκής Ένωσης.».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του άρθρου 8 του ν. 4308/2014</w:t>
      </w:r>
    </w:p>
    <w:p>
      <w:pPr>
        <w:spacing w:before="240" w:after="240"/>
        <w:rPr>
          <w:lang w:val="el" w:eastAsia="el"/>
        </w:rPr>
      </w:pPr>
      <w:r>
        <w:rPr>
          <w:b/>
          <w:bCs/>
          <w:lang w:val="el" w:eastAsia="el"/>
        </w:rPr>
        <w:t>(άρθρο 1 παρ. 2 της Οδηγίας)</w:t>
      </w:r>
    </w:p>
    <w:p>
      <w:pPr>
        <w:spacing w:before="240" w:after="240"/>
        <w:rPr>
          <w:lang w:val="el" w:eastAsia="el"/>
        </w:rPr>
      </w:pPr>
      <w:r>
        <w:rPr>
          <w:lang w:val="el" w:eastAsia="el"/>
        </w:rPr>
        <w:t>Στο άρθρο 8 του ν. 4308/2014 (Α' 251) μετά την παράγραφο 1 προστίθεται νέα παράγραφος 1α ως εξής:</w:t>
      </w:r>
    </w:p>
    <w:p>
      <w:pPr>
        <w:spacing w:before="240" w:after="240"/>
        <w:rPr>
          <w:lang w:val="el" w:eastAsia="el"/>
        </w:rPr>
      </w:pPr>
      <w:r>
        <w:rPr>
          <w:lang w:val="el" w:eastAsia="el"/>
        </w:rPr>
        <w:t>«1α) Τιμολόγιο εκδίδουν, σύμφωνα με τις διατάξεις του παρόντος νόμου, και οι οντότητες που είναι εγγεγραμμένες σε ένα από τα ειδικά καθεστώτα των άρθρων 47β και 47γ του Κώδικα Φόρου Προστιθέμενης Αξίας.»</w:t>
      </w:r>
    </w:p>
    <w:p>
      <w:pPr>
        <w:pStyle w:val="Heading1"/>
        <w:spacing w:before="240" w:after="240"/>
        <w:rPr>
          <w:lang w:val="el" w:eastAsia="el"/>
        </w:rPr>
      </w:pPr>
      <w:r>
        <w:rPr>
          <w:rStyle w:val="hierarchy-num"/>
          <w:b/>
          <w:bCs/>
          <w:lang w:val="el" w:eastAsia="el"/>
        </w:rPr>
        <w:t>ΜΕΡΟΣ ΤΡΙΤΟ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του Πρώτου Μέρους ισχύουν από τη δημοσίευση του παρόντος νόμου στην Εφημερίδα της Κυ- βερνήσεως, εκτός αν ορίζεται διαφορετικά σε επιμέρους διατάξεις του.</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του παρόντος νόμου ισχύουν από την 1η Ιανουαρίου 2019.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Φεβρουαρίου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22"/>
        <w:gridCol w:w="4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Ενημέρωσης και Θρησκευμάτων</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ΝΙΚΟΛΑΟΣ ΠΑΠΠΑΣ ΚΩΝΣΤΑΝΤΙΝΟΣ ΓΑΒΡΟΓΛΟΥ</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ΘΕΑΝΩ ΦΩΤΙΟΥ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 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ΜΑΡΙΑ-ΕΛΙΖΑ ΞΕΝΟΓΙΑΝΝΑΚΟΠΟΥΛΟΥ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Φεβρουαρίου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