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31 Ιουλίου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128</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4621</w:t>
      </w:r>
    </w:p>
    <w:p>
      <w:pPr>
        <w:pStyle w:val="PreambelText"/>
        <w:spacing w:before="240" w:after="240"/>
        <w:rPr>
          <w:lang w:val="el" w:eastAsia="el"/>
        </w:rPr>
      </w:pPr>
      <w:r>
        <w:rPr>
          <w:b/>
          <w:bCs/>
          <w:lang w:val="el" w:eastAsia="el"/>
        </w:rPr>
        <w:t>Μείωση ΕΝ.Φ.Ι.Α. και βελτιώσεις στη ρύθμιση οφειλών προς τη Φορολογική Διοίκηση του ν. 4611/2019 (Α’ 73)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Μείωση ΕΝ.Φ.Ι.Α.</w:t>
      </w:r>
    </w:p>
    <w:p>
      <w:pPr>
        <w:pStyle w:val="MainText"/>
        <w:spacing w:before="120" w:after="0"/>
        <w:rPr>
          <w:lang w:val="el" w:eastAsia="el"/>
        </w:rPr>
      </w:pPr>
      <w:r>
        <w:rPr>
          <w:b/>
          <w:bCs/>
          <w:lang w:val="el" w:eastAsia="el"/>
        </w:rPr>
        <w:t>1.</w:t>
      </w:r>
      <w:r>
        <w:rPr>
          <w:lang w:val="el" w:eastAsia="el"/>
        </w:rPr>
        <w:t xml:space="preserve"> Η παράγραφος 2Α του άρθρου 7 του ν. 4223/2013 (Α΄287), όπως ισχύει, αντικαθίσταται ως εξής:</w:t>
      </w:r>
    </w:p>
    <w:p>
      <w:pPr>
        <w:spacing w:before="240" w:after="240"/>
        <w:rPr>
          <w:lang w:val="el" w:eastAsia="el"/>
        </w:rPr>
      </w:pPr>
      <w:r>
        <w:rPr>
          <w:lang w:val="el" w:eastAsia="el"/>
        </w:rPr>
        <w:t>«2Α. Ειδικά για το έτος 2019, χορηγείται μείωση στον ΕΝ.Φ.Ι.Α. φυσικών προσώπων, που προκύπτει από την εφαρμογή των άρθρων 4 και 5 και της παραγράφου 1 του παρόντος άρθρου, ανάλογα με τη συνολική αξία της ακίνητης περιουσίας, η οποία υπόκειται σε φόρο κατά το άρθρο 4, όπως αυτή προσδιορίζεται σύμφωνα με την παράγραφο 4 του άρθρου 5, ως εξής:</w:t>
      </w:r>
    </w:p>
    <w:p>
      <w:pPr>
        <w:spacing w:before="240" w:after="240"/>
        <w:rPr>
          <w:lang w:val="el" w:eastAsia="el"/>
        </w:rPr>
      </w:pPr>
      <w:r>
        <w:rPr>
          <w:lang w:val="el" w:eastAsia="el"/>
        </w:rPr>
        <w:t>α) για αξία ακίνητης περιουσίας μέχρι εξήντα χιλιάδες (60.000) ευρώ, κατά ποσοστό τριάντα τοις εκατό (30%), β) για αξία ακίνητης περιουσίας μέχρι εβδομήντα χιλιάδες (70.000) ευρώ, κατά ποσοστό είκοσι επτά τοις εκατό (27%),</w:t>
      </w:r>
    </w:p>
    <w:p>
      <w:pPr>
        <w:spacing w:before="240" w:after="240"/>
        <w:rPr>
          <w:lang w:val="el" w:eastAsia="el"/>
        </w:rPr>
      </w:pPr>
      <w:r>
        <w:rPr>
          <w:lang w:val="el" w:eastAsia="el"/>
        </w:rPr>
        <w:t>γ) για αξία ακίνητης περιουσίας μέχρι ογδόντα χιλιάδες (80.000) ευρώ, κατά ποσοστό είκοσι πέντε τοις εκατό (25%),</w:t>
      </w:r>
    </w:p>
    <w:p>
      <w:pPr>
        <w:spacing w:before="240" w:after="240"/>
        <w:rPr>
          <w:lang w:val="el" w:eastAsia="el"/>
        </w:rPr>
      </w:pPr>
      <w:r>
        <w:rPr>
          <w:lang w:val="el" w:eastAsia="el"/>
        </w:rPr>
        <w:t>δ) για αξία ακίνητης περιουσίας μέχρι ένα εκατομμύριο (1.000.000) ευρώ, κατά ποσοστό είκοσι τοις εκατό (20%) και</w:t>
      </w:r>
    </w:p>
    <w:p>
      <w:pPr>
        <w:spacing w:before="240" w:after="240"/>
        <w:rPr>
          <w:lang w:val="el" w:eastAsia="el"/>
        </w:rPr>
      </w:pPr>
      <w:r>
        <w:rPr>
          <w:lang w:val="el" w:eastAsia="el"/>
        </w:rPr>
        <w:t>ε) για αξία ακίνητης περιουσίας άνω του ενός εκατομμυρίου (1.000.000) ευρώ, κατά ποσοστό δέκα τοις εκατό (10%).</w:t>
      </w:r>
    </w:p>
    <w:p>
      <w:pPr>
        <w:spacing w:before="240" w:after="240"/>
        <w:rPr>
          <w:lang w:val="el" w:eastAsia="el"/>
        </w:rPr>
      </w:pPr>
      <w:r>
        <w:rPr>
          <w:lang w:val="el" w:eastAsia="el"/>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p>
    <w:p>
      <w:pPr>
        <w:pStyle w:val="MainText"/>
        <w:spacing w:before="120" w:after="0"/>
        <w:rPr>
          <w:lang w:val="el" w:eastAsia="el"/>
        </w:rPr>
      </w:pPr>
      <w:r>
        <w:rPr>
          <w:b/>
          <w:bCs/>
          <w:lang w:val="el" w:eastAsia="el"/>
        </w:rPr>
        <w:t>2.</w:t>
      </w:r>
      <w:r>
        <w:rPr>
          <w:lang w:val="el" w:eastAsia="el"/>
        </w:rPr>
        <w:t xml:space="preserve"> Στο τέλος της παραγράφου 1 του άρθρου 8 του ν. 4223/2013, όπως ισχύει, προστίθεται εδάφιο ως εξής:</w:t>
      </w:r>
    </w:p>
    <w:p>
      <w:pPr>
        <w:spacing w:before="240" w:after="240"/>
        <w:rPr>
          <w:lang w:val="el" w:eastAsia="el"/>
        </w:rPr>
      </w:pPr>
      <w:r>
        <w:rPr>
          <w:lang w:val="el" w:eastAsia="el"/>
        </w:rPr>
        <w:t>«Ειδικά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w:t>
      </w:r>
    </w:p>
    <w:p>
      <w:pPr>
        <w:pStyle w:val="MainText"/>
        <w:spacing w:before="120" w:after="0"/>
        <w:rPr>
          <w:lang w:val="el" w:eastAsia="el"/>
        </w:rPr>
      </w:pPr>
      <w:r>
        <w:rPr>
          <w:b/>
          <w:bCs/>
          <w:lang w:val="el" w:eastAsia="el"/>
        </w:rPr>
        <w:t>3.</w:t>
      </w:r>
      <w:r>
        <w:rPr>
          <w:lang w:val="el" w:eastAsia="el"/>
        </w:rPr>
        <w:t xml:space="preserve"> Η ισχύς του παρόντος άρθρου αρχίζει από την 1η Ιανουαρίου 2019.</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Τροποποίηση των διατάξεων των άρθρων 98, 99, 100, 103 και 104 του ν. 4611/2019 (Α΄ 73)</w:t>
      </w:r>
    </w:p>
    <w:p>
      <w:pPr>
        <w:pStyle w:val="MainText"/>
        <w:spacing w:before="120" w:after="0"/>
        <w:rPr>
          <w:lang w:val="el" w:eastAsia="el"/>
        </w:rPr>
      </w:pPr>
      <w:r>
        <w:rPr>
          <w:b/>
          <w:bCs/>
          <w:lang w:val="el" w:eastAsia="el"/>
        </w:rPr>
        <w:t>1.</w:t>
      </w:r>
      <w:r>
        <w:rPr>
          <w:lang w:val="el" w:eastAsia="el"/>
        </w:rPr>
        <w:t xml:space="preserve"> Το άρθρο πέμπτο της Πράξης Νομοθετικού Περιεχομένου (Π.Ν.Π.) της 27.6.2019 (A΄ 106) καταργείται από την έκδοσή της.</w:t>
      </w:r>
    </w:p>
    <w:p>
      <w:pPr>
        <w:pStyle w:val="MainText"/>
        <w:spacing w:before="120" w:after="0"/>
        <w:rPr>
          <w:lang w:val="el" w:eastAsia="el"/>
        </w:rPr>
      </w:pPr>
      <w:r>
        <w:rPr>
          <w:b/>
          <w:bCs/>
          <w:lang w:val="el" w:eastAsia="el"/>
        </w:rPr>
        <w:t>2.</w:t>
      </w:r>
      <w:r>
        <w:rPr>
          <w:lang w:val="el" w:eastAsia="el"/>
        </w:rPr>
        <w:t xml:space="preserve"> Στην περίπτωση Γ΄ της παραγράφου 1 του άρθρου 98 του ν. 4611/2019 (Α΄ 73), η υφιστάμενη υποπερίπτωση δ΄ αναριθμείται σε ε΄ και προστίθεται νέα υποπερίπτωση δ΄, ως εξής:</w:t>
      </w:r>
    </w:p>
    <w:p>
      <w:pPr>
        <w:spacing w:before="240" w:after="240"/>
        <w:rPr>
          <w:lang w:val="el" w:eastAsia="el"/>
        </w:rPr>
      </w:pPr>
      <w:r>
        <w:rPr>
          <w:lang w:val="el" w:eastAsia="el"/>
        </w:rPr>
        <w:t>«δ. Κατ’ εξαίρεση, για οφειλέτες νομικά πρόσωπα ή νομικές οντότητες κερδοσκοπικού χαρακτήρα με συνολική υποχρεωτικά υπαγόμενη στη ρύθμιση βασική οφειλή, σύμφωνα με τις διατάξεις της παραγράφου 5, έως ένα εκατομμύριο (1.000.000) ευρώ, χορηγείται αποκλειστικά δυνατότητα ρύθμισης των οφειλών τους σε έως και εκατόν είκοσι (120) δόσεις, υπό τον περιορισμό της ελάχιστης δόσης της παραγράφου 2, με απαλλαγή από τόκους και προσαυξήσεις εκπρόθεσμης καταβολής που τις επιβαρύνουν κατά την ημερομηνία της αίτησης υπαγωγής στη ρύθμιση, ως ακολούθως:</w:t>
      </w:r>
    </w:p>
    <w:p>
      <w:pPr>
        <w:spacing w:before="240" w:after="240"/>
        <w:rPr>
          <w:lang w:val="el" w:eastAsia="el"/>
        </w:rPr>
      </w:pPr>
      <w:r>
        <w:rPr>
          <w:lang w:val="el" w:eastAsia="el"/>
        </w:rPr>
        <w:t>αα) χορηγείται απαλλαγή κατά ποσοστό εκατό τοις εκατό (100%), εφόσον η οφειλή καταβάλλεται εφάπαξ,</w:t>
      </w:r>
    </w:p>
    <w:p>
      <w:pPr>
        <w:spacing w:before="240" w:after="240"/>
        <w:rPr>
          <w:lang w:val="el" w:eastAsia="el"/>
        </w:rPr>
      </w:pPr>
      <w:r>
        <w:rPr>
          <w:lang w:val="el" w:eastAsia="el"/>
        </w:rPr>
        <w:t>ββ) χορηγείται απαλλαγή κατά ποσοστό ενενήντα πέντε τοις εκατό (95%), εφόσον η οφειλή καταβάλλεται σε δύο (2) έως και τέσσερις (4) μηνιαίες δόσεις,</w:t>
      </w:r>
    </w:p>
    <w:p>
      <w:pPr>
        <w:spacing w:before="240" w:after="240"/>
        <w:rPr>
          <w:lang w:val="el" w:eastAsia="el"/>
        </w:rPr>
      </w:pPr>
      <w:r>
        <w:rPr>
          <w:lang w:val="el" w:eastAsia="el"/>
        </w:rPr>
        <w:t>γγ) χορηγείται απαλλαγή κατά ποσοστό ογδόντα πέντε τοις εκατό (85%), εφόσον η οφειλή καταβάλλεται σε πέντε (5) έως και δώδεκα (12) μηνιαίες δόσεις,</w:t>
      </w:r>
    </w:p>
    <w:p>
      <w:pPr>
        <w:spacing w:before="240" w:after="240"/>
        <w:rPr>
          <w:lang w:val="el" w:eastAsia="el"/>
        </w:rPr>
      </w:pPr>
      <w:r>
        <w:rPr>
          <w:lang w:val="el" w:eastAsia="el"/>
        </w:rPr>
        <w:t>δδ) χορηγείται απαλλαγή κατά ποσοστό ογδόντα τοις εκατό (80%), εφόσον η οφειλή καταβάλλεται σε δεκατρείς (13) έως και είκοσι τέσσερις (24) μηνιαίες δόσεις,</w:t>
      </w:r>
    </w:p>
    <w:p>
      <w:pPr>
        <w:spacing w:before="240" w:after="240"/>
        <w:rPr>
          <w:lang w:val="el" w:eastAsia="el"/>
        </w:rPr>
      </w:pPr>
      <w:r>
        <w:rPr>
          <w:lang w:val="el" w:eastAsia="el"/>
        </w:rPr>
        <w:t>εε) χορηγείται απαλλαγή κατά ποσοστό εβδομήντα πέντε τοις εκατό (75%), εφόσον η οφειλή καταβάλλεται σε είκοσι πέντε (25) έως και τριάντα έξι (36) μηνιαίες δόσεις, στστ) χορηγείται απαλλαγή κατά ποσοστό σαράντα πέντε τοις εκατό (45%), εφόσον η οφειλή καταβάλλεται σε τριάντα επτά (37) έως και σαράντα οκτώ (48) μηνιαίες δόσεις,</w:t>
      </w:r>
    </w:p>
    <w:p>
      <w:pPr>
        <w:spacing w:before="240" w:after="240"/>
        <w:rPr>
          <w:lang w:val="el" w:eastAsia="el"/>
        </w:rPr>
      </w:pPr>
      <w:r>
        <w:rPr>
          <w:lang w:val="el" w:eastAsia="el"/>
        </w:rPr>
        <w:t>ζζ) χορηγείται απαλλαγή κατά ποσοστό τριάντα τοις εκατό (30%), εφόσον η οφειλή καταβάλλεται σε σαράντα εννέα (49) έως και εξήντα (60) μηνιαίες δόσεις,</w:t>
      </w:r>
    </w:p>
    <w:p>
      <w:pPr>
        <w:spacing w:before="240" w:after="240"/>
        <w:rPr>
          <w:lang w:val="el" w:eastAsia="el"/>
        </w:rPr>
      </w:pPr>
      <w:r>
        <w:rPr>
          <w:lang w:val="el" w:eastAsia="el"/>
        </w:rPr>
        <w:t>ηη) χορηγείται απαλλαγή κατά ποσοστό είκοσι τοις εκατό (20%), εφόσον η οφειλή καταβάλλεται σε εξήντα μία (61) έως και εβδομήντα δύο (72) μηνιαίες δόσεις,</w:t>
      </w:r>
    </w:p>
    <w:p>
      <w:pPr>
        <w:spacing w:before="240" w:after="240"/>
        <w:rPr>
          <w:lang w:val="el" w:eastAsia="el"/>
        </w:rPr>
      </w:pPr>
      <w:r>
        <w:rPr>
          <w:lang w:val="el" w:eastAsia="el"/>
        </w:rPr>
        <w:t>θθ) χορηγείται απαλλαγή κατά ποσοστό δεκαπέντε τοις εκατό (15%), εφόσον η οφειλή καταβάλλεται σε εβδομήντα τρεις (73) έως και ενενήντα έξι (96) μηνιαίες δόσεις,</w:t>
      </w:r>
    </w:p>
    <w:p>
      <w:pPr>
        <w:spacing w:before="240" w:after="240"/>
        <w:rPr>
          <w:lang w:val="el" w:eastAsia="el"/>
        </w:rPr>
      </w:pPr>
      <w:r>
        <w:rPr>
          <w:lang w:val="el" w:eastAsia="el"/>
        </w:rPr>
        <w:t>ιι) χορηγείται απαλλαγή κατά ποσοστό δέκα τοις εκατό (10%), εφόσον η οφειλή καταβάλλεται σε ενενήντα επτά (97) έως και εκατόν είκοσι (120) μηνιαίες δόσεις.</w:t>
      </w:r>
    </w:p>
    <w:p>
      <w:pPr>
        <w:spacing w:before="240" w:after="240"/>
        <w:rPr>
          <w:lang w:val="el" w:eastAsia="el"/>
        </w:rPr>
      </w:pPr>
      <w:r>
        <w:rPr>
          <w:lang w:val="el" w:eastAsia="el"/>
        </w:rPr>
        <w:t>Στα ανωτέρω ποσοστά απαλλαγών συμπεριλαμβάνεται το ποσοστό δέκα τοις εκατό (10%) του πρώτου εδαφίου της παραγράφου 1.</w:t>
      </w:r>
    </w:p>
    <w:p>
      <w:pPr>
        <w:spacing w:before="240" w:after="240"/>
        <w:rPr>
          <w:lang w:val="el" w:eastAsia="el"/>
        </w:rPr>
      </w:pPr>
      <w:r>
        <w:rPr>
          <w:lang w:val="el" w:eastAsia="el"/>
        </w:rPr>
        <w:t>Ως βασική οφειλή για την εφαρμογή της παρούσας υποπερίπτωσης νοείται το σύνολο των βεβαιωμένων οφειλών, όπως διαμορφώνονται κατά την ημερομηνία υπαγωγής στη ρύθμιση, χωρίς τις προσαυξήσεις και τους τόκους εκπρόθεσμης καταβολής, καθώς και τα πρόστιμα των άρθρων 57 του Κ.Φ.Δ. και 6 του Κ.Ε.Δ.Ε. που τις επιβαρύνουν.</w:t>
      </w:r>
    </w:p>
    <w:p>
      <w:pPr>
        <w:spacing w:before="240" w:after="240"/>
        <w:rPr>
          <w:lang w:val="el" w:eastAsia="el"/>
        </w:rPr>
      </w:pPr>
      <w:r>
        <w:rPr>
          <w:lang w:val="el" w:eastAsia="el"/>
        </w:rPr>
        <w:t>Στην περίπτωση που ο οφειλέτης επιλέξει σε οποιοδήποτε στάδιο της ρύθμισης την εφάπαξ εξόφληση του υπολοίπου αριθμού των δόσεων των ρυθμισμένων οφειλών ή τη μετάπτωση σε μικρότερο αριθμό δόσεων,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σύμφωνα με τα οριζόμενα στα προηγούμενα εδάφια της παρούσας υποπερίπτωσης.»</w:t>
      </w:r>
    </w:p>
    <w:p>
      <w:pPr>
        <w:pStyle w:val="MainText"/>
        <w:spacing w:before="120" w:after="0"/>
        <w:rPr>
          <w:lang w:val="el" w:eastAsia="el"/>
        </w:rPr>
      </w:pPr>
      <w:r>
        <w:rPr>
          <w:b/>
          <w:bCs/>
          <w:lang w:val="el" w:eastAsia="el"/>
        </w:rPr>
        <w:t>3.</w:t>
      </w:r>
      <w:r>
        <w:rPr>
          <w:lang w:val="el" w:eastAsia="el"/>
        </w:rPr>
        <w:t xml:space="preserve"> Η παράγραφος 2 του άρθρου 98 του ν. 4611/2019 (Α΄ 73) αντικαθίσταται ως εξής:</w:t>
      </w:r>
    </w:p>
    <w:p>
      <w:pPr>
        <w:spacing w:before="240" w:after="240"/>
        <w:rPr>
          <w:lang w:val="el" w:eastAsia="el"/>
        </w:rPr>
      </w:pPr>
      <w:r>
        <w:rPr>
          <w:lang w:val="el" w:eastAsia="el"/>
        </w:rPr>
        <w:t>«2. Το ελάχιστο ποσό μηνιαίας δόσης της ρύθμισης ορίζεται σε είκοσι (20) ευρώ.»</w:t>
      </w:r>
    </w:p>
    <w:p>
      <w:pPr>
        <w:pStyle w:val="MainText"/>
        <w:spacing w:before="120" w:after="0"/>
        <w:rPr>
          <w:lang w:val="el" w:eastAsia="el"/>
        </w:rPr>
      </w:pPr>
      <w:r>
        <w:rPr>
          <w:b/>
          <w:bCs/>
          <w:lang w:val="el" w:eastAsia="el"/>
        </w:rPr>
        <w:t>4.</w:t>
      </w:r>
      <w:r>
        <w:rPr>
          <w:lang w:val="el" w:eastAsia="el"/>
        </w:rPr>
        <w:t xml:space="preserve"> Στο άρθρο 98 του ν. 4611/2019 (Α΄ 73) προστίθεται παράγραφος 6 ως εξής:</w:t>
      </w:r>
    </w:p>
    <w:p>
      <w:pPr>
        <w:spacing w:before="240" w:after="240"/>
        <w:rPr>
          <w:lang w:val="el" w:eastAsia="el"/>
        </w:rPr>
      </w:pPr>
      <w:r>
        <w:rPr>
          <w:lang w:val="el" w:eastAsia="el"/>
        </w:rPr>
        <w:t>«6. Εφόσον ο οφειλέτης προκαταβάλει ποσό τουλάχιστον διπλάσιο της μηνιαίας δόσης του προγράμματος ρύθμισης που έχει επιλέξει, χορηγείται σε αυτόν ισόποση απαλλαγή επί των συνολικών προσαυξήσεων και τόκων εκπρόθεσμης καταβολής.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δόσεις της ρύθμισης καταβάλλονται έως την τελευταία εργάσιμη ημέρα των επόμενων μηνών από την ημερομηνία αίτησης υπαγωγής στη ρύθμιση.»</w:t>
      </w:r>
    </w:p>
    <w:p>
      <w:pPr>
        <w:pStyle w:val="MainText"/>
        <w:spacing w:before="120" w:after="0"/>
        <w:rPr>
          <w:lang w:val="el" w:eastAsia="el"/>
        </w:rPr>
      </w:pPr>
      <w:r>
        <w:rPr>
          <w:b/>
          <w:bCs/>
          <w:lang w:val="el" w:eastAsia="el"/>
        </w:rPr>
        <w:t>5.</w:t>
      </w:r>
      <w:r>
        <w:rPr>
          <w:lang w:val="el" w:eastAsia="el"/>
        </w:rPr>
        <w:t xml:space="preserve"> Στο πρώτο εδάφιο της παραγράφου 1 του άρθρου 99 του ν. 4611/2019 (Α΄ 73) οι λέξεις «πέντε εκατοστιαίες μονάδες (5%)» αντικαθίστανται με τις λέξεις «τρεις εκατοστιαίες μονάδες (3%)».</w:t>
      </w:r>
    </w:p>
    <w:p>
      <w:pPr>
        <w:pStyle w:val="MainText"/>
        <w:spacing w:before="120" w:after="0"/>
        <w:rPr>
          <w:lang w:val="el" w:eastAsia="el"/>
        </w:rPr>
      </w:pPr>
      <w:r>
        <w:rPr>
          <w:b/>
          <w:bCs/>
          <w:lang w:val="el" w:eastAsia="el"/>
        </w:rPr>
        <w:t>6.</w:t>
      </w:r>
      <w:r>
        <w:rPr>
          <w:lang w:val="el" w:eastAsia="el"/>
        </w:rPr>
        <w:t xml:space="preserve"> Στο τέλος του άρθρου 100 του ν. 4611/2019 (Α’ 73), μετά τις λέξεις «είναι σε ισχύ» προστίθενται οι λέξεις «, καθώς και οφειλές που βεβαιώνονται μέχρι την ημερομηνία της αίτησης υπαγωγής σε ρύθμιση και αφορούν σε υποχρεώσεις ετών, υποθέσεων και περιόδων μέχρι και 31.12.2018, εξαιρουμένων των οφειλών για τις οποίες η προθεσμία υποβολής δήλωσης λήγει μετά τις 31.12.2018.»</w:t>
      </w:r>
    </w:p>
    <w:p>
      <w:pPr>
        <w:pStyle w:val="MainText"/>
        <w:spacing w:before="120" w:after="0"/>
        <w:rPr>
          <w:lang w:val="el" w:eastAsia="el"/>
        </w:rPr>
      </w:pPr>
      <w:r>
        <w:rPr>
          <w:b/>
          <w:bCs/>
          <w:lang w:val="el" w:eastAsia="el"/>
        </w:rPr>
        <w:t>7.</w:t>
      </w:r>
      <w:r>
        <w:rPr>
          <w:lang w:val="el" w:eastAsia="el"/>
        </w:rPr>
        <w:t xml:space="preserve"> Στο τέλος του άρθρου 103 του ν. 4611/2019 (Α’ 73), προστίθεται εδάφιο ως εξής:</w:t>
      </w:r>
    </w:p>
    <w:p>
      <w:pPr>
        <w:spacing w:before="240" w:after="240"/>
        <w:rPr>
          <w:lang w:val="el" w:eastAsia="el"/>
        </w:rPr>
      </w:pPr>
      <w:r>
        <w:rPr>
          <w:lang w:val="el" w:eastAsia="el"/>
        </w:rPr>
        <w:t>«Η παρούσα ρύθμιση οφειλών προς τη φορολογική διοίκηση αποτελεί την τελευταία ρύθμιση οφειλών με έκτακτο χαρακτήρα.»</w:t>
      </w:r>
    </w:p>
    <w:p>
      <w:pPr>
        <w:pStyle w:val="MainText"/>
        <w:spacing w:before="120" w:after="0"/>
        <w:rPr>
          <w:lang w:val="el" w:eastAsia="el"/>
        </w:rPr>
      </w:pPr>
      <w:r>
        <w:rPr>
          <w:b/>
          <w:bCs/>
          <w:lang w:val="el" w:eastAsia="el"/>
        </w:rPr>
        <w:t>8.</w:t>
      </w:r>
      <w:r>
        <w:rPr>
          <w:lang w:val="el" w:eastAsia="el"/>
        </w:rPr>
        <w:t xml:space="preserve"> Η περίπτωση γ΄ του άρθρου 104 του ν. 4611/2019 (Α’ 73) αντικαθίσταται ως εξής:</w:t>
      </w:r>
    </w:p>
    <w:p>
      <w:pPr>
        <w:spacing w:before="240" w:after="240"/>
        <w:rPr>
          <w:lang w:val="el" w:eastAsia="el"/>
        </w:rPr>
      </w:pPr>
      <w:r>
        <w:rPr>
          <w:lang w:val="el" w:eastAsia="el"/>
        </w:rPr>
        <w:t>«γ) αναστέλλεται η λήψη αναγκαστικών μέτρων και η συνέχιση της διαδικασίας αναγκαστικής εκτέλεσης επί απαιτήσεων, κινητών και ακινήτων. Κατά το χρονικό διάστημα ισχύος της ρύθμισης, οι κατασχέσεις που έχουν επιβληθεί εις χείρας τρίτων σε βάρος του οφειλέτη δεν καταλαμβάνουν μελλοντικές απαιτήσεις του οφειλέτη έναντι του τρίτου υπό την προϋπόθεση ότι η κατάσχεση αφορά αποκλειστικά σε χρέη που έχουν ρυθμιστεί κατά τις διατάξεις του παρόντος και γνωστοποιείται στον τρίτο. Ποσά απαιτήσεων που γεννώνται μετά την ως άνω γνωστοποίηση, αποδεσμεύονται και αποδίδονται κατά νόμον, ενώ ποσά απαιτήσεων που γεννήθηκαν πριν από αυτή αποδίδονται στο Δημόσιο. Σε περίπτωση απώλειας της ρύθμισης,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Στις περιπτώσεις των ανωτέρω εδαφίων, ποσά που έχουν αποδοθεί στο Δημόσιο δεν επιστρέφονται.»</w:t>
      </w:r>
    </w:p>
    <w:p>
      <w:pPr>
        <w:pStyle w:val="MainText"/>
        <w:spacing w:before="120" w:after="0"/>
        <w:rPr>
          <w:lang w:val="el" w:eastAsia="el"/>
        </w:rPr>
      </w:pPr>
      <w:r>
        <w:rPr>
          <w:b/>
          <w:bCs/>
          <w:lang w:val="el" w:eastAsia="el"/>
        </w:rPr>
        <w:t>9.</w:t>
      </w:r>
      <w:r>
        <w:rPr>
          <w:lang w:val="el" w:eastAsia="el"/>
        </w:rPr>
        <w:t xml:space="preserve"> Nομικά πρόσωπα ή νομικές οντότητες κερδοσκοπικού χαρακτήρα με συνολική υποχρεωτικά υπαγόμενη στη ρύθμιση βασική οφειλή, σύμφωνα με τις διατάξεις της παραγράφου 5 του άρθρου 98 του ν. 4611/2019, έως ένα εκατομμύριο (1.000.000) ευρώ, που κατά την έναρξη ισχύος του παρόντος νόμου έχουν ήδη υπαγάγει τις οφειλές τους σε ρύθμιση τμηματικής καταβολής σε έως τριάντα έξι (36) δόσεις κατά τις διατάξεις των υποπεριπτώσεων α΄ έως γ΄ της περίπτωσης Γ΄ της παραγράφου 1 του άρθρου 98 του ν. 4611/2019, μπορούν να ζητήσουν τη ρύθμιση των οφειλών τους σύμφωνα με την παράγραφο 2 του παρόντος, μέχρι την καταληκτική ημερομηνία της αίτησης υπαγωγής στη ρύθμιση του ν. 4611/2019.</w:t>
      </w:r>
    </w:p>
    <w:p>
      <w:pPr>
        <w:pStyle w:val="MainText"/>
        <w:spacing w:before="120" w:after="0"/>
        <w:rPr>
          <w:lang w:val="el" w:eastAsia="el"/>
        </w:rPr>
      </w:pPr>
      <w:r>
        <w:rPr>
          <w:b/>
          <w:bCs/>
          <w:lang w:val="el" w:eastAsia="el"/>
        </w:rPr>
        <w:t>10.</w:t>
      </w:r>
      <w:r>
        <w:rPr>
          <w:lang w:val="el" w:eastAsia="el"/>
        </w:rPr>
        <w:t xml:space="preserve"> Οφειλέτες που έχουν υπαγάγει τις οφειλές τους σε ρύθμιση κατά την έναρξη ισχύος του παρόντος νόμου με βάση τις προϊσχύσασες διατάξεις της παραγράφου 2 του άρθρου 98 και του άρθρου 100 του ν. 4611/2019, δύνανται να ζητήσουν την εκ νέου ρύθμιση των οφειλών τους σύμφωνα με τις διατάξεις αυτές, όπως τροποποιούνται με τις παραγράφους 3 και 6 του παρόντος άρθρου, μέχρι την καταληκτική ημερομηνία για την υποβολή της αίτησης υπαγωγής στη ρύθμιση του ν. 4611/2019.</w:t>
      </w:r>
    </w:p>
    <w:p>
      <w:pPr>
        <w:pStyle w:val="MainText"/>
        <w:spacing w:before="120" w:after="0"/>
        <w:rPr>
          <w:lang w:val="el" w:eastAsia="el"/>
        </w:rPr>
      </w:pPr>
      <w:r>
        <w:rPr>
          <w:b/>
          <w:bCs/>
          <w:lang w:val="el" w:eastAsia="el"/>
        </w:rPr>
        <w:t>11.</w:t>
      </w:r>
      <w:r>
        <w:rPr>
          <w:lang w:val="el" w:eastAsia="el"/>
        </w:rPr>
        <w:t xml:space="preserve"> Οφειλέτες που κατά την έναρξη ισχύος του παρόντος νόμου έχουν υπαγάγει τις οφειλές τους σε ρύθμιση με τις διατάξεις του ν. 4611/2019, μπορούν να ζητήσουν την εκ νέου ρύθμιση των οφειλών τους, μέχρι την καταληκτική ημερομηνία για την υποβολή της αίτησης υπαγωγής στη ρύθμιση του ν. 4611/2019, προκειμένου να τύχουν των απαλλαγών της παραγράφου 4.</w:t>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και του Διοικητή της Ανεξάρτητης Αρχής Δημοσίων Εσόδων δύ- ναται να ορίζονται οι λεπτομέρειες για την εφαρμογή των παραγράφων 8, 9, 10 και 11.</w:t>
      </w:r>
    </w:p>
    <w:p>
      <w:pPr>
        <w:pStyle w:val="MainText"/>
        <w:spacing w:before="120" w:after="0"/>
        <w:rPr>
          <w:lang w:val="el" w:eastAsia="el"/>
        </w:rPr>
      </w:pPr>
      <w:r>
        <w:rPr>
          <w:b/>
          <w:bCs/>
          <w:lang w:val="el" w:eastAsia="el"/>
        </w:rPr>
        <w:t>13.</w:t>
      </w:r>
      <w:r>
        <w:rPr>
          <w:lang w:val="el" w:eastAsia="el"/>
        </w:rPr>
        <w:t xml:space="preserve"> Η παράγραφος 5 ισχύει για όλες τις ανεξόφλητες δόσεις της ρύθμισης μετά την παρέλευση διμήνου από τη δημοσίευση του παρόντος νόμου.</w:t>
      </w:r>
    </w:p>
    <w:p>
      <w:pPr>
        <w:pStyle w:val="MainText"/>
        <w:spacing w:before="120" w:after="0"/>
        <w:rPr>
          <w:lang w:val="el" w:eastAsia="el"/>
        </w:rPr>
      </w:pPr>
      <w:r>
        <w:rPr>
          <w:b/>
          <w:bCs/>
          <w:lang w:val="el" w:eastAsia="el"/>
        </w:rPr>
        <w:t>14.</w:t>
      </w:r>
      <w:r>
        <w:rPr>
          <w:lang w:val="el" w:eastAsia="el"/>
        </w:rPr>
        <w:t xml:space="preserve"> Η παράγραφος 6 ισχύει από 17.5.2019.</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Τροποποίηση του ν. 4062/2012 (Α΄ 70)</w:t>
      </w:r>
    </w:p>
    <w:p>
      <w:pPr>
        <w:spacing w:before="240" w:after="240"/>
        <w:rPr>
          <w:lang w:val="el" w:eastAsia="el"/>
        </w:rPr>
      </w:pPr>
      <w:r>
        <w:rPr>
          <w:lang w:val="el" w:eastAsia="el"/>
        </w:rPr>
        <w:t>Η παράγραφος 3γ του άρθρου 2 του ν. 4062/2012 (Α΄ 70), αντικαθίσταται ως εξής:</w:t>
      </w:r>
    </w:p>
    <w:p>
      <w:pPr>
        <w:spacing w:before="240" w:after="240"/>
        <w:rPr>
          <w:lang w:val="el" w:eastAsia="el"/>
        </w:rPr>
      </w:pPr>
      <w:r>
        <w:rPr>
          <w:lang w:val="el" w:eastAsia="el"/>
        </w:rPr>
        <w:t>«3γ. Ύψος κτιρίων και εγκαταστάσεων: Με την επιφύλαξη των όσων ορίζονται στις περιπτώσεις ε΄ και στ΄ της παρούσας παραγράφου, το ύψος των κτιρίων και εγκαταστάσεων του Μητροπολιτικού Πόλου ορίζεται ανά ζώνη ανάπτυξης ή περιοχή προς πολεοδόμηση, σε συνάρτηση με την πολεοδομική και αρχιτεκτονική φυσιογνωμία αυτής και την πραγματοποιούμενη κατά περίπτωση κάλυψη, κατά παρέκκλιση των διατάξεων της ισχύουσας νομοθεσίας. Η κατασκευή υψηλών κτιρίων και εγκαταστάσεων σε επί μέρους ζώνες ή περιοχές του Μητροπολιτικού Πόλου πρέπει να τεκμηριώνεται από ειδική μελέτη ως αναγκαία για λόγους τεχνικούς, ειδικών κατασκευών ή πρωτότυπων αρχιτεκτονικών λύσεων που αποβλέπουν στο να καταστήσουν την έκταση ή τμήμα αυτής σημείο προορισμού (landmark destination) και να μην επιδεινώνει το οικιστικό περιβάλλον όμορων κτιρίων ή οικιστικών περιοχών από την άποψη των συνθηκών ηλιασμού, φωτισμού και αερισμού. Σε κάθε περίπτωση, δεν επιτρέπεται η κατασκευή υψηλών κτιρίων και εγκαταστάσεων, δηλαδή κτιρίων και εγκαταστάσεων με ύψος που υπερβαίνει το μέγιστο επιτρεπόμενο ύψος σύμφωνα με τις διατάξεις του Νέου Οικοδομικού Κανονισμού, εντός ζώνης 100 μέτρων από τα όρια του ακινήτου του πρώην Αεροδρομίου Ελληνικού. Η διάταξη του προηγούμενου εδαφίου δεν εφαρμόζεται:</w:t>
      </w:r>
    </w:p>
    <w:p>
      <w:pPr>
        <w:spacing w:before="240" w:after="240"/>
        <w:rPr>
          <w:lang w:val="el" w:eastAsia="el"/>
        </w:rPr>
      </w:pPr>
      <w:r>
        <w:rPr>
          <w:lang w:val="el" w:eastAsia="el"/>
        </w:rPr>
        <w:t>α) Ως προς το τμήμα του ακινήτου του πρώην Αεροδρομίου Ελληνικού που έχει πρόσωπο επί της Λεωφόρου Βουλιαγμένης και επί της Λεωφόρου Ποσειδώνος.</w:t>
      </w:r>
    </w:p>
    <w:p>
      <w:pPr>
        <w:spacing w:before="240" w:after="240"/>
        <w:rPr>
          <w:lang w:val="el" w:eastAsia="el"/>
        </w:rPr>
      </w:pPr>
      <w:r>
        <w:rPr>
          <w:lang w:val="el" w:eastAsia="el"/>
        </w:rPr>
        <w:t>β) Ως προς τα τμήματα υψηλών κτιρίων και εγκαταστάσεων, εφόσον το ύψος των τμημάτων αυτών δεν υπερβαίνει το μέγιστο επιτρεπόμενο ύψος ανά ζώνη ανάπτυξης ή περιοχή προς πολεοδόμηση.»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άλλως ορίζεται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31 Ιουλίου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Oι Υπουργοί</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ΧΡΗΣΤΟΣ ΣΠΥΡΙΔΩΝ - ΑΔΩΝΙΣ</w:t>
      </w:r>
    </w:p>
    <w:p>
      <w:pPr>
        <w:spacing w:before="240" w:after="240"/>
        <w:rPr>
          <w:lang w:val="el" w:eastAsia="el"/>
        </w:rPr>
      </w:pPr>
      <w:r>
        <w:rPr>
          <w:b/>
          <w:bCs/>
          <w:lang w:val="el" w:eastAsia="el"/>
        </w:rPr>
        <w:t>ΣΤΑΪΚΟΥΡΑΣ ΓΕΩΡΓΙΑΔΗΣ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ΧΑΤΖΗΔΑΚΗΣ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31 Ιουλίου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